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417830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366395</wp:posOffset>
            </wp:positionV>
            <wp:extent cx="717804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5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42" w:lineRule="exact"/>
        <w:rPr>
          <w:sz w:val="24"/>
          <w:szCs w:val="24"/>
          <w:color w:val="auto"/>
        </w:rPr>
      </w:pPr>
    </w:p>
    <w:p>
      <w:pPr>
        <w:ind w:left="900" w:hanging="446"/>
        <w:spacing w:after="0"/>
        <w:tabs>
          <w:tab w:leader="none" w:pos="90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2025</w:t>
      </w:r>
    </w:p>
    <w:p>
      <w:pPr>
        <w:spacing w:after="0" w:line="1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86" w:lineRule="exact"/>
        <w:rPr>
          <w:sz w:val="24"/>
          <w:szCs w:val="24"/>
          <w:color w:val="auto"/>
        </w:rPr>
      </w:pPr>
    </w:p>
    <w:p>
      <w:pPr>
        <w:jc w:val="right"/>
        <w:ind w:left="4240" w:right="4260" w:hanging="3786"/>
        <w:spacing w:after="0" w:line="508" w:lineRule="auto"/>
        <w:tabs>
          <w:tab w:leader="none" w:pos="886"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 For the transition period from _________to _________</w:t>
      </w:r>
    </w:p>
    <w:p>
      <w:pPr>
        <w:ind w:left="4800"/>
        <w:spacing w:after="0"/>
        <w:rPr>
          <w:rFonts w:ascii="Wingdings" w:cs="Wingdings" w:eastAsia="Wingdings" w:hAnsi="Wingdings"/>
          <w:sz w:val="12"/>
          <w:szCs w:val="12"/>
          <w:b w:val="1"/>
          <w:bCs w:val="1"/>
          <w:color w:val="auto"/>
        </w:rPr>
      </w:pPr>
      <w:r>
        <w:rPr>
          <w:rFonts w:ascii="Times New Roman" w:cs="Times New Roman" w:eastAsia="Times New Roman" w:hAnsi="Times New Roman"/>
          <w:sz w:val="12"/>
          <w:szCs w:val="12"/>
          <w:b w:val="1"/>
          <w:bCs w:val="1"/>
          <w:color w:val="auto"/>
        </w:rPr>
        <w:t>Commission File Number 0-1665</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289"/>
        </w:trPr>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9"/>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KINGSTONE COMPANIES, INC.</w:t>
            </w:r>
          </w:p>
        </w:tc>
        <w:tc>
          <w:tcPr>
            <w:tcW w:w="168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54"/>
        </w:trPr>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80" w:type="dxa"/>
            <w:vAlign w:val="bottom"/>
            <w:gridSpan w:val="8"/>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(Exact name of registrant as specified in its charter)</w:t>
            </w: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19"/>
        </w:trPr>
        <w:tc>
          <w:tcPr>
            <w:tcW w:w="8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36-2476480</w:t>
            </w:r>
          </w:p>
        </w:tc>
        <w:tc>
          <w:tcPr>
            <w:tcW w:w="144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111"/>
        </w:trPr>
        <w:tc>
          <w:tcPr>
            <w:tcW w:w="8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760" w:type="dxa"/>
            <w:vAlign w:val="bottom"/>
          </w:tcPr>
          <w:p>
            <w:pPr>
              <w:jc w:val="center"/>
              <w:ind w:left="40"/>
              <w:spacing w:after="0" w:line="111" w:lineRule="exact"/>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120" w:type="dxa"/>
            <w:vAlign w:val="bottom"/>
            <w:gridSpan w:val="2"/>
          </w:tcPr>
          <w:p>
            <w:pPr>
              <w:jc w:val="center"/>
              <w:ind w:right="1680"/>
              <w:spacing w:after="0" w:line="111" w:lineRule="exact"/>
              <w:rPr>
                <w:sz w:val="20"/>
                <w:szCs w:val="20"/>
                <w:color w:val="auto"/>
              </w:rPr>
            </w:pPr>
            <w:r>
              <w:rPr>
                <w:rFonts w:ascii="Times New Roman" w:cs="Times New Roman" w:eastAsia="Times New Roman" w:hAnsi="Times New Roman"/>
                <w:sz w:val="12"/>
                <w:szCs w:val="12"/>
                <w:b w:val="1"/>
                <w:bCs w:val="1"/>
                <w:color w:val="auto"/>
              </w:rPr>
              <w:t>(I.R.S. Employer</w:t>
            </w:r>
          </w:p>
        </w:tc>
        <w:tc>
          <w:tcPr>
            <w:tcW w:w="840" w:type="dxa"/>
            <w:vAlign w:val="bottom"/>
          </w:tcPr>
          <w:p>
            <w:pPr>
              <w:spacing w:after="0"/>
              <w:rPr>
                <w:sz w:val="9"/>
                <w:szCs w:val="9"/>
                <w:color w:val="auto"/>
              </w:rPr>
            </w:pPr>
          </w:p>
        </w:tc>
      </w:tr>
      <w:tr>
        <w:trPr>
          <w:trHeight w:val="159"/>
        </w:trPr>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760" w:type="dxa"/>
            <w:vAlign w:val="bottom"/>
          </w:tcPr>
          <w:p>
            <w:pPr>
              <w:jc w:val="center"/>
              <w:ind w:left="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20" w:type="dxa"/>
            <w:vAlign w:val="bottom"/>
            <w:gridSpan w:val="2"/>
          </w:tcPr>
          <w:p>
            <w:pPr>
              <w:jc w:val="center"/>
              <w:ind w:right="1680"/>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c>
          <w:tcPr>
            <w:tcW w:w="840" w:type="dxa"/>
            <w:vAlign w:val="bottom"/>
          </w:tcPr>
          <w:p>
            <w:pPr>
              <w:spacing w:after="0"/>
              <w:rPr>
                <w:sz w:val="13"/>
                <w:szCs w:val="13"/>
                <w:color w:val="auto"/>
              </w:rPr>
            </w:pPr>
          </w:p>
        </w:tc>
      </w:tr>
      <w:tr>
        <w:trPr>
          <w:trHeight w:val="330"/>
        </w:trPr>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gridSpan w:val="7"/>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w w:val="99"/>
              </w:rPr>
              <w:t>120 Wood Road</w:t>
            </w: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32"/>
        </w:trPr>
        <w:tc>
          <w:tcPr>
            <w:tcW w:w="8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40" w:type="dxa"/>
            <w:vAlign w:val="bottom"/>
            <w:gridSpan w:val="7"/>
          </w:tcPr>
          <w:p>
            <w:pPr>
              <w:jc w:val="center"/>
              <w:ind w:right="1200"/>
              <w:spacing w:after="0" w:line="132" w:lineRule="exact"/>
              <w:rPr>
                <w:sz w:val="20"/>
                <w:szCs w:val="20"/>
                <w:color w:val="auto"/>
              </w:rPr>
            </w:pPr>
            <w:r>
              <w:rPr>
                <w:rFonts w:ascii="Times New Roman" w:cs="Times New Roman" w:eastAsia="Times New Roman" w:hAnsi="Times New Roman"/>
                <w:sz w:val="12"/>
                <w:szCs w:val="12"/>
                <w:b w:val="1"/>
                <w:bCs w:val="1"/>
                <w:color w:val="auto"/>
              </w:rPr>
              <w:t>Kingston, NY 12401</w:t>
            </w: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4"/>
        </w:trPr>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92"/>
              </w:rPr>
              <w:t>(Address</w:t>
            </w:r>
          </w:p>
        </w:tc>
        <w:tc>
          <w:tcPr>
            <w:tcW w:w="10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color w:val="auto"/>
                <w:w w:val="95"/>
              </w:rPr>
              <w:t>of principal executive</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offices)</w:t>
            </w:r>
          </w:p>
        </w:tc>
        <w:tc>
          <w:tcPr>
            <w:tcW w:w="1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59"/>
        </w:trPr>
        <w:tc>
          <w:tcPr>
            <w:tcW w:w="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240" w:type="dxa"/>
            <w:vAlign w:val="bottom"/>
            <w:gridSpan w:val="3"/>
          </w:tcPr>
          <w:p>
            <w:pPr>
              <w:spacing w:after="0"/>
              <w:rPr>
                <w:sz w:val="22"/>
                <w:szCs w:val="22"/>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(845) 802-7900</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144"/>
        </w:trPr>
        <w:tc>
          <w:tcPr>
            <w:tcW w:w="8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(Registrant’s telephone number,</w:t>
            </w:r>
          </w:p>
        </w:tc>
        <w:tc>
          <w:tcPr>
            <w:tcW w:w="13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including area code)</w:t>
            </w:r>
          </w:p>
        </w:tc>
        <w:tc>
          <w:tcPr>
            <w:tcW w:w="1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77"/>
        </w:trPr>
        <w:tc>
          <w:tcPr>
            <w:tcW w:w="4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2"/>
        </w:trPr>
        <w:tc>
          <w:tcPr>
            <w:tcW w:w="8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2"/>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55"/>
        </w:trPr>
        <w:tc>
          <w:tcPr>
            <w:tcW w:w="820" w:type="dxa"/>
            <w:vAlign w:val="bottom"/>
            <w:tcBorders>
              <w:left w:val="single" w:sz="8" w:color="auto"/>
              <w:bottom w:val="single" w:sz="8" w:color="auto"/>
            </w:tcBorders>
          </w:tcPr>
          <w:p>
            <w:pPr>
              <w:spacing w:after="0"/>
              <w:rPr>
                <w:sz w:val="13"/>
                <w:szCs w:val="13"/>
                <w:color w:val="auto"/>
              </w:rPr>
            </w:pPr>
          </w:p>
        </w:tc>
        <w:tc>
          <w:tcPr>
            <w:tcW w:w="32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2"/>
                <w:szCs w:val="12"/>
                <w:color w:val="auto"/>
              </w:rPr>
              <w:t>Title of each class</w:t>
            </w:r>
          </w:p>
        </w:tc>
        <w:tc>
          <w:tcPr>
            <w:tcW w:w="2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900" w:type="dxa"/>
            <w:vAlign w:val="bottom"/>
            <w:tcBorders>
              <w:bottom w:val="single" w:sz="8" w:color="auto"/>
              <w:right w:val="single" w:sz="8" w:color="auto"/>
            </w:tcBorders>
            <w:gridSpan w:val="6"/>
          </w:tcPr>
          <w:p>
            <w:pPr>
              <w:jc w:val="center"/>
              <w:ind w:right="800"/>
              <w:spacing w:after="0"/>
              <w:rPr>
                <w:sz w:val="20"/>
                <w:szCs w:val="20"/>
                <w:color w:val="auto"/>
              </w:rPr>
            </w:pPr>
            <w:r>
              <w:rPr>
                <w:rFonts w:ascii="Times New Roman" w:cs="Times New Roman" w:eastAsia="Times New Roman" w:hAnsi="Times New Roman"/>
                <w:sz w:val="12"/>
                <w:szCs w:val="12"/>
                <w:color w:val="auto"/>
              </w:rPr>
              <w:t>Trading Symbol(s)</w:t>
            </w:r>
          </w:p>
        </w:tc>
        <w:tc>
          <w:tcPr>
            <w:tcW w:w="3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2"/>
          </w:tcPr>
          <w:p>
            <w:pPr>
              <w:jc w:val="center"/>
              <w:ind w:left="4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c>
          <w:tcPr>
            <w:tcW w:w="840" w:type="dxa"/>
            <w:vAlign w:val="bottom"/>
            <w:tcBorders>
              <w:bottom w:val="single" w:sz="8" w:color="auto"/>
              <w:right w:val="single" w:sz="8" w:color="auto"/>
            </w:tcBorders>
          </w:tcPr>
          <w:p>
            <w:pPr>
              <w:spacing w:after="0"/>
              <w:rPr>
                <w:sz w:val="13"/>
                <w:szCs w:val="13"/>
                <w:color w:val="auto"/>
              </w:rPr>
            </w:pPr>
          </w:p>
        </w:tc>
      </w:tr>
      <w:tr>
        <w:trPr>
          <w:trHeight w:val="160"/>
        </w:trPr>
        <w:tc>
          <w:tcPr>
            <w:tcW w:w="402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Common Stock, $0.01 par value per share</w:t>
            </w:r>
          </w:p>
        </w:tc>
        <w:tc>
          <w:tcPr>
            <w:tcW w:w="2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right w:val="single" w:sz="8" w:color="auto"/>
            </w:tcBorders>
            <w:gridSpan w:val="5"/>
          </w:tcPr>
          <w:p>
            <w:pPr>
              <w:jc w:val="center"/>
              <w:ind w:right="940"/>
              <w:spacing w:after="0"/>
              <w:rPr>
                <w:sz w:val="20"/>
                <w:szCs w:val="20"/>
                <w:color w:val="auto"/>
              </w:rPr>
            </w:pPr>
            <w:r>
              <w:rPr>
                <w:rFonts w:ascii="Times New Roman" w:cs="Times New Roman" w:eastAsia="Times New Roman" w:hAnsi="Times New Roman"/>
                <w:sz w:val="12"/>
                <w:szCs w:val="12"/>
                <w:color w:val="auto"/>
                <w:w w:val="99"/>
              </w:rPr>
              <w:t>KINS</w:t>
            </w:r>
          </w:p>
        </w:tc>
        <w:tc>
          <w:tcPr>
            <w:tcW w:w="3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2"/>
          </w:tcPr>
          <w:p>
            <w:pPr>
              <w:jc w:val="center"/>
              <w:ind w:left="420"/>
              <w:spacing w:after="0"/>
              <w:rPr>
                <w:sz w:val="20"/>
                <w:szCs w:val="20"/>
                <w:color w:val="auto"/>
              </w:rPr>
            </w:pPr>
            <w:r>
              <w:rPr>
                <w:rFonts w:ascii="Times New Roman" w:cs="Times New Roman" w:eastAsia="Times New Roman" w:hAnsi="Times New Roman"/>
                <w:sz w:val="12"/>
                <w:szCs w:val="12"/>
                <w:color w:val="auto"/>
              </w:rPr>
              <w:t>Nasdaq Capital Market</w:t>
            </w:r>
          </w:p>
        </w:tc>
        <w:tc>
          <w:tcPr>
            <w:tcW w:w="840" w:type="dxa"/>
            <w:vAlign w:val="bottom"/>
            <w:tcBorders>
              <w:bottom w:val="single" w:sz="8" w:color="auto"/>
              <w:right w:val="single" w:sz="8" w:color="auto"/>
            </w:tcBorders>
          </w:tcPr>
          <w:p>
            <w:pPr>
              <w:spacing w:after="0"/>
              <w:rPr>
                <w:sz w:val="13"/>
                <w:szCs w:val="13"/>
                <w:color w:val="auto"/>
              </w:rPr>
            </w:pPr>
          </w:p>
        </w:tc>
      </w:tr>
      <w:tr>
        <w:trPr>
          <w:trHeight w:val="335"/>
        </w:trPr>
        <w:tc>
          <w:tcPr>
            <w:tcW w:w="4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83755"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3755" cy="12001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None</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150" w:lineRule="exact"/>
        <w:rPr>
          <w:sz w:val="24"/>
          <w:szCs w:val="24"/>
          <w:color w:val="auto"/>
        </w:rPr>
      </w:pPr>
    </w:p>
    <w:p>
      <w:pPr>
        <w:spacing w:after="0"/>
        <w:tabs>
          <w:tab w:leader="none" w:pos="6060" w:val="left"/>
        </w:tabs>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Wingdings" w:cs="Wingdings" w:eastAsia="Wingdings" w:hAnsi="Wingdings"/>
          <w:sz w:val="12"/>
          <w:szCs w:val="12"/>
          <w:b w:val="1"/>
          <w:bCs w:val="1"/>
          <w:color w:val="auto"/>
        </w:rPr>
        <w:t>o</w:t>
      </w:r>
      <w:r>
        <w:rPr>
          <w:sz w:val="20"/>
          <w:szCs w:val="20"/>
          <w:color w:val="auto"/>
        </w:rPr>
        <w:tab/>
      </w:r>
      <w:r>
        <w:rPr>
          <w:rFonts w:ascii="Times New Roman" w:cs="Times New Roman" w:eastAsia="Times New Roman" w:hAnsi="Times New Roman"/>
          <w:sz w:val="11"/>
          <w:szCs w:val="11"/>
          <w:color w:val="auto"/>
        </w:rPr>
        <w:t xml:space="preserve">No </w:t>
      </w:r>
      <w:r>
        <w:rPr>
          <w:rFonts w:ascii="Wingdings" w:cs="Wingdings" w:eastAsia="Wingdings" w:hAnsi="Wingdings"/>
          <w:sz w:val="11"/>
          <w:szCs w:val="11"/>
          <w:b w:val="1"/>
          <w:bCs w:val="1"/>
          <w:color w:val="auto"/>
        </w:rPr>
        <w:t>x</w:t>
      </w:r>
    </w:p>
    <w:p>
      <w:pPr>
        <w:spacing w:after="0" w:line="141" w:lineRule="exact"/>
        <w:rPr>
          <w:sz w:val="24"/>
          <w:szCs w:val="24"/>
          <w:color w:val="auto"/>
        </w:rPr>
      </w:pPr>
    </w:p>
    <w:p>
      <w:pPr>
        <w:spacing w:after="0"/>
        <w:tabs>
          <w:tab w:leader="none" w:pos="6180" w:val="left"/>
        </w:tabs>
        <w:rPr>
          <w:sz w:val="20"/>
          <w:szCs w:val="20"/>
          <w:color w:val="auto"/>
        </w:rPr>
      </w:pPr>
      <w:r>
        <w:rPr>
          <w:rFonts w:ascii="Times New Roman" w:cs="Times New Roman" w:eastAsia="Times New Roman" w:hAnsi="Times New Roman"/>
          <w:sz w:val="12"/>
          <w:szCs w:val="12"/>
          <w:color w:val="auto"/>
        </w:rPr>
        <w:t xml:space="preserve">Indicate by check mark if the registrant is not required to file reports pursuant to Section 13 or Section 15(d) of the Act. Yes </w:t>
      </w:r>
      <w:r>
        <w:rPr>
          <w:rFonts w:ascii="Wingdings" w:cs="Wingdings" w:eastAsia="Wingdings" w:hAnsi="Wingdings"/>
          <w:sz w:val="12"/>
          <w:szCs w:val="12"/>
          <w:b w:val="1"/>
          <w:bCs w:val="1"/>
          <w:color w:val="auto"/>
        </w:rPr>
        <w:t>o</w:t>
      </w:r>
      <w:r>
        <w:rPr>
          <w:sz w:val="20"/>
          <w:szCs w:val="20"/>
          <w:color w:val="auto"/>
        </w:rPr>
        <w:tab/>
      </w:r>
      <w:r>
        <w:rPr>
          <w:rFonts w:ascii="Times New Roman" w:cs="Times New Roman" w:eastAsia="Times New Roman" w:hAnsi="Times New Roman"/>
          <w:sz w:val="11"/>
          <w:szCs w:val="11"/>
          <w:color w:val="auto"/>
        </w:rPr>
        <w:t xml:space="preserve">No </w:t>
      </w:r>
      <w:r>
        <w:rPr>
          <w:rFonts w:ascii="Wingdings" w:cs="Wingdings" w:eastAsia="Wingdings" w:hAnsi="Wingdings"/>
          <w:sz w:val="11"/>
          <w:szCs w:val="11"/>
          <w:b w:val="1"/>
          <w:bCs w:val="1"/>
          <w:color w:val="auto"/>
        </w:rPr>
        <w:t>x</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Note </w:t>
      </w:r>
      <w:r>
        <w:rPr>
          <w:rFonts w:ascii="Times New Roman" w:cs="Times New Roman" w:eastAsia="Times New Roman" w:hAnsi="Times New Roman"/>
          <w:sz w:val="12"/>
          <w:szCs w:val="12"/>
          <w:color w:val="auto"/>
        </w:rPr>
        <w:t>– Checking the box above will not relieve any registrant required to file reports pursuant to Section 13 or 15(d) of the Exchange Act from their obligations under those Sections.</w:t>
      </w:r>
    </w:p>
    <w:p>
      <w:pPr>
        <w:spacing w:after="0" w:line="15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2"/>
          <w:szCs w:val="12"/>
          <w:color w:val="auto"/>
        </w:rPr>
        <w:t>Persons who respond to the collection of information contained in this form are not</w:t>
      </w:r>
    </w:p>
    <w:p>
      <w:pPr>
        <w:spacing w:after="0" w:line="6"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2"/>
          <w:szCs w:val="12"/>
          <w:color w:val="auto"/>
        </w:rPr>
        <w:t>required to respond unless the form displays a currently valid OMB control number.</w:t>
      </w:r>
    </w:p>
    <w:p>
      <w:pPr>
        <w:spacing w:after="0"/>
        <w:rPr>
          <w:sz w:val="20"/>
          <w:szCs w:val="20"/>
          <w:color w:val="auto"/>
        </w:rPr>
      </w:pPr>
      <w:r>
        <w:rPr>
          <w:rFonts w:ascii="Times New Roman" w:cs="Times New Roman" w:eastAsia="Times New Roman" w:hAnsi="Times New Roman"/>
          <w:sz w:val="12"/>
          <w:szCs w:val="12"/>
          <w:color w:val="auto"/>
        </w:rPr>
        <w:t>SEC 1673 (04-20)</w:t>
      </w:r>
    </w:p>
    <w:p>
      <w:pPr>
        <w:spacing w:after="0" w:line="138"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110"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spacing w:after="0" w:line="102"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5" w:lineRule="exact"/>
        <w:rPr>
          <w:sz w:val="24"/>
          <w:szCs w:val="24"/>
          <w:color w:val="auto"/>
        </w:rPr>
      </w:pPr>
    </w:p>
    <w:tbl>
      <w:tblPr>
        <w:tblLayout w:type="fixed"/>
        <w:tblInd w:w="880" w:type="dxa"/>
        <w:tblCellMar>
          <w:top w:w="0" w:type="dxa"/>
          <w:left w:w="0" w:type="dxa"/>
          <w:bottom w:w="0" w:type="dxa"/>
          <w:right w:w="0" w:type="dxa"/>
        </w:tblCellMar>
      </w:tblPr>
      <w:tr>
        <w:trPr>
          <w:trHeight w:val="155"/>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040" w:type="dxa"/>
            <w:vAlign w:val="bottom"/>
          </w:tcPr>
          <w:p>
            <w:pPr>
              <w:ind w:left="940"/>
              <w:spacing w:after="0"/>
              <w:rPr>
                <w:sz w:val="20"/>
                <w:szCs w:val="20"/>
                <w:color w:val="auto"/>
              </w:rPr>
            </w:pPr>
            <w:r>
              <w:rPr>
                <w:rFonts w:ascii="Wingdings" w:cs="Wingdings" w:eastAsia="Wingdings" w:hAnsi="Wingdings"/>
                <w:sz w:val="12"/>
                <w:szCs w:val="12"/>
                <w:b w:val="1"/>
                <w:bCs w:val="1"/>
                <w:color w:val="auto"/>
              </w:rPr>
              <w:t>o</w:t>
            </w:r>
          </w:p>
        </w:tc>
        <w:tc>
          <w:tcPr>
            <w:tcW w:w="314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Accelerated filer</w:t>
            </w:r>
          </w:p>
        </w:tc>
        <w:tc>
          <w:tcPr>
            <w:tcW w:w="960" w:type="dxa"/>
            <w:vAlign w:val="bottom"/>
          </w:tcPr>
          <w:p>
            <w:pPr>
              <w:ind w:left="820"/>
              <w:spacing w:after="0"/>
              <w:rPr>
                <w:sz w:val="20"/>
                <w:szCs w:val="20"/>
                <w:color w:val="auto"/>
              </w:rPr>
            </w:pPr>
            <w:r>
              <w:rPr>
                <w:rFonts w:ascii="Wingdings" w:cs="Wingdings" w:eastAsia="Wingdings" w:hAnsi="Wingdings"/>
                <w:sz w:val="12"/>
                <w:szCs w:val="12"/>
                <w:b w:val="1"/>
                <w:bCs w:val="1"/>
                <w:color w:val="auto"/>
                <w:w w:val="93"/>
              </w:rPr>
              <w:t>x</w:t>
            </w:r>
          </w:p>
        </w:tc>
      </w:tr>
      <w:tr>
        <w:trPr>
          <w:trHeight w:val="171"/>
        </w:trPr>
        <w:tc>
          <w:tcPr>
            <w:tcW w:w="20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040" w:type="dxa"/>
            <w:vAlign w:val="bottom"/>
          </w:tcPr>
          <w:p>
            <w:pPr>
              <w:ind w:left="940"/>
              <w:spacing w:after="0"/>
              <w:rPr>
                <w:sz w:val="20"/>
                <w:szCs w:val="20"/>
                <w:color w:val="auto"/>
              </w:rPr>
            </w:pPr>
            <w:r>
              <w:rPr>
                <w:rFonts w:ascii="Wingdings" w:cs="Wingdings" w:eastAsia="Wingdings" w:hAnsi="Wingdings"/>
                <w:sz w:val="12"/>
                <w:szCs w:val="12"/>
                <w:b w:val="1"/>
                <w:bCs w:val="1"/>
                <w:color w:val="auto"/>
              </w:rPr>
              <w:t>o</w:t>
            </w:r>
          </w:p>
        </w:tc>
        <w:tc>
          <w:tcPr>
            <w:tcW w:w="314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960" w:type="dxa"/>
            <w:vAlign w:val="bottom"/>
          </w:tcPr>
          <w:p>
            <w:pPr>
              <w:ind w:left="820"/>
              <w:spacing w:after="0"/>
              <w:rPr>
                <w:sz w:val="20"/>
                <w:szCs w:val="20"/>
                <w:color w:val="auto"/>
              </w:rPr>
            </w:pPr>
            <w:r>
              <w:rPr>
                <w:rFonts w:ascii="Wingdings" w:cs="Wingdings" w:eastAsia="Wingdings" w:hAnsi="Wingdings"/>
                <w:sz w:val="12"/>
                <w:szCs w:val="12"/>
                <w:b w:val="1"/>
                <w:bCs w:val="1"/>
                <w:color w:val="auto"/>
                <w:w w:val="93"/>
              </w:rPr>
              <w:t>x</w:t>
            </w:r>
          </w:p>
        </w:tc>
      </w:tr>
      <w:tr>
        <w:trPr>
          <w:trHeight w:val="171"/>
        </w:trPr>
        <w:tc>
          <w:tcPr>
            <w:tcW w:w="2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Emerging growth company</w:t>
            </w:r>
          </w:p>
        </w:tc>
        <w:tc>
          <w:tcPr>
            <w:tcW w:w="960" w:type="dxa"/>
            <w:vAlign w:val="bottom"/>
          </w:tcPr>
          <w:p>
            <w:pPr>
              <w:ind w:left="820"/>
              <w:spacing w:after="0"/>
              <w:rPr>
                <w:sz w:val="20"/>
                <w:szCs w:val="20"/>
                <w:color w:val="auto"/>
              </w:rPr>
            </w:pPr>
            <w:r>
              <w:rPr>
                <w:rFonts w:ascii="Wingdings" w:cs="Wingdings" w:eastAsia="Wingdings" w:hAnsi="Wingdings"/>
                <w:sz w:val="12"/>
                <w:szCs w:val="12"/>
                <w:b w:val="1"/>
                <w:bCs w:val="1"/>
                <w:color w:val="auto"/>
              </w:rPr>
              <w:t>o</w:t>
            </w:r>
          </w:p>
        </w:tc>
      </w:tr>
    </w:tbl>
    <w:p>
      <w:pPr>
        <w:spacing w:after="0" w:line="52" w:lineRule="exact"/>
        <w:rPr>
          <w:sz w:val="24"/>
          <w:szCs w:val="24"/>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102"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2"/>
          <w:szCs w:val="12"/>
          <w:b w:val="1"/>
          <w:bCs w:val="1"/>
          <w:color w:val="auto"/>
        </w:rPr>
        <w:t>x</w:t>
      </w:r>
    </w:p>
    <w:p>
      <w:pPr>
        <w:spacing w:after="0" w:line="119" w:lineRule="exact"/>
        <w:rPr>
          <w:sz w:val="24"/>
          <w:szCs w:val="24"/>
          <w:color w:val="auto"/>
        </w:rPr>
      </w:pPr>
    </w:p>
    <w:p>
      <w:pPr>
        <w:ind w:right="20"/>
        <w:spacing w:after="0" w:line="264" w:lineRule="auto"/>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the previously issued financial statements. </w:t>
      </w:r>
      <w:r>
        <w:rPr>
          <w:rFonts w:ascii="Wingdings" w:cs="Wingdings" w:eastAsia="Wingdings" w:hAnsi="Wingdings"/>
          <w:sz w:val="12"/>
          <w:szCs w:val="12"/>
          <w:b w:val="1"/>
          <w:bCs w:val="1"/>
          <w:color w:val="auto"/>
        </w:rPr>
        <w:t>o</w:t>
      </w:r>
    </w:p>
    <w:p>
      <w:pPr>
        <w:spacing w:after="0" w:line="110"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2"/>
          <w:szCs w:val="12"/>
          <w:b w:val="1"/>
          <w:bCs w:val="1"/>
          <w:color w:val="auto"/>
        </w:rPr>
        <w:t>o</w:t>
      </w:r>
    </w:p>
    <w:p>
      <w:pPr>
        <w:spacing w:after="0" w:line="102" w:lineRule="exact"/>
        <w:rPr>
          <w:sz w:val="24"/>
          <w:szCs w:val="24"/>
          <w:color w:val="auto"/>
        </w:rPr>
      </w:pPr>
    </w:p>
    <w:p>
      <w:pPr>
        <w:spacing w:after="0"/>
        <w:tabs>
          <w:tab w:leader="none" w:pos="588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Wingdings" w:cs="Wingdings" w:eastAsia="Wingdings" w:hAnsi="Wingdings"/>
          <w:sz w:val="12"/>
          <w:szCs w:val="12"/>
          <w:b w:val="1"/>
          <w:bCs w:val="1"/>
          <w:color w:val="auto"/>
        </w:rPr>
        <w:t>o</w:t>
      </w:r>
      <w:r>
        <w:rPr>
          <w:sz w:val="20"/>
          <w:szCs w:val="20"/>
          <w:color w:val="auto"/>
        </w:rPr>
        <w:tab/>
      </w:r>
      <w:r>
        <w:rPr>
          <w:rFonts w:ascii="Times New Roman" w:cs="Times New Roman" w:eastAsia="Times New Roman" w:hAnsi="Times New Roman"/>
          <w:sz w:val="11"/>
          <w:szCs w:val="11"/>
          <w:color w:val="auto"/>
        </w:rPr>
        <w:t xml:space="preserve">No </w:t>
      </w:r>
      <w:r>
        <w:rPr>
          <w:rFonts w:ascii="Wingdings" w:cs="Wingdings" w:eastAsia="Wingdings" w:hAnsi="Wingdings"/>
          <w:sz w:val="11"/>
          <w:szCs w:val="11"/>
          <w:b w:val="1"/>
          <w:bCs w:val="1"/>
          <w:color w:val="auto"/>
        </w:rPr>
        <w:t>x</w:t>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June 30, 2025, the aggregate market value of the registrant’s common stock held by non-affiliates of the registrant was $206,834,561 based on the closing sale price as reported on the Nasdaq Capital Market.</w:t>
      </w:r>
    </w:p>
    <w:p>
      <w:pPr>
        <w:spacing w:after="0" w:line="122" w:lineRule="exact"/>
        <w:rPr>
          <w:sz w:val="24"/>
          <w:szCs w:val="24"/>
          <w:color w:val="auto"/>
        </w:rPr>
      </w:pPr>
    </w:p>
    <w:p>
      <w:pPr>
        <w:ind w:right="20"/>
        <w:spacing w:after="0" w:line="312" w:lineRule="auto"/>
        <w:rPr>
          <w:sz w:val="20"/>
          <w:szCs w:val="20"/>
          <w:color w:val="auto"/>
        </w:rPr>
      </w:pPr>
      <w:r>
        <w:rPr>
          <w:rFonts w:ascii="Times New Roman" w:cs="Times New Roman" w:eastAsia="Times New Roman" w:hAnsi="Times New Roman"/>
          <w:sz w:val="12"/>
          <w:szCs w:val="12"/>
          <w:b w:val="1"/>
          <w:bCs w:val="1"/>
          <w:color w:val="auto"/>
        </w:rPr>
        <w:t>Note.</w:t>
      </w:r>
      <w:r>
        <w:rPr>
          <w:rFonts w:ascii="Times New Roman" w:cs="Times New Roman" w:eastAsia="Times New Roman" w:hAnsi="Times New Roman"/>
          <w:sz w:val="12"/>
          <w:szCs w:val="12"/>
          <w:color w:val="auto"/>
        </w:rPr>
        <w:t>—If a determination as to whether a particular person or entity is an a</w:t>
      </w:r>
      <w:r>
        <w:rPr>
          <w:rFonts w:ascii="Arial" w:cs="Arial" w:eastAsia="Arial" w:hAnsi="Arial"/>
          <w:sz w:val="12"/>
          <w:szCs w:val="12"/>
          <w:color w:val="auto"/>
        </w:rPr>
        <w:t>ﬃ</w:t>
      </w:r>
      <w:r>
        <w:rPr>
          <w:rFonts w:ascii="Times New Roman" w:cs="Times New Roman" w:eastAsia="Times New Roman" w:hAnsi="Times New Roman"/>
          <w:sz w:val="12"/>
          <w:szCs w:val="12"/>
          <w:color w:val="auto"/>
        </w:rPr>
        <w:t>liate cannot be made without involving unreasonable e</w:t>
      </w:r>
      <w:r>
        <w:rPr>
          <w:rFonts w:ascii="Arial" w:cs="Arial" w:eastAsia="Arial" w:hAnsi="Arial"/>
          <w:sz w:val="12"/>
          <w:szCs w:val="12"/>
          <w:color w:val="auto"/>
        </w:rPr>
        <w:t>ﬀ</w:t>
      </w:r>
      <w:r>
        <w:rPr>
          <w:rFonts w:ascii="Times New Roman" w:cs="Times New Roman" w:eastAsia="Times New Roman" w:hAnsi="Times New Roman"/>
          <w:sz w:val="12"/>
          <w:szCs w:val="12"/>
          <w:color w:val="auto"/>
        </w:rPr>
        <w:t>ort and expense, the aggregate market value of the common stock held by non-a</w:t>
      </w:r>
      <w:r>
        <w:rPr>
          <w:rFonts w:ascii="Arial" w:cs="Arial" w:eastAsia="Arial" w:hAnsi="Arial"/>
          <w:sz w:val="12"/>
          <w:szCs w:val="12"/>
          <w:color w:val="auto"/>
        </w:rPr>
        <w:t>ﬃ</w:t>
      </w:r>
      <w:r>
        <w:rPr>
          <w:rFonts w:ascii="Times New Roman" w:cs="Times New Roman" w:eastAsia="Times New Roman" w:hAnsi="Times New Roman"/>
          <w:sz w:val="12"/>
          <w:szCs w:val="12"/>
          <w:color w:val="auto"/>
        </w:rPr>
        <w:t>liates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calculated on the basis of assumptions reasonable under the circumstances, provided that the assumptions are set forth in this Form.</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APPLICABLE ONLY TO REGISTRANTS INVOLVED IN BANKRUPTCY PROCEEDINGS DURING THE PRECEDING FIVE YEARS:</w:t>
      </w:r>
    </w:p>
    <w:p>
      <w:pPr>
        <w:spacing w:after="0" w:line="150"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Wingdings" w:cs="Wingdings" w:eastAsia="Wingdings" w:hAnsi="Wingdings"/>
          <w:sz w:val="12"/>
          <w:szCs w:val="12"/>
          <w:b w:val="1"/>
          <w:bCs w:val="1"/>
          <w:color w:val="auto"/>
        </w:rPr>
        <w:t>o</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o</w:t>
      </w:r>
    </w:p>
    <w:p>
      <w:pPr>
        <w:jc w:val="center"/>
        <w:spacing w:after="0"/>
        <w:rPr>
          <w:sz w:val="20"/>
          <w:szCs w:val="20"/>
          <w:color w:val="auto"/>
        </w:rPr>
      </w:pPr>
      <w:r>
        <w:rPr>
          <w:rFonts w:ascii="Times New Roman" w:cs="Times New Roman" w:eastAsia="Times New Roman" w:hAnsi="Times New Roman"/>
          <w:sz w:val="12"/>
          <w:szCs w:val="12"/>
          <w:color w:val="auto"/>
        </w:rPr>
        <w:t>(APPLICABLE ONLY TO CORPORATE REGISTRANTS)</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the number of shares outstanding of each of the registrant’s classes of common stock, as of the latest practicable date. As of March 10, 2026, there were 14,476,825 shares of common stock outstanding.</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567690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717804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9" w:right="299" w:bottom="85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720" w:type="dxa"/>
            <w:vAlign w:val="bottom"/>
            <w:gridSpan w:val="6"/>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547"/>
        </w:trPr>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4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INDEX</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5"/>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80" w:type="dxa"/>
            <w:vAlign w:val="bottom"/>
            <w:gridSpan w:val="2"/>
          </w:tcPr>
          <w:p>
            <w:pPr>
              <w:ind w:left="520"/>
              <w:spacing w:after="0"/>
              <w:rPr>
                <w:sz w:val="20"/>
                <w:szCs w:val="20"/>
                <w:color w:val="auto"/>
              </w:rPr>
            </w:pPr>
            <w:r>
              <w:rPr>
                <w:rFonts w:ascii="Times New Roman" w:cs="Times New Roman" w:eastAsia="Times New Roman" w:hAnsi="Times New Roman"/>
                <w:sz w:val="12"/>
                <w:szCs w:val="12"/>
                <w:b w:val="1"/>
                <w:bCs w:val="1"/>
                <w:color w:val="auto"/>
              </w:rPr>
              <w:t>Page No.</w:t>
            </w:r>
          </w:p>
        </w:tc>
      </w:tr>
      <w:tr>
        <w:trPr>
          <w:trHeight w:val="124"/>
        </w:trPr>
        <w:tc>
          <w:tcPr>
            <w:tcW w:w="1420" w:type="dxa"/>
            <w:vAlign w:val="bottom"/>
            <w:tcBorders>
              <w:bottom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9"/>
              </w:rPr>
              <w:t>Forward-Looking Statements</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5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0"/>
                <w:szCs w:val="10"/>
                <w:color w:val="auto"/>
              </w:rPr>
            </w:pPr>
          </w:p>
        </w:tc>
      </w:tr>
      <w:tr>
        <w:trPr>
          <w:trHeight w:val="339"/>
        </w:trPr>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0000EE"/>
                <w:w w:val="74"/>
              </w:rPr>
              <w:t>PART I</w:t>
            </w:r>
          </w:p>
        </w:tc>
        <w:tc>
          <w:tcPr>
            <w:tcW w:w="1380" w:type="dxa"/>
            <w:vAlign w:val="bottom"/>
            <w:gridSpan w:val="5"/>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3"/>
        </w:trPr>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1.</w:t>
            </w: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Business.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CCEEFF"/>
            </w:tcBorders>
            <w:shd w:val="clear" w:color="auto" w:fill="0000EE"/>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35"/>
        </w:trPr>
        <w:tc>
          <w:tcPr>
            <w:tcW w:w="42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0000EE"/>
                <w:w w:val="88"/>
              </w:rPr>
              <w:t>Item 1A.</w:t>
            </w:r>
          </w:p>
        </w:tc>
        <w:tc>
          <w:tcPr>
            <w:tcW w:w="1300" w:type="dxa"/>
            <w:vAlign w:val="bottom"/>
            <w:gridSpan w:val="4"/>
          </w:tcPr>
          <w:p>
            <w:pPr>
              <w:spacing w:after="0"/>
              <w:rPr>
                <w:sz w:val="11"/>
                <w:szCs w:val="11"/>
                <w:color w:val="auto"/>
              </w:rPr>
            </w:pPr>
          </w:p>
        </w:tc>
        <w:tc>
          <w:tcPr>
            <w:tcW w:w="8000" w:type="dxa"/>
            <w:vAlign w:val="bottom"/>
            <w:gridSpan w:val="18"/>
          </w:tcPr>
          <w:p>
            <w:pPr>
              <w:spacing w:after="0" w:line="135" w:lineRule="exact"/>
              <w:rPr>
                <w:sz w:val="20"/>
                <w:szCs w:val="20"/>
                <w:color w:val="auto"/>
              </w:rPr>
            </w:pPr>
            <w:r>
              <w:rPr>
                <w:rFonts w:ascii="Times New Roman" w:cs="Times New Roman" w:eastAsia="Times New Roman" w:hAnsi="Times New Roman"/>
                <w:sz w:val="12"/>
                <w:szCs w:val="12"/>
                <w:color w:val="0000EE"/>
              </w:rPr>
              <w:t>Risk Factors.</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w:t>
            </w:r>
          </w:p>
        </w:tc>
        <w:tc>
          <w:tcPr>
            <w:tcW w:w="80" w:type="dxa"/>
            <w:vAlign w:val="bottom"/>
          </w:tcPr>
          <w:p>
            <w:pPr>
              <w:spacing w:after="0"/>
              <w:rPr>
                <w:sz w:val="11"/>
                <w:szCs w:val="11"/>
                <w:color w:val="auto"/>
              </w:rPr>
            </w:pPr>
          </w:p>
        </w:tc>
      </w:tr>
      <w:tr>
        <w:trPr>
          <w:trHeight w:val="28"/>
        </w:trPr>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3"/>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w w:val="90"/>
              </w:rPr>
              <w:t>Item 1B.</w:t>
            </w:r>
          </w:p>
        </w:tc>
        <w:tc>
          <w:tcPr>
            <w:tcW w:w="1300" w:type="dxa"/>
            <w:vAlign w:val="bottom"/>
            <w:tcBorders>
              <w:left w:val="single" w:sz="8" w:color="CCEEFF"/>
            </w:tcBorders>
            <w:gridSpan w:val="4"/>
            <w:shd w:val="clear" w:color="auto" w:fill="CCEEFF"/>
          </w:tcPr>
          <w:p>
            <w:pPr>
              <w:spacing w:after="0"/>
              <w:rPr>
                <w:sz w:val="12"/>
                <w:szCs w:val="12"/>
                <w:color w:val="auto"/>
              </w:rPr>
            </w:pP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Unresolved Staff Comments.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43"/>
        </w:trPr>
        <w:tc>
          <w:tcPr>
            <w:tcW w:w="1720" w:type="dxa"/>
            <w:vAlign w:val="bottom"/>
            <w:gridSpan w:val="6"/>
          </w:tcPr>
          <w:p>
            <w:pPr>
              <w:spacing w:after="0" w:line="135" w:lineRule="exact"/>
              <w:rPr>
                <w:sz w:val="20"/>
                <w:szCs w:val="20"/>
                <w:color w:val="auto"/>
              </w:rPr>
            </w:pPr>
            <w:r>
              <w:rPr>
                <w:rFonts w:ascii="Times New Roman" w:cs="Times New Roman" w:eastAsia="Times New Roman" w:hAnsi="Times New Roman"/>
                <w:sz w:val="12"/>
                <w:szCs w:val="12"/>
                <w:color w:val="0000EE"/>
              </w:rPr>
              <w:t>Item 1C.</w:t>
            </w:r>
          </w:p>
        </w:tc>
        <w:tc>
          <w:tcPr>
            <w:tcW w:w="8000" w:type="dxa"/>
            <w:vAlign w:val="bottom"/>
            <w:gridSpan w:val="18"/>
          </w:tcPr>
          <w:p>
            <w:pPr>
              <w:spacing w:after="0" w:line="135" w:lineRule="exact"/>
              <w:rPr>
                <w:sz w:val="20"/>
                <w:szCs w:val="20"/>
                <w:color w:val="auto"/>
              </w:rPr>
            </w:pPr>
            <w:r>
              <w:rPr>
                <w:rFonts w:ascii="Times New Roman" w:cs="Times New Roman" w:eastAsia="Times New Roman" w:hAnsi="Times New Roman"/>
                <w:sz w:val="12"/>
                <w:szCs w:val="12"/>
                <w:color w:val="0000EE"/>
              </w:rPr>
              <w:t>Cybersecurity.</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2"/>
                <w:szCs w:val="12"/>
                <w:color w:val="auto"/>
              </w:rPr>
            </w:pPr>
          </w:p>
        </w:tc>
      </w:tr>
      <w:tr>
        <w:trPr>
          <w:trHeight w:val="143"/>
        </w:trPr>
        <w:tc>
          <w:tcPr>
            <w:tcW w:w="420" w:type="dxa"/>
            <w:vAlign w:val="bottom"/>
            <w:tcBorders>
              <w:top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2.</w:t>
            </w:r>
          </w:p>
        </w:tc>
        <w:tc>
          <w:tcPr>
            <w:tcW w:w="1300" w:type="dxa"/>
            <w:vAlign w:val="bottom"/>
            <w:tcBorders>
              <w:left w:val="single" w:sz="8" w:color="CCEEFF"/>
            </w:tcBorders>
            <w:gridSpan w:val="4"/>
            <w:shd w:val="clear" w:color="auto" w:fill="CCEEFF"/>
          </w:tcPr>
          <w:p>
            <w:pPr>
              <w:spacing w:after="0"/>
              <w:rPr>
                <w:sz w:val="12"/>
                <w:szCs w:val="12"/>
                <w:color w:val="auto"/>
              </w:rPr>
            </w:pPr>
          </w:p>
        </w:tc>
        <w:tc>
          <w:tcPr>
            <w:tcW w:w="680" w:type="dxa"/>
            <w:vAlign w:val="bottom"/>
            <w:tcBorders>
              <w:top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0000EE"/>
              </w:rPr>
              <w:t>Properties.</w:t>
            </w:r>
          </w:p>
        </w:tc>
        <w:tc>
          <w:tcPr>
            <w:tcW w:w="7320" w:type="dxa"/>
            <w:vAlign w:val="bottom"/>
            <w:gridSpan w:val="15"/>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35"/>
        </w:trPr>
        <w:tc>
          <w:tcPr>
            <w:tcW w:w="1720" w:type="dxa"/>
            <w:vAlign w:val="bottom"/>
            <w:gridSpan w:val="6"/>
          </w:tcPr>
          <w:p>
            <w:pPr>
              <w:spacing w:after="0" w:line="135" w:lineRule="exact"/>
              <w:rPr>
                <w:sz w:val="20"/>
                <w:szCs w:val="20"/>
                <w:color w:val="auto"/>
              </w:rPr>
            </w:pPr>
            <w:r>
              <w:rPr>
                <w:rFonts w:ascii="Times New Roman" w:cs="Times New Roman" w:eastAsia="Times New Roman" w:hAnsi="Times New Roman"/>
                <w:sz w:val="12"/>
                <w:szCs w:val="12"/>
                <w:color w:val="0000EE"/>
              </w:rPr>
              <w:t>Item 3.</w:t>
            </w:r>
          </w:p>
        </w:tc>
        <w:tc>
          <w:tcPr>
            <w:tcW w:w="8000" w:type="dxa"/>
            <w:vAlign w:val="bottom"/>
            <w:gridSpan w:val="18"/>
          </w:tcPr>
          <w:p>
            <w:pPr>
              <w:spacing w:after="0" w:line="135" w:lineRule="exact"/>
              <w:rPr>
                <w:sz w:val="20"/>
                <w:szCs w:val="20"/>
                <w:color w:val="auto"/>
              </w:rPr>
            </w:pPr>
            <w:r>
              <w:rPr>
                <w:rFonts w:ascii="Times New Roman" w:cs="Times New Roman" w:eastAsia="Times New Roman" w:hAnsi="Times New Roman"/>
                <w:sz w:val="12"/>
                <w:szCs w:val="12"/>
                <w:color w:val="0000EE"/>
              </w:rPr>
              <w:t>Legal Proceedings.</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1"/>
                <w:szCs w:val="11"/>
                <w:color w:val="auto"/>
              </w:rPr>
            </w:pPr>
          </w:p>
        </w:tc>
      </w:tr>
      <w:tr>
        <w:trPr>
          <w:trHeight w:val="28"/>
        </w:trPr>
        <w:tc>
          <w:tcPr>
            <w:tcW w:w="3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3"/>
        </w:trPr>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4.</w:t>
            </w: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Mine Safety Disclosures.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323"/>
        </w:trPr>
        <w:tc>
          <w:tcPr>
            <w:tcW w:w="172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0000EE"/>
              </w:rPr>
              <w:t>PART II</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3"/>
        </w:trPr>
        <w:tc>
          <w:tcPr>
            <w:tcW w:w="420" w:type="dxa"/>
            <w:vAlign w:val="bottom"/>
            <w:tcBorders>
              <w:top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5.</w:t>
            </w:r>
          </w:p>
        </w:tc>
        <w:tc>
          <w:tcPr>
            <w:tcW w:w="1300" w:type="dxa"/>
            <w:vAlign w:val="bottom"/>
            <w:tcBorders>
              <w:left w:val="single" w:sz="8" w:color="CCEEFF"/>
            </w:tcBorders>
            <w:gridSpan w:val="4"/>
            <w:shd w:val="clear" w:color="auto" w:fill="CCEEFF"/>
          </w:tcPr>
          <w:p>
            <w:pPr>
              <w:spacing w:after="0"/>
              <w:rPr>
                <w:sz w:val="12"/>
                <w:szCs w:val="12"/>
                <w:color w:val="auto"/>
              </w:rPr>
            </w:pP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Market for Registrant’s Common Equity, Related Stockholder Matters and Issuer Purchases of Equity Securities.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35"/>
        </w:trPr>
        <w:tc>
          <w:tcPr>
            <w:tcW w:w="1720" w:type="dxa"/>
            <w:vAlign w:val="bottom"/>
            <w:gridSpan w:val="6"/>
          </w:tcPr>
          <w:p>
            <w:pPr>
              <w:spacing w:after="0" w:line="135" w:lineRule="exact"/>
              <w:rPr>
                <w:sz w:val="20"/>
                <w:szCs w:val="20"/>
                <w:color w:val="auto"/>
              </w:rPr>
            </w:pPr>
            <w:r>
              <w:rPr>
                <w:rFonts w:ascii="Times New Roman" w:cs="Times New Roman" w:eastAsia="Times New Roman" w:hAnsi="Times New Roman"/>
                <w:sz w:val="12"/>
                <w:szCs w:val="12"/>
                <w:color w:val="0000EE"/>
              </w:rPr>
              <w:t>Item 6.</w:t>
            </w:r>
          </w:p>
        </w:tc>
        <w:tc>
          <w:tcPr>
            <w:tcW w:w="8000" w:type="dxa"/>
            <w:vAlign w:val="bottom"/>
            <w:gridSpan w:val="18"/>
          </w:tcPr>
          <w:p>
            <w:pPr>
              <w:spacing w:after="0" w:line="135" w:lineRule="exact"/>
              <w:rPr>
                <w:sz w:val="20"/>
                <w:szCs w:val="20"/>
                <w:color w:val="auto"/>
              </w:rPr>
            </w:pPr>
            <w:r>
              <w:rPr>
                <w:rFonts w:ascii="Times New Roman" w:cs="Times New Roman" w:eastAsia="Times New Roman" w:hAnsi="Times New Roman"/>
                <w:sz w:val="12"/>
                <w:szCs w:val="12"/>
                <w:color w:val="0000EE"/>
              </w:rPr>
              <w:t>Reserved.</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1"/>
                <w:szCs w:val="11"/>
                <w:color w:val="auto"/>
              </w:rPr>
            </w:pPr>
          </w:p>
        </w:tc>
      </w:tr>
      <w:tr>
        <w:trPr>
          <w:trHeight w:val="28"/>
        </w:trPr>
        <w:tc>
          <w:tcPr>
            <w:tcW w:w="3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3"/>
        </w:trPr>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7.</w:t>
            </w: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Management’s Discussion and Analysis of Financial Condition and Results of Operations.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700" w:type="dxa"/>
            <w:vAlign w:val="bottom"/>
            <w:tcBorders>
              <w:right w:val="single" w:sz="8" w:color="CCEEFF"/>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43"/>
        </w:trPr>
        <w:tc>
          <w:tcPr>
            <w:tcW w:w="42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0000EE"/>
                <w:w w:val="88"/>
              </w:rPr>
              <w:t>Item 7A.</w:t>
            </w:r>
          </w:p>
        </w:tc>
        <w:tc>
          <w:tcPr>
            <w:tcW w:w="1300" w:type="dxa"/>
            <w:vAlign w:val="bottom"/>
            <w:gridSpan w:val="4"/>
          </w:tcPr>
          <w:p>
            <w:pPr>
              <w:spacing w:after="0"/>
              <w:rPr>
                <w:sz w:val="12"/>
                <w:szCs w:val="12"/>
                <w:color w:val="auto"/>
              </w:rPr>
            </w:pPr>
          </w:p>
        </w:tc>
        <w:tc>
          <w:tcPr>
            <w:tcW w:w="8000" w:type="dxa"/>
            <w:vAlign w:val="bottom"/>
            <w:gridSpan w:val="18"/>
          </w:tcPr>
          <w:p>
            <w:pPr>
              <w:spacing w:after="0" w:line="135" w:lineRule="exact"/>
              <w:rPr>
                <w:sz w:val="20"/>
                <w:szCs w:val="20"/>
                <w:color w:val="auto"/>
              </w:rPr>
            </w:pPr>
            <w:r>
              <w:rPr>
                <w:rFonts w:ascii="Times New Roman" w:cs="Times New Roman" w:eastAsia="Times New Roman" w:hAnsi="Times New Roman"/>
                <w:sz w:val="12"/>
                <w:szCs w:val="12"/>
                <w:color w:val="0000EE"/>
              </w:rPr>
              <w:t>Quantitative and Qualitative Disclosures About Market Risk.</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61</w:t>
            </w:r>
          </w:p>
        </w:tc>
        <w:tc>
          <w:tcPr>
            <w:tcW w:w="80" w:type="dxa"/>
            <w:vAlign w:val="bottom"/>
          </w:tcPr>
          <w:p>
            <w:pPr>
              <w:spacing w:after="0"/>
              <w:rPr>
                <w:sz w:val="12"/>
                <w:szCs w:val="12"/>
                <w:color w:val="auto"/>
              </w:rPr>
            </w:pPr>
          </w:p>
        </w:tc>
      </w:tr>
      <w:tr>
        <w:trPr>
          <w:trHeight w:val="143"/>
        </w:trPr>
        <w:tc>
          <w:tcPr>
            <w:tcW w:w="420" w:type="dxa"/>
            <w:vAlign w:val="bottom"/>
            <w:tcBorders>
              <w:top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8.</w:t>
            </w:r>
          </w:p>
        </w:tc>
        <w:tc>
          <w:tcPr>
            <w:tcW w:w="1300" w:type="dxa"/>
            <w:vAlign w:val="bottom"/>
            <w:tcBorders>
              <w:left w:val="single" w:sz="8" w:color="CCEEFF"/>
            </w:tcBorders>
            <w:gridSpan w:val="4"/>
            <w:shd w:val="clear" w:color="auto" w:fill="CCEEFF"/>
          </w:tcPr>
          <w:p>
            <w:pPr>
              <w:spacing w:after="0"/>
              <w:rPr>
                <w:sz w:val="12"/>
                <w:szCs w:val="12"/>
                <w:color w:val="auto"/>
              </w:rPr>
            </w:pPr>
          </w:p>
        </w:tc>
        <w:tc>
          <w:tcPr>
            <w:tcW w:w="2920" w:type="dxa"/>
            <w:vAlign w:val="bottom"/>
            <w:tcBorders>
              <w:top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2"/>
                <w:szCs w:val="12"/>
                <w:color w:val="0000EE"/>
              </w:rPr>
              <w:t>Financial Statements and Supplementary Data.</w:t>
            </w:r>
          </w:p>
        </w:tc>
        <w:tc>
          <w:tcPr>
            <w:tcW w:w="5080" w:type="dxa"/>
            <w:vAlign w:val="bottom"/>
            <w:gridSpan w:val="6"/>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35"/>
        </w:trPr>
        <w:tc>
          <w:tcPr>
            <w:tcW w:w="1720" w:type="dxa"/>
            <w:vAlign w:val="bottom"/>
            <w:gridSpan w:val="6"/>
          </w:tcPr>
          <w:p>
            <w:pPr>
              <w:spacing w:after="0" w:line="135" w:lineRule="exact"/>
              <w:rPr>
                <w:sz w:val="20"/>
                <w:szCs w:val="20"/>
                <w:color w:val="auto"/>
              </w:rPr>
            </w:pPr>
            <w:r>
              <w:rPr>
                <w:rFonts w:ascii="Times New Roman" w:cs="Times New Roman" w:eastAsia="Times New Roman" w:hAnsi="Times New Roman"/>
                <w:sz w:val="12"/>
                <w:szCs w:val="12"/>
                <w:color w:val="0000EE"/>
              </w:rPr>
              <w:t>Item 9.</w:t>
            </w:r>
          </w:p>
        </w:tc>
        <w:tc>
          <w:tcPr>
            <w:tcW w:w="8000" w:type="dxa"/>
            <w:vAlign w:val="bottom"/>
            <w:gridSpan w:val="18"/>
          </w:tcPr>
          <w:p>
            <w:pPr>
              <w:spacing w:after="0" w:line="135" w:lineRule="exact"/>
              <w:rPr>
                <w:sz w:val="20"/>
                <w:szCs w:val="20"/>
                <w:color w:val="auto"/>
              </w:rPr>
            </w:pPr>
            <w:r>
              <w:rPr>
                <w:rFonts w:ascii="Times New Roman" w:cs="Times New Roman" w:eastAsia="Times New Roman" w:hAnsi="Times New Roman"/>
                <w:sz w:val="12"/>
                <w:szCs w:val="12"/>
                <w:color w:val="0000EE"/>
              </w:rPr>
              <w:t>Changes in and Disagreements With Accountants on Accounting and Financial Disclosure.</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62</w:t>
            </w:r>
          </w:p>
        </w:tc>
        <w:tc>
          <w:tcPr>
            <w:tcW w:w="80" w:type="dxa"/>
            <w:vAlign w:val="bottom"/>
          </w:tcPr>
          <w:p>
            <w:pPr>
              <w:spacing w:after="0"/>
              <w:rPr>
                <w:sz w:val="11"/>
                <w:szCs w:val="11"/>
                <w:color w:val="auto"/>
              </w:rPr>
            </w:pPr>
          </w:p>
        </w:tc>
      </w:tr>
      <w:tr>
        <w:trPr>
          <w:trHeight w:val="28"/>
        </w:trPr>
        <w:tc>
          <w:tcPr>
            <w:tcW w:w="3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9"/>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w w:val="88"/>
              </w:rPr>
              <w:t>Item 9A.</w:t>
            </w:r>
          </w:p>
        </w:tc>
        <w:tc>
          <w:tcPr>
            <w:tcW w:w="1300" w:type="dxa"/>
            <w:vAlign w:val="bottom"/>
            <w:tcBorders>
              <w:left w:val="single" w:sz="8" w:color="CCEEFF"/>
            </w:tcBorders>
            <w:gridSpan w:val="4"/>
            <w:shd w:val="clear" w:color="auto" w:fill="CCEEFF"/>
          </w:tcPr>
          <w:p>
            <w:pPr>
              <w:spacing w:after="0"/>
              <w:rPr>
                <w:sz w:val="13"/>
                <w:szCs w:val="13"/>
                <w:color w:val="auto"/>
              </w:rPr>
            </w:pP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Controls and Procedures.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shd w:val="clear" w:color="auto" w:fill="CCEEFF"/>
          </w:tcPr>
          <w:p>
            <w:pPr>
              <w:spacing w:after="0"/>
              <w:rPr>
                <w:sz w:val="13"/>
                <w:szCs w:val="13"/>
                <w:color w:val="auto"/>
              </w:rPr>
            </w:pPr>
          </w:p>
        </w:tc>
      </w:tr>
      <w:tr>
        <w:trPr>
          <w:trHeight w:val="135"/>
        </w:trPr>
        <w:tc>
          <w:tcPr>
            <w:tcW w:w="420" w:type="dxa"/>
            <w:vAlign w:val="bottom"/>
            <w:tcBorders>
              <w:top w:val="single" w:sz="8" w:color="0000EE"/>
            </w:tcBorders>
            <w:gridSpan w:val="2"/>
          </w:tcPr>
          <w:p>
            <w:pPr>
              <w:spacing w:after="0" w:line="135" w:lineRule="exact"/>
              <w:rPr>
                <w:sz w:val="20"/>
                <w:szCs w:val="20"/>
                <w:color w:val="auto"/>
              </w:rPr>
            </w:pPr>
            <w:r>
              <w:rPr>
                <w:rFonts w:ascii="Times New Roman" w:cs="Times New Roman" w:eastAsia="Times New Roman" w:hAnsi="Times New Roman"/>
                <w:sz w:val="12"/>
                <w:szCs w:val="12"/>
                <w:color w:val="0000EE"/>
                <w:w w:val="90"/>
              </w:rPr>
              <w:t>Item 9B.</w:t>
            </w:r>
          </w:p>
        </w:tc>
        <w:tc>
          <w:tcPr>
            <w:tcW w:w="1300" w:type="dxa"/>
            <w:vAlign w:val="bottom"/>
            <w:tcBorders>
              <w:top w:val="single" w:sz="8" w:color="CCEEFF"/>
            </w:tcBorders>
            <w:gridSpan w:val="4"/>
          </w:tcPr>
          <w:p>
            <w:pPr>
              <w:spacing w:after="0"/>
              <w:rPr>
                <w:sz w:val="11"/>
                <w:szCs w:val="11"/>
                <w:color w:val="auto"/>
              </w:rPr>
            </w:pPr>
          </w:p>
        </w:tc>
        <w:tc>
          <w:tcPr>
            <w:tcW w:w="1220" w:type="dxa"/>
            <w:vAlign w:val="bottom"/>
            <w:tcBorders>
              <w:top w:val="single" w:sz="8" w:color="0000EE"/>
            </w:tcBorders>
            <w:gridSpan w:val="6"/>
          </w:tcPr>
          <w:p>
            <w:pPr>
              <w:spacing w:after="0" w:line="135" w:lineRule="exact"/>
              <w:rPr>
                <w:sz w:val="20"/>
                <w:szCs w:val="20"/>
                <w:color w:val="auto"/>
              </w:rPr>
            </w:pPr>
            <w:r>
              <w:rPr>
                <w:rFonts w:ascii="Times New Roman" w:cs="Times New Roman" w:eastAsia="Times New Roman" w:hAnsi="Times New Roman"/>
                <w:sz w:val="12"/>
                <w:szCs w:val="12"/>
                <w:color w:val="0000EE"/>
              </w:rPr>
              <w:t>Other Information.</w:t>
            </w:r>
          </w:p>
        </w:tc>
        <w:tc>
          <w:tcPr>
            <w:tcW w:w="6780" w:type="dxa"/>
            <w:vAlign w:val="bottom"/>
            <w:tcBorders>
              <w:top w:val="single" w:sz="8" w:color="CCEEFF"/>
            </w:tcBorders>
            <w:gridSpan w:val="12"/>
          </w:tcPr>
          <w:p>
            <w:pPr>
              <w:spacing w:after="0"/>
              <w:rPr>
                <w:sz w:val="11"/>
                <w:szCs w:val="11"/>
                <w:color w:val="auto"/>
              </w:rPr>
            </w:pPr>
          </w:p>
        </w:tc>
        <w:tc>
          <w:tcPr>
            <w:tcW w:w="1500" w:type="dxa"/>
            <w:vAlign w:val="bottom"/>
            <w:tcBorders>
              <w:top w:val="single" w:sz="8" w:color="CCEEFF"/>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65</w:t>
            </w:r>
          </w:p>
        </w:tc>
        <w:tc>
          <w:tcPr>
            <w:tcW w:w="80" w:type="dxa"/>
            <w:vAlign w:val="bottom"/>
            <w:tcBorders>
              <w:top w:val="single" w:sz="8" w:color="CCEEFF"/>
            </w:tcBorders>
          </w:tcPr>
          <w:p>
            <w:pPr>
              <w:spacing w:after="0"/>
              <w:rPr>
                <w:sz w:val="11"/>
                <w:szCs w:val="11"/>
                <w:color w:val="auto"/>
              </w:rPr>
            </w:pPr>
          </w:p>
        </w:tc>
      </w:tr>
      <w:tr>
        <w:trPr>
          <w:trHeight w:val="28"/>
        </w:trPr>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3"/>
        </w:trPr>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9C.</w:t>
            </w: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Disclosures Regarding Foreign Jurisdictions that Prevent Inspections.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314"/>
        </w:trPr>
        <w:tc>
          <w:tcPr>
            <w:tcW w:w="172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0000EE"/>
              </w:rPr>
              <w:t>PART III</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9"/>
        </w:trPr>
        <w:tc>
          <w:tcPr>
            <w:tcW w:w="420" w:type="dxa"/>
            <w:vAlign w:val="bottom"/>
            <w:tcBorders>
              <w:top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w w:val="94"/>
              </w:rPr>
              <w:t>Item 10.</w:t>
            </w:r>
          </w:p>
        </w:tc>
        <w:tc>
          <w:tcPr>
            <w:tcW w:w="1300" w:type="dxa"/>
            <w:vAlign w:val="bottom"/>
            <w:tcBorders>
              <w:left w:val="single" w:sz="8" w:color="CCEEFF"/>
            </w:tcBorders>
            <w:gridSpan w:val="4"/>
            <w:shd w:val="clear" w:color="auto" w:fill="CCEEFF"/>
          </w:tcPr>
          <w:p>
            <w:pPr>
              <w:spacing w:after="0"/>
              <w:rPr>
                <w:sz w:val="13"/>
                <w:szCs w:val="13"/>
                <w:color w:val="auto"/>
              </w:rPr>
            </w:pP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Directors, Executive Officers and Corporate Governance.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3"/>
                <w:szCs w:val="13"/>
                <w:color w:val="auto"/>
              </w:rPr>
            </w:pPr>
          </w:p>
        </w:tc>
      </w:tr>
      <w:tr>
        <w:trPr>
          <w:trHeight w:val="135"/>
        </w:trPr>
        <w:tc>
          <w:tcPr>
            <w:tcW w:w="340" w:type="dxa"/>
            <w:vAlign w:val="bottom"/>
            <w:tcBorders>
              <w:top w:val="single" w:sz="8" w:color="0000EE"/>
            </w:tcBorders>
          </w:tcPr>
          <w:p>
            <w:pPr>
              <w:spacing w:after="0" w:line="135" w:lineRule="exact"/>
              <w:rPr>
                <w:sz w:val="20"/>
                <w:szCs w:val="20"/>
                <w:color w:val="auto"/>
              </w:rPr>
            </w:pPr>
            <w:r>
              <w:rPr>
                <w:rFonts w:ascii="Times New Roman" w:cs="Times New Roman" w:eastAsia="Times New Roman" w:hAnsi="Times New Roman"/>
                <w:sz w:val="12"/>
                <w:szCs w:val="12"/>
                <w:color w:val="0000EE"/>
                <w:w w:val="74"/>
              </w:rPr>
              <w:t>Item 11.</w:t>
            </w:r>
          </w:p>
        </w:tc>
        <w:tc>
          <w:tcPr>
            <w:tcW w:w="1380" w:type="dxa"/>
            <w:vAlign w:val="bottom"/>
            <w:tcBorders>
              <w:top w:val="single" w:sz="8" w:color="CCEEFF"/>
            </w:tcBorders>
            <w:gridSpan w:val="5"/>
          </w:tcPr>
          <w:p>
            <w:pPr>
              <w:spacing w:after="0"/>
              <w:rPr>
                <w:sz w:val="11"/>
                <w:szCs w:val="11"/>
                <w:color w:val="auto"/>
              </w:rPr>
            </w:pPr>
          </w:p>
        </w:tc>
        <w:tc>
          <w:tcPr>
            <w:tcW w:w="2760" w:type="dxa"/>
            <w:vAlign w:val="bottom"/>
            <w:tcBorders>
              <w:top w:val="single" w:sz="8" w:color="0000EE"/>
            </w:tcBorders>
            <w:gridSpan w:val="11"/>
          </w:tcPr>
          <w:p>
            <w:pPr>
              <w:spacing w:after="0" w:line="135" w:lineRule="exact"/>
              <w:rPr>
                <w:sz w:val="20"/>
                <w:szCs w:val="20"/>
                <w:color w:val="auto"/>
              </w:rPr>
            </w:pPr>
            <w:r>
              <w:rPr>
                <w:rFonts w:ascii="Times New Roman" w:cs="Times New Roman" w:eastAsia="Times New Roman" w:hAnsi="Times New Roman"/>
                <w:sz w:val="12"/>
                <w:szCs w:val="12"/>
                <w:color w:val="0000EE"/>
              </w:rPr>
              <w:t>Executive Compensation.</w:t>
            </w:r>
          </w:p>
        </w:tc>
        <w:tc>
          <w:tcPr>
            <w:tcW w:w="5240" w:type="dxa"/>
            <w:vAlign w:val="bottom"/>
            <w:tcBorders>
              <w:top w:val="single" w:sz="8" w:color="CCEEFF"/>
            </w:tcBorders>
            <w:gridSpan w:val="7"/>
          </w:tcPr>
          <w:p>
            <w:pPr>
              <w:spacing w:after="0"/>
              <w:rPr>
                <w:sz w:val="11"/>
                <w:szCs w:val="11"/>
                <w:color w:val="auto"/>
              </w:rPr>
            </w:pPr>
          </w:p>
        </w:tc>
        <w:tc>
          <w:tcPr>
            <w:tcW w:w="1500" w:type="dxa"/>
            <w:vAlign w:val="bottom"/>
            <w:tcBorders>
              <w:top w:val="single" w:sz="8" w:color="CCEEFF"/>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69</w:t>
            </w:r>
          </w:p>
        </w:tc>
        <w:tc>
          <w:tcPr>
            <w:tcW w:w="80" w:type="dxa"/>
            <w:vAlign w:val="bottom"/>
            <w:tcBorders>
              <w:top w:val="single" w:sz="8" w:color="CCEEFF"/>
            </w:tcBorders>
          </w:tcPr>
          <w:p>
            <w:pPr>
              <w:spacing w:after="0"/>
              <w:rPr>
                <w:sz w:val="11"/>
                <w:szCs w:val="11"/>
                <w:color w:val="auto"/>
              </w:rPr>
            </w:pPr>
          </w:p>
        </w:tc>
      </w:tr>
      <w:tr>
        <w:trPr>
          <w:trHeight w:val="28"/>
        </w:trPr>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3"/>
        </w:trPr>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12.</w:t>
            </w: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Security Ownership of Certain Beneficial Owners and Management and Related Stockholder Matters.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35"/>
        </w:trPr>
        <w:tc>
          <w:tcPr>
            <w:tcW w:w="1720" w:type="dxa"/>
            <w:vAlign w:val="bottom"/>
            <w:gridSpan w:val="6"/>
          </w:tcPr>
          <w:p>
            <w:pPr>
              <w:spacing w:after="0" w:line="135" w:lineRule="exact"/>
              <w:rPr>
                <w:sz w:val="20"/>
                <w:szCs w:val="20"/>
                <w:color w:val="auto"/>
              </w:rPr>
            </w:pPr>
            <w:r>
              <w:rPr>
                <w:rFonts w:ascii="Times New Roman" w:cs="Times New Roman" w:eastAsia="Times New Roman" w:hAnsi="Times New Roman"/>
                <w:sz w:val="12"/>
                <w:szCs w:val="12"/>
                <w:color w:val="0000EE"/>
              </w:rPr>
              <w:t>Item 13.</w:t>
            </w:r>
          </w:p>
        </w:tc>
        <w:tc>
          <w:tcPr>
            <w:tcW w:w="8000" w:type="dxa"/>
            <w:vAlign w:val="bottom"/>
            <w:gridSpan w:val="18"/>
          </w:tcPr>
          <w:p>
            <w:pPr>
              <w:spacing w:after="0" w:line="135" w:lineRule="exact"/>
              <w:rPr>
                <w:sz w:val="20"/>
                <w:szCs w:val="20"/>
                <w:color w:val="auto"/>
              </w:rPr>
            </w:pPr>
            <w:r>
              <w:rPr>
                <w:rFonts w:ascii="Times New Roman" w:cs="Times New Roman" w:eastAsia="Times New Roman" w:hAnsi="Times New Roman"/>
                <w:sz w:val="12"/>
                <w:szCs w:val="12"/>
                <w:color w:val="0000EE"/>
              </w:rPr>
              <w:t>Certain Relationships and Related Transactions, and Director Independence.</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77</w:t>
            </w:r>
          </w:p>
        </w:tc>
        <w:tc>
          <w:tcPr>
            <w:tcW w:w="80" w:type="dxa"/>
            <w:vAlign w:val="bottom"/>
          </w:tcPr>
          <w:p>
            <w:pPr>
              <w:spacing w:after="0"/>
              <w:rPr>
                <w:sz w:val="11"/>
                <w:szCs w:val="11"/>
                <w:color w:val="auto"/>
              </w:rPr>
            </w:pPr>
          </w:p>
        </w:tc>
      </w:tr>
      <w:tr>
        <w:trPr>
          <w:trHeight w:val="28"/>
        </w:trPr>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3"/>
        </w:trPr>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0000EE"/>
              </w:rPr>
              <w:t>Item 14.</w:t>
            </w: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Principal Accountant Fees and Services.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314"/>
        </w:trPr>
        <w:tc>
          <w:tcPr>
            <w:tcW w:w="1720" w:type="dxa"/>
            <w:vAlign w:val="bottom"/>
            <w:gridSpan w:val="6"/>
          </w:tcPr>
          <w:p>
            <w:pPr>
              <w:spacing w:after="0"/>
              <w:rPr>
                <w:sz w:val="20"/>
                <w:szCs w:val="20"/>
                <w:color w:val="auto"/>
              </w:rPr>
            </w:pPr>
            <w:r>
              <w:rPr>
                <w:rFonts w:ascii="Times New Roman" w:cs="Times New Roman" w:eastAsia="Times New Roman" w:hAnsi="Times New Roman"/>
                <w:sz w:val="12"/>
                <w:szCs w:val="12"/>
                <w:b w:val="1"/>
                <w:bCs w:val="1"/>
                <w:color w:val="0000EE"/>
              </w:rPr>
              <w:t>PART IV</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3"/>
        </w:trPr>
        <w:tc>
          <w:tcPr>
            <w:tcW w:w="420" w:type="dxa"/>
            <w:vAlign w:val="bottom"/>
            <w:tcBorders>
              <w:top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w w:val="94"/>
              </w:rPr>
              <w:t>Item 15.</w:t>
            </w:r>
          </w:p>
        </w:tc>
        <w:tc>
          <w:tcPr>
            <w:tcW w:w="1300" w:type="dxa"/>
            <w:vAlign w:val="bottom"/>
            <w:tcBorders>
              <w:left w:val="single" w:sz="8" w:color="CCEEFF"/>
            </w:tcBorders>
            <w:gridSpan w:val="4"/>
            <w:shd w:val="clear" w:color="auto" w:fill="CCEEFF"/>
          </w:tcPr>
          <w:p>
            <w:pPr>
              <w:spacing w:after="0"/>
              <w:rPr>
                <w:sz w:val="12"/>
                <w:szCs w:val="12"/>
                <w:color w:val="auto"/>
              </w:rPr>
            </w:pPr>
          </w:p>
        </w:tc>
        <w:tc>
          <w:tcPr>
            <w:tcW w:w="80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0000EE"/>
              </w:rPr>
              <w:t>Exhibits and Financial Statement Schedules.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shd w:val="clear" w:color="auto" w:fill="CCEEFF"/>
          </w:tcPr>
          <w:p>
            <w:pPr>
              <w:spacing w:after="0"/>
              <w:rPr>
                <w:sz w:val="12"/>
                <w:szCs w:val="12"/>
                <w:color w:val="auto"/>
              </w:rPr>
            </w:pPr>
          </w:p>
        </w:tc>
      </w:tr>
      <w:tr>
        <w:trPr>
          <w:trHeight w:val="36"/>
        </w:trPr>
        <w:tc>
          <w:tcPr>
            <w:tcW w:w="340" w:type="dxa"/>
            <w:vAlign w:val="bottom"/>
            <w:shd w:val="clear" w:color="auto" w:fill="0000EE"/>
          </w:tcPr>
          <w:p>
            <w:pPr>
              <w:spacing w:after="0"/>
              <w:rPr>
                <w:sz w:val="3"/>
                <w:szCs w:val="3"/>
                <w:color w:val="auto"/>
              </w:rPr>
            </w:pPr>
          </w:p>
        </w:tc>
        <w:tc>
          <w:tcPr>
            <w:tcW w:w="80" w:type="dxa"/>
            <w:vAlign w:val="bottom"/>
            <w:tcBorders>
              <w:left w:val="single" w:sz="8" w:color="0000EE"/>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tcBorders>
              <w:right w:val="single" w:sz="8" w:color="0000EE"/>
            </w:tcBorders>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6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35"/>
        </w:trPr>
        <w:tc>
          <w:tcPr>
            <w:tcW w:w="1720" w:type="dxa"/>
            <w:vAlign w:val="bottom"/>
            <w:gridSpan w:val="6"/>
          </w:tcPr>
          <w:p>
            <w:pPr>
              <w:spacing w:after="0" w:line="135" w:lineRule="exact"/>
              <w:rPr>
                <w:sz w:val="20"/>
                <w:szCs w:val="20"/>
                <w:color w:val="auto"/>
              </w:rPr>
            </w:pPr>
            <w:r>
              <w:rPr>
                <w:rFonts w:ascii="Times New Roman" w:cs="Times New Roman" w:eastAsia="Times New Roman" w:hAnsi="Times New Roman"/>
                <w:sz w:val="12"/>
                <w:szCs w:val="12"/>
                <w:color w:val="0000EE"/>
              </w:rPr>
              <w:t>Item 16.</w:t>
            </w:r>
          </w:p>
        </w:tc>
        <w:tc>
          <w:tcPr>
            <w:tcW w:w="8000" w:type="dxa"/>
            <w:vAlign w:val="bottom"/>
            <w:gridSpan w:val="18"/>
          </w:tcPr>
          <w:p>
            <w:pPr>
              <w:spacing w:after="0" w:line="135" w:lineRule="exact"/>
              <w:rPr>
                <w:sz w:val="20"/>
                <w:szCs w:val="20"/>
                <w:color w:val="auto"/>
              </w:rPr>
            </w:pPr>
            <w:r>
              <w:rPr>
                <w:rFonts w:ascii="Times New Roman" w:cs="Times New Roman" w:eastAsia="Times New Roman" w:hAnsi="Times New Roman"/>
                <w:sz w:val="12"/>
                <w:szCs w:val="12"/>
                <w:color w:val="0000EE"/>
              </w:rPr>
              <w:t>Form 10-K Summary.</w:t>
            </w:r>
          </w:p>
        </w:tc>
        <w:tc>
          <w:tcPr>
            <w:tcW w:w="150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81</w:t>
            </w:r>
          </w:p>
        </w:tc>
        <w:tc>
          <w:tcPr>
            <w:tcW w:w="80" w:type="dxa"/>
            <w:vAlign w:val="bottom"/>
          </w:tcPr>
          <w:p>
            <w:pPr>
              <w:spacing w:after="0"/>
              <w:rPr>
                <w:sz w:val="11"/>
                <w:szCs w:val="11"/>
                <w:color w:val="auto"/>
              </w:rPr>
            </w:pPr>
          </w:p>
        </w:tc>
      </w:tr>
      <w:tr>
        <w:trPr>
          <w:trHeight w:val="28"/>
        </w:trPr>
        <w:tc>
          <w:tcPr>
            <w:tcW w:w="3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tcBorders>
              <w:left w:val="single" w:sz="8" w:color="0000EE"/>
            </w:tcBorders>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9"/>
        </w:trPr>
        <w:tc>
          <w:tcPr>
            <w:tcW w:w="17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0000EE"/>
              </w:rPr>
              <w:t>Signatures</w:t>
            </w:r>
          </w:p>
        </w:tc>
        <w:tc>
          <w:tcPr>
            <w:tcW w:w="48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80" w:type="dxa"/>
            <w:vAlign w:val="bottom"/>
            <w:shd w:val="clear" w:color="auto" w:fill="CCEEFF"/>
          </w:tcPr>
          <w:p>
            <w:pPr>
              <w:spacing w:after="0"/>
              <w:rPr>
                <w:sz w:val="13"/>
                <w:szCs w:val="13"/>
                <w:color w:val="auto"/>
              </w:rPr>
            </w:pPr>
          </w:p>
        </w:tc>
      </w:tr>
      <w:tr>
        <w:trPr>
          <w:trHeight w:val="612"/>
        </w:trPr>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15"/>
          </w:tcPr>
          <w:p>
            <w:pPr>
              <w:ind w:left="3900"/>
              <w:spacing w:after="0"/>
              <w:rPr>
                <w:sz w:val="20"/>
                <w:szCs w:val="20"/>
                <w:color w:val="auto"/>
              </w:rPr>
            </w:pPr>
            <w:r>
              <w:rPr>
                <w:rFonts w:ascii="Times New Roman" w:cs="Times New Roman" w:eastAsia="Times New Roman" w:hAnsi="Times New Roman"/>
                <w:sz w:val="12"/>
                <w:szCs w:val="12"/>
                <w:color w:val="auto"/>
              </w:rPr>
              <w:t>2</w:t>
            </w:r>
          </w:p>
        </w:tc>
        <w:tc>
          <w:tcPr>
            <w:tcW w:w="5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60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63"/>
        </w:trPr>
        <w:tc>
          <w:tcPr>
            <w:tcW w:w="3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600" w:type="dxa"/>
            <w:vAlign w:val="bottom"/>
            <w:tcBorders>
              <w:bottom w:val="single" w:sz="8" w:color="9A9A9A"/>
            </w:tcBorders>
          </w:tcPr>
          <w:p>
            <w:pPr>
              <w:spacing w:after="0"/>
              <w:rPr>
                <w:sz w:val="5"/>
                <w:szCs w:val="5"/>
                <w:color w:val="auto"/>
              </w:rPr>
            </w:pPr>
          </w:p>
        </w:tc>
        <w:tc>
          <w:tcPr>
            <w:tcW w:w="15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PART I</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Forward-Looking Statements</w:t>
      </w:r>
    </w:p>
    <w:p>
      <w:pPr>
        <w:spacing w:after="0" w:line="126" w:lineRule="exact"/>
        <w:rPr>
          <w:sz w:val="20"/>
          <w:szCs w:val="20"/>
          <w:color w:val="auto"/>
        </w:rPr>
      </w:pPr>
    </w:p>
    <w:p>
      <w:pPr>
        <w:jc w:val="both"/>
        <w:spacing w:after="0" w:line="145" w:lineRule="exact"/>
        <w:rPr>
          <w:sz w:val="20"/>
          <w:szCs w:val="20"/>
          <w:color w:val="auto"/>
        </w:rPr>
      </w:pPr>
      <w:r>
        <w:rPr>
          <w:rFonts w:ascii="Times New Roman" w:cs="Times New Roman" w:eastAsia="Times New Roman" w:hAnsi="Times New Roman"/>
          <w:sz w:val="12"/>
          <w:szCs w:val="12"/>
          <w:color w:val="auto"/>
        </w:rPr>
        <w:t>This Annual Report on Form 10-K (the “Annual Report”) contains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within the meaning of the Private Securities Litigation Reform Act of 1995. The events described in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this Annual Report.</w:t>
      </w:r>
    </w:p>
    <w:p>
      <w:pPr>
        <w:spacing w:after="0" w:line="106" w:lineRule="exact"/>
        <w:rPr>
          <w:sz w:val="20"/>
          <w:szCs w:val="20"/>
          <w:color w:val="auto"/>
        </w:rPr>
      </w:pPr>
    </w:p>
    <w:p>
      <w:pPr>
        <w:jc w:val="both"/>
        <w:spacing w:after="0" w:line="151" w:lineRule="exact"/>
        <w:rPr>
          <w:sz w:val="20"/>
          <w:szCs w:val="20"/>
          <w:color w:val="auto"/>
        </w:rPr>
      </w:pPr>
      <w:r>
        <w:rPr>
          <w:rFonts w:ascii="Times New Roman" w:cs="Times New Roman" w:eastAsia="Times New Roman" w:hAnsi="Times New Roman"/>
          <w:sz w:val="12"/>
          <w:szCs w:val="12"/>
          <w:color w:val="auto"/>
        </w:rPr>
        <w:t>Any one or more of these uncertainties, risks and other influences could materially affect our results of operations and whether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made by us ultimately prove to be accurate. Our actual results, performance and achievements could differ materially from those expressed or implied in these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We undertake no obligation to publicly update or revise any forward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looking statements, whether from new information, future events or otherwise except as required by law.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 w:name="page4"/>
    <w:bookmarkEnd w:id="3"/>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ITEM 1. BUSINESS</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ind w:left="8" w:right="10000" w:hanging="8"/>
        <w:spacing w:after="0" w:line="496" w:lineRule="auto"/>
        <w:tabs>
          <w:tab w:leader="none" w:pos="175"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u w:val="single" w:color="auto"/>
          <w:color w:val="auto"/>
        </w:rPr>
        <w:t xml:space="preserve">Business Development </w:t>
      </w:r>
      <w:r>
        <w:rPr>
          <w:rFonts w:ascii="Times New Roman" w:cs="Times New Roman" w:eastAsia="Times New Roman" w:hAnsi="Times New Roman"/>
          <w:sz w:val="12"/>
          <w:szCs w:val="12"/>
          <w:b w:val="1"/>
          <w:bCs w:val="1"/>
          <w:color w:val="auto"/>
        </w:rPr>
        <w:t>General</w:t>
      </w:r>
    </w:p>
    <w:p>
      <w:pPr>
        <w:spacing w:after="0" w:line="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color w:val="auto"/>
        </w:rPr>
        <w:t>As used in this Annual Report, references to the “Company,” “we,” “us,” or “our” refer to Kingstone Companies, Inc. (the “Holding Company”) and its subsidiaries.</w:t>
      </w:r>
    </w:p>
    <w:p>
      <w:pPr>
        <w:spacing w:after="0" w:line="141" w:lineRule="exact"/>
        <w:rPr>
          <w:sz w:val="20"/>
          <w:szCs w:val="20"/>
          <w:color w:val="auto"/>
        </w:rPr>
      </w:pPr>
    </w:p>
    <w:p>
      <w:pPr>
        <w:jc w:val="both"/>
        <w:ind w:left="8" w:firstLine="405"/>
        <w:spacing w:after="0" w:line="291" w:lineRule="auto"/>
        <w:rPr>
          <w:sz w:val="20"/>
          <w:szCs w:val="20"/>
          <w:color w:val="auto"/>
        </w:rPr>
      </w:pPr>
      <w:r>
        <w:rPr>
          <w:rFonts w:ascii="Times New Roman" w:cs="Times New Roman" w:eastAsia="Times New Roman" w:hAnsi="Times New Roman"/>
          <w:sz w:val="11"/>
          <w:szCs w:val="11"/>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years ended December 31, 2025 and 2024, respectively, 98.0% and 96.0% of KICO’s direct written premiums came from the New York policies.</w:t>
      </w:r>
    </w:p>
    <w:p>
      <w:pPr>
        <w:spacing w:after="0" w:line="98" w:lineRule="exact"/>
        <w:rPr>
          <w:sz w:val="20"/>
          <w:szCs w:val="20"/>
          <w:color w:val="auto"/>
        </w:rPr>
      </w:pPr>
    </w:p>
    <w:p>
      <w:pPr>
        <w:jc w:val="both"/>
        <w:ind w:left="8" w:firstLine="405"/>
        <w:spacing w:after="0" w:line="249" w:lineRule="auto"/>
        <w:rPr>
          <w:sz w:val="20"/>
          <w:szCs w:val="20"/>
          <w:color w:val="auto"/>
        </w:rPr>
      </w:pPr>
      <w:r>
        <w:rPr>
          <w:rFonts w:ascii="Times New Roman" w:cs="Times New Roman" w:eastAsia="Times New Roman" w:hAnsi="Times New Roman"/>
          <w:sz w:val="12"/>
          <w:szCs w:val="12"/>
          <w:color w:val="auto"/>
        </w:rPr>
        <w:t>In addition, through our subsidiary, Cosi Agency, Inc. (“Cosi”), a multi-state licensed general agency, we access alternative distribution channels. See “Distribution”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is deducted against commission expense and Cosi-related expenses are included in other operating expenses. Cosi-related operating expenses are not included in our stand-alone insurance underwriting business and, accordingly, its expenses are not included in the calculation of our combined ratio as described below.</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141"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2"/>
          <w:szCs w:val="12"/>
          <w:b w:val="1"/>
          <w:bCs w:val="1"/>
          <w:i w:val="1"/>
          <w:iCs w:val="1"/>
          <w:color w:val="auto"/>
        </w:rPr>
        <w:t>Developments During 2025</w:t>
      </w:r>
    </w:p>
    <w:p>
      <w:pPr>
        <w:spacing w:after="0" w:line="143" w:lineRule="exact"/>
        <w:rPr>
          <w:sz w:val="20"/>
          <w:szCs w:val="20"/>
          <w:color w:val="auto"/>
        </w:rPr>
      </w:pPr>
    </w:p>
    <w:p>
      <w:pPr>
        <w:ind w:left="868" w:hanging="247"/>
        <w:spacing w:after="0"/>
        <w:tabs>
          <w:tab w:leader="none" w:pos="86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Sale of Building</w:t>
      </w:r>
    </w:p>
    <w:p>
      <w:pPr>
        <w:spacing w:after="0" w:line="152" w:lineRule="exact"/>
        <w:rPr>
          <w:sz w:val="20"/>
          <w:szCs w:val="20"/>
          <w:color w:val="auto"/>
        </w:rPr>
      </w:pPr>
    </w:p>
    <w:p>
      <w:pPr>
        <w:ind w:left="8" w:firstLine="405"/>
        <w:spacing w:after="0" w:line="264" w:lineRule="auto"/>
        <w:rPr>
          <w:sz w:val="20"/>
          <w:szCs w:val="20"/>
          <w:color w:val="auto"/>
        </w:rPr>
      </w:pPr>
      <w:r>
        <w:rPr>
          <w:rFonts w:ascii="Times New Roman" w:cs="Times New Roman" w:eastAsia="Times New Roman" w:hAnsi="Times New Roman"/>
          <w:sz w:val="12"/>
          <w:szCs w:val="12"/>
          <w:color w:val="auto"/>
        </w:rPr>
        <w:t>On February 5, 2025, one of our subsidiaries entered into a contract of sale with Ulster County, New York (the “County”) for the sale to the County of our headquarters building in Kingston, New York, along with an adjacent mixed-use property (collectively, the “Property”). The purchase price for the Property was $3,600,000. The closing of the sale was on March 19, 2025.</w:t>
      </w:r>
    </w:p>
    <w:p>
      <w:pPr>
        <w:spacing w:after="0" w:line="108" w:lineRule="exact"/>
        <w:rPr>
          <w:sz w:val="20"/>
          <w:szCs w:val="20"/>
          <w:color w:val="auto"/>
        </w:rPr>
      </w:pPr>
    </w:p>
    <w:p>
      <w:pPr>
        <w:ind w:left="868" w:hanging="247"/>
        <w:spacing w:after="0"/>
        <w:tabs>
          <w:tab w:leader="none" w:pos="868" w:val="left"/>
        </w:tabs>
        <w:numPr>
          <w:ilvl w:val="0"/>
          <w:numId w:val="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Debt Prepayment</w:t>
      </w:r>
    </w:p>
    <w:p>
      <w:pPr>
        <w:spacing w:after="0" w:line="152" w:lineRule="exact"/>
        <w:rPr>
          <w:sz w:val="20"/>
          <w:szCs w:val="20"/>
          <w:color w:val="auto"/>
        </w:rPr>
      </w:pPr>
    </w:p>
    <w:p>
      <w:pPr>
        <w:ind w:left="8" w:right="20" w:firstLine="405"/>
        <w:spacing w:after="0" w:line="264" w:lineRule="auto"/>
        <w:rPr>
          <w:sz w:val="20"/>
          <w:szCs w:val="20"/>
          <w:color w:val="auto"/>
        </w:rPr>
      </w:pPr>
      <w:r>
        <w:rPr>
          <w:rFonts w:ascii="Times New Roman" w:cs="Times New Roman" w:eastAsia="Times New Roman" w:hAnsi="Times New Roman"/>
          <w:sz w:val="12"/>
          <w:szCs w:val="12"/>
          <w:color w:val="auto"/>
        </w:rPr>
        <w:t>In 2025, we made two additional prepayments on our 13.75% Senior Notes due June 30, 2026 (the "2024 Notes"). On January 31, 2025 we paid $3,500,000 in principal, plus accrued interest and on February 24, 2025 we paid $2,450,000 in principal, plus accrued interest. As a result of these additional prepayments, the 2024 Notes have been paid in full.</w:t>
      </w:r>
    </w:p>
    <w:p>
      <w:pPr>
        <w:spacing w:after="0" w:line="108" w:lineRule="exact"/>
        <w:rPr>
          <w:sz w:val="20"/>
          <w:szCs w:val="20"/>
          <w:color w:val="auto"/>
        </w:rPr>
      </w:pPr>
    </w:p>
    <w:p>
      <w:pPr>
        <w:ind w:left="868" w:hanging="247"/>
        <w:spacing w:after="0"/>
        <w:tabs>
          <w:tab w:leader="none" w:pos="868" w:val="left"/>
        </w:tabs>
        <w:numPr>
          <w:ilvl w:val="0"/>
          <w:numId w:val="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Catastrophe Reinsurance Coverage</w:t>
      </w:r>
    </w:p>
    <w:p>
      <w:pPr>
        <w:spacing w:after="0" w:line="152" w:lineRule="exact"/>
        <w:rPr>
          <w:sz w:val="20"/>
          <w:szCs w:val="20"/>
          <w:color w:val="auto"/>
        </w:rPr>
      </w:pPr>
    </w:p>
    <w:p>
      <w:pPr>
        <w:ind w:left="8" w:firstLine="405"/>
        <w:spacing w:after="0" w:line="264" w:lineRule="auto"/>
        <w:rPr>
          <w:sz w:val="20"/>
          <w:szCs w:val="20"/>
          <w:color w:val="auto"/>
        </w:rPr>
      </w:pPr>
      <w:r>
        <w:rPr>
          <w:rFonts w:ascii="Times New Roman" w:cs="Times New Roman" w:eastAsia="Times New Roman" w:hAnsi="Times New Roman"/>
          <w:sz w:val="12"/>
          <w:szCs w:val="12"/>
          <w:color w:val="auto"/>
        </w:rPr>
        <w:t>Effective July 1, 2025, KICO increased the top limit of its catastrophe reinsurance coverage from $280,000,000 to $440,000,000, which, equates to a 1-in-100 year storm event according to the primary industry catastrophe model that we follow.</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860" w:hanging="247"/>
        <w:spacing w:after="0"/>
        <w:tabs>
          <w:tab w:leader="none" w:pos="860" w:val="left"/>
        </w:tabs>
        <w:numPr>
          <w:ilvl w:val="0"/>
          <w:numId w:val="7"/>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AmGuard Renewal Rights Agreement</w:t>
      </w:r>
    </w:p>
    <w:p>
      <w:pPr>
        <w:spacing w:after="0" w:line="134"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12"/>
          <w:szCs w:val="12"/>
          <w:color w:val="auto"/>
        </w:rPr>
        <w:t>On April 14, 2025, KICO entered into an agreement to offer a quote for a replacement policy to selected homeowners policyholders in Downstate New York as one of our competitors pivoted focus away from admitted personal lines business (the "Withdrawal Plan"). The Withdrawal Plan, which includes this transaction, has been approved by the New York Department of Financial Services. This competitor wrote approximately $70 million in written premium. The Withdrawal Plan has enabled KICO to work with new distribution partners to further increase our footprint in Downstate New York by offering an alternative policy to selected homeowners policyholders with effective dates that started in late third quarter of 2025.</w:t>
      </w:r>
    </w:p>
    <w:p>
      <w:pPr>
        <w:spacing w:after="0" w:line="124" w:lineRule="exact"/>
        <w:rPr>
          <w:sz w:val="20"/>
          <w:szCs w:val="20"/>
          <w:color w:val="auto"/>
        </w:rPr>
      </w:pPr>
    </w:p>
    <w:p>
      <w:pPr>
        <w:ind w:left="860" w:hanging="247"/>
        <w:spacing w:after="0"/>
        <w:tabs>
          <w:tab w:leader="none" w:pos="860" w:val="left"/>
        </w:tabs>
        <w:numPr>
          <w:ilvl w:val="0"/>
          <w:numId w:val="8"/>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Stockholder Dividends</w:t>
      </w:r>
    </w:p>
    <w:p>
      <w:pPr>
        <w:spacing w:after="0" w:line="152" w:lineRule="exact"/>
        <w:rPr>
          <w:sz w:val="20"/>
          <w:szCs w:val="20"/>
          <w:color w:val="auto"/>
        </w:rPr>
      </w:pPr>
    </w:p>
    <w:p>
      <w:pPr>
        <w:ind w:firstLine="405"/>
        <w:spacing w:after="0" w:line="279" w:lineRule="auto"/>
        <w:rPr>
          <w:sz w:val="20"/>
          <w:szCs w:val="20"/>
          <w:color w:val="auto"/>
        </w:rPr>
      </w:pPr>
      <w:r>
        <w:rPr>
          <w:rFonts w:ascii="Times New Roman" w:cs="Times New Roman" w:eastAsia="Times New Roman" w:hAnsi="Times New Roman"/>
          <w:sz w:val="12"/>
          <w:szCs w:val="12"/>
          <w:color w:val="auto"/>
        </w:rPr>
        <w:t>On July 22, 2025, our Board of Directors approved a quarterly dividend of $0.05 per share which was paid in cash on August 26, 2025 to stockholders of record as of the close of business on August 11, 2025. On October 30, 2025, our Board of Directors approved a quarterly dividend of $0.05 per share which was paid in cash on November 26, 2025 to stockholders of record as of the close of business on November 11, 2025.</w:t>
      </w:r>
    </w:p>
    <w:p>
      <w:pPr>
        <w:spacing w:after="0" w:line="109" w:lineRule="exact"/>
        <w:rPr>
          <w:sz w:val="20"/>
          <w:szCs w:val="20"/>
          <w:color w:val="auto"/>
        </w:rPr>
      </w:pPr>
    </w:p>
    <w:p>
      <w:pPr>
        <w:ind w:left="860" w:hanging="247"/>
        <w:spacing w:after="0"/>
        <w:tabs>
          <w:tab w:leader="none" w:pos="860" w:val="left"/>
        </w:tabs>
        <w:numPr>
          <w:ilvl w:val="0"/>
          <w:numId w:val="9"/>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Withdrawal of Writing Business in New Jersey</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In 2025, KICO made the decision to withdraw from writing any business in the state of New Jersey. All policies previously written in the State of New Jersey were non-renewed during 2025.</w:t>
      </w:r>
    </w:p>
    <w:p>
      <w:pPr>
        <w:spacing w:after="0" w:line="14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2"/>
          <w:szCs w:val="12"/>
          <w:b w:val="1"/>
          <w:bCs w:val="1"/>
          <w:i w:val="1"/>
          <w:iCs w:val="1"/>
          <w:color w:val="auto"/>
        </w:rPr>
        <w:t>Developments During 2026</w:t>
      </w:r>
    </w:p>
    <w:p>
      <w:pPr>
        <w:spacing w:after="0" w:line="145" w:lineRule="exact"/>
        <w:rPr>
          <w:sz w:val="20"/>
          <w:szCs w:val="20"/>
          <w:color w:val="auto"/>
        </w:rPr>
      </w:pPr>
    </w:p>
    <w:p>
      <w:pPr>
        <w:ind w:left="860" w:hanging="247"/>
        <w:spacing w:after="0"/>
        <w:tabs>
          <w:tab w:leader="none" w:pos="86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New Markets; California</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In March 2026, we announced that we intend to expand into new markets starting with California on an excess and surplus lines basis in the second quarter of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Property and Casualty Insurance</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Overview</w:t>
      </w:r>
    </w:p>
    <w:p>
      <w:pPr>
        <w:spacing w:after="0" w:line="154"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Property and casualty insurance companies provide policies in exchange for premiums paid by their customers (the “insureds”). An insurance policy is a contract between the insurance company and its insureds where the insurance company agrees to pay for losses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owner’s building, inventory and equipment. Casualty insurance (also referred to as liability insurance) generally covers the financial consequences related to the legal liability of an individual or an organization resulting from negligent acts and omissions that cause bodily injury and/or property damage to a third party. Claims for property coverage generally are reported and settled in a relatively short period of time, whereas those for casualty coverage may take many years to settle.</w:t>
      </w:r>
    </w:p>
    <w:p>
      <w:pPr>
        <w:spacing w:after="0" w:line="121"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derive substantially all of our revenue from KICO, including revenues from earned premiums, ceding commissions from quota share reinsurance, net investment income generated from our investment portfolio, and net realized gains and losses on investment securities. We also collect a variety of policy fees including installment fees, reinstatement fees, and non-sufficient fund fees related to situations involving extended premium payment plans. Earned premiums represent premiums received from insureds, which are recognized as revenue over the period of time that coverage is provided (i.e., ratably over the life of the policy). All of our policies are 12 month policies; therefore, a significant period of time can elapse between the receipt of insurance premiums and the payment of insurance claims. During this time, KICO invests the premiums, earning investment income and generating net realized and unrealized gains and losses on associated investments. Our holding company earns investment income from its cash holdings.</w:t>
      </w:r>
    </w:p>
    <w:p>
      <w:pPr>
        <w:spacing w:after="0" w:line="12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commissions paid to producers, premium taxes, and other expenses related to the underwriting process, including employees’ compensation and benefits.</w:t>
      </w:r>
    </w:p>
    <w:p>
      <w:pPr>
        <w:spacing w:after="0" w:line="141" w:lineRule="exact"/>
        <w:rPr>
          <w:sz w:val="20"/>
          <w:szCs w:val="20"/>
          <w:color w:val="auto"/>
        </w:rPr>
      </w:pPr>
    </w:p>
    <w:p>
      <w:pPr>
        <w:jc w:val="both"/>
        <w:ind w:right="20" w:firstLine="405"/>
        <w:spacing w:after="0" w:line="279" w:lineRule="auto"/>
        <w:rPr>
          <w:sz w:val="20"/>
          <w:szCs w:val="20"/>
          <w:color w:val="auto"/>
        </w:rPr>
      </w:pPr>
      <w:r>
        <w:rPr>
          <w:rFonts w:ascii="Times New Roman" w:cs="Times New Roman" w:eastAsia="Times New Roman" w:hAnsi="Times New Roman"/>
          <w:sz w:val="12"/>
          <w:szCs w:val="12"/>
          <w:color w:val="auto"/>
        </w:rPr>
        <w:t>Other operating expenses include our corporate expenses as a holding company. These corporate expenses include legal and auditing fees, executive employment costs, and other costs directly associated with being a public company.</w:t>
      </w:r>
    </w:p>
    <w:p>
      <w:pPr>
        <w:spacing w:after="0" w:line="102"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2"/>
          <w:szCs w:val="12"/>
          <w:color w:val="auto"/>
        </w:rPr>
        <w:t>The key measure of relative underwriting performance for an insurance company is the combined ratio. An insurance company’s combined ratio is calculated by taking the ratio of incurred loss and LAE to earned premiums (the “loss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Business; Strategy</w:t>
      </w:r>
    </w:p>
    <w:p>
      <w:pPr>
        <w:spacing w:after="0" w:line="145"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are a multi-line regional property and casualty insurance company writing business exclusively through retail and wholesale agents and brokers (“producers”) appointed by our wholly-owned subsidiary, KICO. We are licensed to write insurance policies in New York, New Jersey, Connecticut, Maine, Massachusetts, New Hampshire, Pennsylvania and Rhode Island. KICO is actively writing its property and casualty insurance products in New York. Additionally, our subsidiary, Cosi, a multi-state licensed general agency, receives commission revenue from KICO for the policies it places with others and pays commissions to these agencies. See "Competition; Market - 5-Year Growth Plan" below.</w:t>
      </w:r>
    </w:p>
    <w:p>
      <w:pPr>
        <w:spacing w:after="0" w:line="129"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insureds and claimants. Producers also value our broad underwriting appetite coupled with competitive rate and commission structures.</w:t>
      </w:r>
    </w:p>
    <w:p>
      <w:pPr>
        <w:spacing w:after="0" w:line="12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Our principal objectives are to grow profitably while managing risk through prudent use of reinsurance in order to strengthen our capital base. We generate underwriting income through adequate pricing of insurance policies and by effectively managing our other underwriting and operating expenses. We are pursuing profitable growth through existing producers in existing markets, by developing new geographic markets and producer relationships, and by introducing niche products that are relevant to our producers and insureds. See "Competition; Market - 5-Year Growth Plan" below.</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For the year ended December 31, 2025, our gross written premiums totaled $277.8 million, an increase of 14.8% from the $242.0 million in gross written premiums for the year ended December 31, 2024.</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Product Lines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Our product lines include the following:</w:t>
      </w:r>
    </w:p>
    <w:p>
      <w:pPr>
        <w:spacing w:after="0" w:line="13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Personal lines - </w:t>
      </w:r>
      <w:r>
        <w:rPr>
          <w:rFonts w:ascii="Times New Roman" w:cs="Times New Roman" w:eastAsia="Times New Roman" w:hAnsi="Times New Roman"/>
          <w:sz w:val="12"/>
          <w:szCs w:val="12"/>
          <w:color w:val="auto"/>
        </w:rPr>
        <w:t>Our largest line of business is personal lines, consisting of homeowners, dwelling fire, cooperative/condominium, renters, and personal umbrella policies. Personal lines policies accounted for 94.7% of our gross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written premiums for the year ended December 31, 2025.</w:t>
      </w:r>
    </w:p>
    <w:p>
      <w:pPr>
        <w:spacing w:after="0" w:line="116"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Livery physical damage - </w:t>
      </w:r>
      <w:r>
        <w:rPr>
          <w:rFonts w:ascii="Times New Roman" w:cs="Times New Roman" w:eastAsia="Times New Roman" w:hAnsi="Times New Roman"/>
          <w:sz w:val="12"/>
          <w:szCs w:val="12"/>
          <w:color w:val="auto"/>
        </w:rPr>
        <w:t>We write for-hire vehicle physical damage only policies for livery and car service vehicles and taxicabs. These policies insure only the physical damage portion of insurance for such vehicles, with no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liability coverage included. These policies accounted for 5.2% of our gross written premiums for the year ended December 31, 2025.</w:t>
      </w:r>
    </w:p>
    <w:p>
      <w:pPr>
        <w:spacing w:after="0" w:line="107" w:lineRule="exact"/>
        <w:rPr>
          <w:sz w:val="20"/>
          <w:szCs w:val="20"/>
          <w:color w:val="auto"/>
        </w:rPr>
      </w:pPr>
    </w:p>
    <w:p>
      <w:pPr>
        <w:jc w:val="both"/>
        <w:ind w:firstLine="405"/>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Other </w:t>
      </w:r>
      <w:r>
        <w:rPr>
          <w:rFonts w:ascii="Times New Roman" w:cs="Times New Roman" w:eastAsia="Times New Roman" w:hAnsi="Times New Roman"/>
          <w:sz w:val="12"/>
          <w:szCs w:val="12"/>
          <w:color w:val="auto"/>
        </w:rPr>
        <w:t>- We write canine legal liability policies and have a small participation in mandatory state joint underwriting associations. These policies accounted for 0.02% of our gross written premiums for the year ended December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31, 2025.</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Our Competitive Strengths</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Long History of Operations</w:t>
      </w:r>
    </w:p>
    <w:p>
      <w:pPr>
        <w:spacing w:after="0" w:line="152"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KICO has been in operation in the State of New York since 1886. We have consistently sought to grow the amount of profitable business that we write by introducing new products, increasing volume written with our Select producers in existing markets, and developing new producer relationships and markets. The extensive heritage of our insurance company subsidiary and our commitment to the markets in which we operate is a competitive advantage with producers and insureds.</w:t>
      </w:r>
    </w:p>
    <w:p>
      <w:pPr>
        <w:spacing w:after="0" w:line="1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Strong Producer Relationships</w:t>
      </w:r>
    </w:p>
    <w:p>
      <w:pPr>
        <w:spacing w:after="0" w:line="14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Within our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w:t>
      </w:r>
    </w:p>
    <w:p>
      <w:pPr>
        <w:spacing w:after="0" w:line="11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We offer our Select producers access to a variety of personal lines and specialty products, including some that are unique to us. We provide a multi-policy discount on homeowners policies in order to attract and retain more of this multi-line business. We have had a consistent presence in the New York market and our producers value the longevity of the relationship. We believe that the excellent service provided to our Select producers, our broad underwriting appetite, and our competitive prices provide a strong foundation for profitable growth.</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Sophisticated Pricing, Underwriting and Risk Management Practices</w:t>
      </w:r>
    </w:p>
    <w:p>
      <w:pPr>
        <w:spacing w:after="0" w:line="14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We believe that a significant underwriting advantage exists due to our local market presence and expertise. Our underwriting process evaluates and screens out certain risks based on their prior loss experience, cost of reinsurance, property condition, insurance scoring and driving record, and then is augmented by information collected from virtual and physical property inspections. We maintain certain policy exclusions that reduce our exposure to risks that can create severe losses. We target a preferred risk profile in order to reduce adverse selection from risks seeking the lowest premiums and minimal coverage levels.</w:t>
      </w:r>
    </w:p>
    <w:p>
      <w:pPr>
        <w:spacing w:after="0" w:line="11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Our underwriting procedures, premiums and policy terms support the goal of underwriting profitability of our personal lines policies. We adhere to a quarterly indication process and perform a rate review in each state and for each product at least annually. In 2022, we introduced our new Select homeowners, condo/tenant and dwelling fire programs in New York. This product incorporates by-peril rating and a host of new data sources to better match rate to risk. We also update property replacement costs to address inflation annually.</w:t>
      </w:r>
    </w:p>
    <w:p>
      <w:pPr>
        <w:spacing w:after="0" w:line="11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We manage coastal risk exposure through the use of individual catastrophe risk scoring, the inclusion of hurricane deductibles, non-renewals and the prudent use of reinsurance. We measure our risk exposure regularly and adjust our underwriting to manage growth in our probable maximum loss (PML).</w:t>
      </w:r>
    </w:p>
    <w:p>
      <w:pPr>
        <w:spacing w:after="0" w:line="1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Effective Utilization of Reinsurance</w:t>
      </w:r>
    </w:p>
    <w:p>
      <w:pPr>
        <w:spacing w:after="0" w:line="143" w:lineRule="exact"/>
        <w:rPr>
          <w:sz w:val="20"/>
          <w:szCs w:val="20"/>
          <w:color w:val="auto"/>
        </w:rPr>
      </w:pPr>
    </w:p>
    <w:p>
      <w:pPr>
        <w:jc w:val="both"/>
        <w:ind w:right="20" w:firstLine="405"/>
        <w:spacing w:after="0" w:line="279" w:lineRule="auto"/>
        <w:rPr>
          <w:sz w:val="20"/>
          <w:szCs w:val="20"/>
          <w:color w:val="auto"/>
        </w:rPr>
      </w:pPr>
      <w:r>
        <w:rPr>
          <w:rFonts w:ascii="Times New Roman" w:cs="Times New Roman" w:eastAsia="Times New Roman" w:hAnsi="Times New Roman"/>
          <w:sz w:val="12"/>
          <w:szCs w:val="12"/>
          <w:color w:val="auto"/>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spacing w:after="0" w:line="102"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2"/>
          <w:szCs w:val="12"/>
          <w:color w:val="auto"/>
        </w:rPr>
        <w:t>Our reinsurance program also provides income from ceding commissions earned pursuant to quota share reinsurance contracts. The income we earn from ceding commissions subsidizes our fixed operating costs, which consist of other underwriting expenses. Quota share reinsurance treaties transfer a portion of the profit (or loss) associated with the subject insurance policies to the reinsurers.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Scalable, Low-Cost Operations</w:t>
      </w:r>
    </w:p>
    <w:p>
      <w:pPr>
        <w:spacing w:after="0" w:line="143"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We focus on efficiently managing our expenses and invest in tools and processes that improve the effectiveness of underwriting risks and processing claims. We evaluate the costs and benefits of each new tool or process in order to achieve optimal results. While the majority of our policies are written for risks in downstate New York, our remote workforce model provides a low-cost operating environment.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We continue to invest in improving our online application and quoting systems for our personal lines products. We have leveraged a paperless workflow management and document storage tool that has improved efficiency and reduced costs. We provide an online payment portal that allows producers and insureds to make payments and to view policy information for all of our products in one location. Our ability to control the growth of operating and other expenses while expanding our operations and growing revenue is a key component of our business model and is important to our financial success.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Underwriting and Claims Management Philosophy</w:t>
      </w:r>
    </w:p>
    <w:p>
      <w:pPr>
        <w:spacing w:after="0" w:line="14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Our underwriting philosophy is to target niche segments for which we have detailed expertise and can take advantage of market conditions. We monitor results on a regular basis and our Select producers are reviewed by management on at least a semi-annual basis.</w:t>
      </w:r>
    </w:p>
    <w:p>
      <w:pPr>
        <w:spacing w:after="0" w:line="102"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believe that our rates are appropriately competitive with other carriers in our target markets. We do not seek to grow by competing based solely upon price. We seek to develop long-term relationships with our Select producers who understand and appreciate the path we have chosen. We carefully underwrite our business utilizing industry claims databases, insurance scoring reports, virtual and physical inspection of risks and other individual risk underwriting tools. We write homeowners and dwelling fire business in coastal markets and are cognizant of our exposure to hurricanes. We have mitigated this risk through appropriate catastrophe reinsurance and application of hurricane deductibles. We handle claims fairly while ensuring that coverage provisions and exclusions are properly applied. Our claims and underwriting expertise supports our ability to grow our profitable business.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Distribution</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generate business through our relationships with over 700 producers. We carefully select our producers by evaluating numerous factors such as their need for our products, premium production potential, loss history with other insurance companies that they represent, product and market knowledge, and agency size. We only distribute through agents and have never sought to distribute our products direct to the consumer. We monitor and evaluate the performance of our producers through periodic reviews of volume and profitability. Our senior executives are actively involved in managing our producer relationships.</w:t>
      </w:r>
    </w:p>
    <w:p>
      <w:pPr>
        <w:spacing w:after="0" w:line="129" w:lineRule="exact"/>
        <w:rPr>
          <w:sz w:val="20"/>
          <w:szCs w:val="20"/>
          <w:color w:val="auto"/>
        </w:rPr>
      </w:pPr>
    </w:p>
    <w:p>
      <w:pPr>
        <w:jc w:val="both"/>
        <w:ind w:right="20" w:firstLine="405"/>
        <w:spacing w:after="0" w:line="249" w:lineRule="auto"/>
        <w:rPr>
          <w:sz w:val="20"/>
          <w:szCs w:val="20"/>
          <w:color w:val="auto"/>
        </w:rPr>
      </w:pPr>
      <w:r>
        <w:rPr>
          <w:rFonts w:ascii="Times New Roman" w:cs="Times New Roman" w:eastAsia="Times New Roman" w:hAnsi="Times New Roman"/>
          <w:sz w:val="12"/>
          <w:szCs w:val="12"/>
          <w:color w:val="auto"/>
        </w:rPr>
        <w:t>Each producer is assigned to a staff underwriter and the producer can call that underwriter directly on any matter. We believe that the close relationship and personal service received from their underwriters is one of the reasons producers place their business with us. Our producers have access to a KICO producer interface and website portal that provides them the ability to quote risks for various products and to review policy forms and underwriting guidelines for all lines of business. We send out frequent “Producer Grams” in order to inform our producers of updates at KICO.</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Competition; Market</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The insurance industry is highly competitive. We constantly assess and make projections of market conditions and appropriate prices for our products, but we cannot fully know our profitability until all claims have been reported and settled. Our active policyholders are located primarily in the downstate regions of New York State. We made the decision to reduce our book of business in other Northeast markets beginning in 2022, which includes New Jersey, Rhode Island, Massachusetts and Connecticut.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color w:val="auto"/>
        </w:rPr>
        <w:t>On August 2, 2024, two large competitors announced a plan to wind down their personal lines operations in New York State and to non-renew or mid-term cancel their entire book of business before year end 2024. The policyholders of such competitors needed to find alternative coverage. Beginning in the quarter ended September 30, 2024, we began seeing a sizable increase in our policies in force and direct written premiums from these non-renewed and cancelled policies. We refer to this new business as a Change in Market Dynamics.</w:t>
      </w:r>
    </w:p>
    <w:p>
      <w:pPr>
        <w:spacing w:after="0" w:line="115" w:lineRule="exact"/>
        <w:rPr>
          <w:sz w:val="20"/>
          <w:szCs w:val="20"/>
          <w:color w:val="auto"/>
        </w:rPr>
      </w:pPr>
    </w:p>
    <w:p>
      <w:pPr>
        <w:jc w:val="both"/>
        <w:ind w:firstLine="432"/>
        <w:spacing w:after="0" w:line="232" w:lineRule="auto"/>
        <w:rPr>
          <w:sz w:val="20"/>
          <w:szCs w:val="20"/>
          <w:color w:val="auto"/>
        </w:rPr>
      </w:pPr>
      <w:r>
        <w:rPr>
          <w:rFonts w:ascii="Times New Roman" w:cs="Times New Roman" w:eastAsia="Times New Roman" w:hAnsi="Times New Roman"/>
          <w:sz w:val="12"/>
          <w:szCs w:val="12"/>
          <w:color w:val="auto"/>
        </w:rPr>
        <w:t>On April 14, 2025, KICO entered into an agreement to offer a quote for a replacement policy to selected homeowners policyholders in Downstate New York as one of our competitors pivoted focus away from admitted personal lines business (the "Withdrawal Plan"). The Withdrawal Plan, which includes this transaction, has been approved by the New York Department of Financial Services. This competitor wrote approximately $70 million in written premium. The Withdrawal Plan has enabled KICO to work with new distribution partners to further increase its footprint in Downstate New York by offering an alternative policy to selected homeowners policyholders with effective dates that started in late third quarter of 2025. This transaction is being handled in a similar manner to the Change in Market Dynamics, except that we are streamlining the process by providing a quote for eligible policyholders to our producers.</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5-Year Growth Plan</w:t>
      </w:r>
    </w:p>
    <w:p>
      <w:pPr>
        <w:spacing w:after="0" w:line="134"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color w:val="auto"/>
        </w:rPr>
        <w:t>We recently announced our 5-year goal of $500 million in direct written premium (the "5-Year Growth Plan"), effectively almost doubling the size of our company relative to today. We are diligently working on a strategic plan that outlines how we will achieve this goal through a combination of organic initiatives and strategic inorganic opportunities in our core state of New York along with measured geographic expansion into new states. We intend to maintain our focus on our core expertise of insuring catastrophe-exposed properties.</w:t>
      </w:r>
    </w:p>
    <w:p>
      <w:pPr>
        <w:spacing w:after="0" w:line="115"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color w:val="auto"/>
        </w:rPr>
        <w:t>Relative to geographic expansion, we have conducted a thorough study of selected geographies and states with the help of industry-leading third-party advisors and overlaid important lessons learned from our past challenges to ensure that we do not face such challenges again. We plan to pursue prudent growth at a measured pace in our chosen new states, testing and validating rate adequacy commensurate with risk factors in the new geographies. Our current plan is to go live in California in the second quarter of 2026, in Connecticut later in 2026, and in two additional states in 2027.</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Loss and Loss Adjustment Expense Reserves</w:t>
      </w:r>
    </w:p>
    <w:p>
      <w:pPr>
        <w:spacing w:after="0" w:line="145" w:lineRule="exact"/>
        <w:rPr>
          <w:sz w:val="20"/>
          <w:szCs w:val="20"/>
          <w:color w:val="auto"/>
        </w:rPr>
      </w:pPr>
    </w:p>
    <w:p>
      <w:pPr>
        <w:jc w:val="both"/>
        <w:ind w:right="20" w:firstLine="405"/>
        <w:spacing w:after="0" w:line="257" w:lineRule="auto"/>
        <w:rPr>
          <w:sz w:val="20"/>
          <w:szCs w:val="20"/>
          <w:color w:val="auto"/>
        </w:rPr>
      </w:pPr>
      <w:r>
        <w:rPr>
          <w:rFonts w:ascii="Times New Roman" w:cs="Times New Roman" w:eastAsia="Times New Roman" w:hAnsi="Times New Roman"/>
          <w:sz w:val="12"/>
          <w:szCs w:val="12"/>
          <w:color w:val="auto"/>
        </w:rPr>
        <w:t>We are required to establish reserves for unpaid losses, including reserves for claims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spacing w:after="0" w:line="115" w:lineRule="exact"/>
        <w:rPr>
          <w:sz w:val="20"/>
          <w:szCs w:val="20"/>
          <w:color w:val="auto"/>
        </w:rPr>
      </w:pPr>
    </w:p>
    <w:p>
      <w:pPr>
        <w:jc w:val="both"/>
        <w:ind w:right="20" w:firstLine="405"/>
        <w:spacing w:after="0" w:line="279" w:lineRule="auto"/>
        <w:rPr>
          <w:sz w:val="20"/>
          <w:szCs w:val="20"/>
          <w:color w:val="auto"/>
        </w:rPr>
      </w:pPr>
      <w:r>
        <w:rPr>
          <w:rFonts w:ascii="Times New Roman" w:cs="Times New Roman" w:eastAsia="Times New Roman" w:hAnsi="Times New Roman"/>
          <w:sz w:val="12"/>
          <w:szCs w:val="12"/>
          <w:color w:val="auto"/>
        </w:rPr>
        <w:t>Loss reserves fall into two categories: case reserves for reported losses and LAE associated with specific reported claims, and reserves for losses and LAE that are incurred but not reported. We establish these two categories of loss reserves as follows:</w:t>
      </w:r>
    </w:p>
    <w:p>
      <w:pPr>
        <w:spacing w:after="0" w:line="100" w:lineRule="exact"/>
        <w:rPr>
          <w:sz w:val="20"/>
          <w:szCs w:val="20"/>
          <w:color w:val="auto"/>
        </w:rPr>
      </w:pPr>
    </w:p>
    <w:p>
      <w:pPr>
        <w:jc w:val="both"/>
        <w:ind w:right="20" w:firstLine="405"/>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Reserves for reported losses </w:t>
      </w:r>
      <w:r>
        <w:rPr>
          <w:rFonts w:ascii="Times New Roman" w:cs="Times New Roman" w:eastAsia="Times New Roman" w:hAnsi="Times New Roman"/>
          <w:sz w:val="12"/>
          <w:szCs w:val="12"/>
          <w:color w:val="auto"/>
        </w:rPr>
        <w:t>- When a claim is received, we establish a case reserve for the estimated amount of its ultimate settlement and its estimated loss expenses. We establish case reserves based upon the known facts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about each claim at the time it is received and we may subsequently adjust case reserves as additional facts and information about the claim develops.</w:t>
      </w:r>
    </w:p>
    <w:p>
      <w:pPr>
        <w:spacing w:after="0" w:line="11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2"/>
          <w:szCs w:val="12"/>
          <w:i w:val="1"/>
          <w:iCs w:val="1"/>
          <w:color w:val="auto"/>
        </w:rPr>
        <w:t xml:space="preserve">IBNR reserves </w:t>
      </w:r>
      <w:r>
        <w:rPr>
          <w:rFonts w:ascii="Times New Roman" w:cs="Times New Roman" w:eastAsia="Times New Roman" w:hAnsi="Times New Roman"/>
          <w:sz w:val="12"/>
          <w:szCs w:val="12"/>
          <w:color w:val="auto"/>
        </w:rPr>
        <w:t>- We also estimate reserves for loss and LAE amounts incurred but not reported (“IBNR”). IBNR reserves are calculated in bulk as an estimate of ultimate losses and LAE less reported losses and LAE. There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two types of IBNR; the first is a provision for claims that have occurred but are not yet reported or known. We refer to this as ‘Pure’ IBNR. The second type of IBNR is a provision for expected future development on known claims, from the evaluation date until the time claims are settled and closed. We refer to this as ‘Case Development’ IBNR. Ultimate losses driving the determination of appropriate IBNR levels are projected by using generally accepted actuarial techniques.</w:t>
      </w:r>
    </w:p>
    <w:p>
      <w:pPr>
        <w:spacing w:after="0" w:line="120"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The liability for loss and LAE represents our best estimate of the ultimate cost of all reported and unreported losses that are unpaid as of the balance sheet evaluation date. The liability for loss and LAE is estimated on an undiscounted basis, using individual case-based valuations, statistical analyses, and various actuarial procedures. The projection of future claim payments and reporting patterns is based on an analysis of our historical experience, supplemented by analyses of industry loss data. We believe that the reserves for loss and LAE are adequate to cover the ultimate cost of losses and claims to date. However, because of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they are reflected in the period in which the estimates are changed. Because of the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nature of the business historically written, we believe that we have limited exposure to asbestos and environmental claim liabilities.</w:t>
      </w:r>
    </w:p>
    <w:p>
      <w:pPr>
        <w:spacing w:after="0" w:line="14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We engage an independent external actuarial specialist (the “Appointed Actuary”) to opine on our recorded statutory reserves. The Appointed Actuary estimates a range of reasonable ultimate losses, along with a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spacing w:after="0" w:line="11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See “Management’s Discussion and Analysis of Financial Condition and Results of Operations – Principal Revenue and Expense Items” in Item 7 of this Annual Report and Note 2 and Note 11 in the accompanying consolidated financial statements for additional information and details regarding loss and LAE reserves.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Reconciliation of Loss and Loss Adjustment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shows the reconciliation of loss and LAE on a gross and net basis, reflecting changes in losses incurred and paid losses:</w:t>
      </w:r>
    </w:p>
    <w:p>
      <w:pPr>
        <w:spacing w:after="0" w:line="182"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1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6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r>
      <w:tr>
        <w:trPr>
          <w:trHeight w:val="156"/>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126,210,428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121,817,862</w:t>
            </w:r>
          </w:p>
        </w:tc>
        <w:tc>
          <w:tcPr>
            <w:tcW w:w="80" w:type="dxa"/>
            <w:vAlign w:val="bottom"/>
            <w:shd w:val="clear" w:color="auto" w:fill="CCEEFF"/>
          </w:tcPr>
          <w:p>
            <w:pPr>
              <w:spacing w:after="0"/>
              <w:rPr>
                <w:sz w:val="14"/>
                <w:szCs w:val="14"/>
                <w:color w:val="auto"/>
              </w:rPr>
            </w:pPr>
          </w:p>
        </w:tc>
      </w:tr>
      <w:tr>
        <w:trPr>
          <w:trHeight w:val="167"/>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reinsurance recoverables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(32,322,637)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(33,288,650)</w:t>
            </w:r>
          </w:p>
        </w:tc>
        <w:tc>
          <w:tcPr>
            <w:tcW w:w="80" w:type="dxa"/>
            <w:vAlign w:val="bottom"/>
            <w:tcBorders>
              <w:bottom w:val="single" w:sz="8" w:color="CCEEFF"/>
            </w:tcBorders>
          </w:tcPr>
          <w:p>
            <w:pPr>
              <w:spacing w:after="0"/>
              <w:rPr>
                <w:sz w:val="14"/>
                <w:szCs w:val="14"/>
                <w:color w:val="auto"/>
              </w:rPr>
            </w:pPr>
          </w:p>
        </w:tc>
      </w:tr>
      <w:tr>
        <w:trPr>
          <w:trHeight w:val="16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balance, beginning of period</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93,887,791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88,529,212</w:t>
            </w:r>
          </w:p>
        </w:tc>
        <w:tc>
          <w:tcPr>
            <w:tcW w:w="80" w:type="dxa"/>
            <w:vAlign w:val="bottom"/>
            <w:shd w:val="clear" w:color="auto" w:fill="CCEEFF"/>
          </w:tcPr>
          <w:p>
            <w:pPr>
              <w:spacing w:after="0"/>
              <w:rPr>
                <w:sz w:val="13"/>
                <w:szCs w:val="13"/>
                <w:color w:val="auto"/>
              </w:rPr>
            </w:pPr>
          </w:p>
        </w:tc>
      </w:tr>
      <w:tr>
        <w:trPr>
          <w:trHeight w:val="155"/>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Incurred related to:</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Current year</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85,349,385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64,414,543</w:t>
            </w:r>
          </w:p>
        </w:tc>
        <w:tc>
          <w:tcPr>
            <w:tcW w:w="80" w:type="dxa"/>
            <w:vAlign w:val="bottom"/>
          </w:tcPr>
          <w:p>
            <w:pPr>
              <w:spacing w:after="0"/>
              <w:rPr>
                <w:sz w:val="14"/>
                <w:szCs w:val="14"/>
                <w:color w:val="auto"/>
              </w:rPr>
            </w:pPr>
          </w:p>
        </w:tc>
      </w:tr>
      <w:tr>
        <w:trPr>
          <w:trHeight w:val="17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Prior years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(1,083,663)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(1,779,827)</w:t>
            </w:r>
          </w:p>
        </w:tc>
        <w:tc>
          <w:tcPr>
            <w:tcW w:w="80" w:type="dxa"/>
            <w:vAlign w:val="bottom"/>
            <w:shd w:val="clear" w:color="auto" w:fill="CCEEFF"/>
          </w:tcPr>
          <w:p>
            <w:pPr>
              <w:spacing w:after="0"/>
              <w:rPr>
                <w:sz w:val="15"/>
                <w:szCs w:val="15"/>
                <w:color w:val="auto"/>
              </w:rPr>
            </w:pPr>
          </w:p>
        </w:tc>
      </w:tr>
      <w:tr>
        <w:trPr>
          <w:trHeight w:val="155"/>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incurred</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84,265,722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62,634,716</w:t>
            </w:r>
          </w:p>
        </w:tc>
        <w:tc>
          <w:tcPr>
            <w:tcW w:w="80" w:type="dxa"/>
            <w:vAlign w:val="bottom"/>
            <w:tcBorders>
              <w:bottom w:val="single" w:sz="8" w:color="CCEEFF"/>
            </w:tcBorders>
          </w:tcPr>
          <w:p>
            <w:pPr>
              <w:spacing w:after="0"/>
              <w:rPr>
                <w:sz w:val="13"/>
                <w:szCs w:val="13"/>
                <w:color w:val="auto"/>
              </w:rPr>
            </w:pPr>
          </w:p>
        </w:tc>
      </w:tr>
      <w:tr>
        <w:trPr>
          <w:trHeight w:val="156"/>
        </w:trPr>
        <w:tc>
          <w:tcPr>
            <w:tcW w:w="8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Paid related to:</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year</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40,940,473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32,956,899</w:t>
            </w:r>
          </w:p>
        </w:tc>
        <w:tc>
          <w:tcPr>
            <w:tcW w:w="80" w:type="dxa"/>
            <w:vAlign w:val="bottom"/>
            <w:shd w:val="clear" w:color="auto" w:fill="CCEEFF"/>
          </w:tcPr>
          <w:p>
            <w:pPr>
              <w:spacing w:after="0"/>
              <w:rPr>
                <w:sz w:val="15"/>
                <w:szCs w:val="15"/>
                <w:color w:val="auto"/>
              </w:rPr>
            </w:pPr>
          </w:p>
        </w:tc>
      </w:tr>
      <w:tr>
        <w:trPr>
          <w:trHeight w:val="166"/>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Prior years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29,906,787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24,319,238</w:t>
            </w:r>
          </w:p>
        </w:tc>
        <w:tc>
          <w:tcPr>
            <w:tcW w:w="80" w:type="dxa"/>
            <w:vAlign w:val="bottom"/>
            <w:tcBorders>
              <w:bottom w:val="single" w:sz="8" w:color="CCEEFF"/>
            </w:tcBorders>
          </w:tcPr>
          <w:p>
            <w:pPr>
              <w:spacing w:after="0"/>
              <w:rPr>
                <w:sz w:val="14"/>
                <w:szCs w:val="14"/>
                <w:color w:val="auto"/>
              </w:rPr>
            </w:pPr>
          </w:p>
        </w:tc>
      </w:tr>
      <w:tr>
        <w:trPr>
          <w:trHeight w:val="16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paid</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70,847,260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57,276,137</w:t>
            </w:r>
          </w:p>
        </w:tc>
        <w:tc>
          <w:tcPr>
            <w:tcW w:w="80" w:type="dxa"/>
            <w:vAlign w:val="bottom"/>
            <w:shd w:val="clear" w:color="auto" w:fill="CCEEFF"/>
          </w:tcPr>
          <w:p>
            <w:pPr>
              <w:spacing w:after="0"/>
              <w:rPr>
                <w:sz w:val="13"/>
                <w:szCs w:val="13"/>
                <w:color w:val="auto"/>
              </w:rPr>
            </w:pPr>
          </w:p>
        </w:tc>
      </w:tr>
      <w:tr>
        <w:trPr>
          <w:trHeight w:val="156"/>
        </w:trPr>
        <w:tc>
          <w:tcPr>
            <w:tcW w:w="8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balance at end of period</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107,306,253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93,887,791</w:t>
            </w:r>
          </w:p>
        </w:tc>
        <w:tc>
          <w:tcPr>
            <w:tcW w:w="80" w:type="dxa"/>
            <w:vAlign w:val="bottom"/>
            <w:shd w:val="clear" w:color="auto" w:fill="CCEEFF"/>
          </w:tcPr>
          <w:p>
            <w:pPr>
              <w:spacing w:after="0"/>
              <w:rPr>
                <w:sz w:val="14"/>
                <w:szCs w:val="14"/>
                <w:color w:val="auto"/>
              </w:rPr>
            </w:pPr>
          </w:p>
        </w:tc>
      </w:tr>
      <w:tr>
        <w:trPr>
          <w:trHeight w:val="166"/>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Add reinsurance recoverables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33,232,365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32,322,637</w:t>
            </w:r>
          </w:p>
        </w:tc>
        <w:tc>
          <w:tcPr>
            <w:tcW w:w="80" w:type="dxa"/>
            <w:vAlign w:val="bottom"/>
            <w:tcBorders>
              <w:bottom w:val="single" w:sz="8" w:color="CCEEFF"/>
            </w:tcBorders>
          </w:tcPr>
          <w:p>
            <w:pPr>
              <w:spacing w:after="0"/>
              <w:rPr>
                <w:sz w:val="14"/>
                <w:szCs w:val="14"/>
                <w:color w:val="auto"/>
              </w:rPr>
            </w:pPr>
          </w:p>
        </w:tc>
      </w:tr>
      <w:tr>
        <w:trPr>
          <w:trHeight w:val="181"/>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140,538,618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126,210,428</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claims reserving practices are designed to set reserves that, in the aggregate, are adequate to pay all claims at their ultimate settlement value.</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Loss and Loss Adjustment Expenses Development</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table below shows the net loss development of reserves held as of each calendar year-end from 2014 through 2024.</w:t>
      </w:r>
    </w:p>
    <w:p>
      <w:pPr>
        <w:spacing w:after="0" w:line="150"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An example with respect to the net loss and LAE reserves of $23,170,000 as of December 31, 2015 is as follows. By December 31, 2017 (two years later), $14,456,000 had actually been paid in settlement of the claims that relate to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2015. The re-estimated ultimate reserves two years later for those claims as of December 31, 2015 had increased to $24,413,000.</w:t>
      </w:r>
    </w:p>
    <w:p>
      <w:pPr>
        <w:spacing w:after="0" w:line="141" w:lineRule="exact"/>
        <w:rPr>
          <w:sz w:val="20"/>
          <w:szCs w:val="20"/>
          <w:color w:val="auto"/>
        </w:rPr>
      </w:pPr>
    </w:p>
    <w:p>
      <w:pPr>
        <w:ind w:firstLine="405"/>
        <w:spacing w:after="0" w:line="279" w:lineRule="auto"/>
        <w:rPr>
          <w:sz w:val="20"/>
          <w:szCs w:val="20"/>
          <w:color w:val="auto"/>
        </w:rPr>
      </w:pPr>
      <w:r>
        <w:rPr>
          <w:rFonts w:ascii="Times New Roman" w:cs="Times New Roman" w:eastAsia="Times New Roman" w:hAnsi="Times New Roman"/>
          <w:sz w:val="12"/>
          <w:szCs w:val="12"/>
          <w:color w:val="auto"/>
        </w:rPr>
        <w:t>The “cumulative redundancy (deficiency)” represents, as of December 31, 2025, the difference between the latest re-estimated liability and the amounts as originally estimated. A redundancy means that the original estimate was higher than the current estimate. A deficiency means that the current estimate is higher than the original estimate.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 of $)</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2015</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2016</w:t>
            </w: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2017</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r>
      <w:tr>
        <w:trPr>
          <w:trHeight w:val="109"/>
        </w:trPr>
        <w:tc>
          <w:tcPr>
            <w:tcW w:w="1640" w:type="dxa"/>
            <w:vAlign w:val="bottom"/>
            <w:gridSpan w:val="2"/>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Reserve for loss and loss adjustment</w:t>
            </w: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08"/>
        </w:trPr>
        <w:tc>
          <w:tcPr>
            <w:tcW w:w="16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expenses, net of reinsurance</w:t>
            </w: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0"/>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recoverables</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23,170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25,960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32,051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40,526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64,770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62,647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84,311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90,680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88,529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93,888</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107,306</w:t>
            </w:r>
          </w:p>
        </w:tc>
        <w:tc>
          <w:tcPr>
            <w:tcW w:w="80" w:type="dxa"/>
            <w:vAlign w:val="bottom"/>
            <w:shd w:val="clear" w:color="auto" w:fill="CCEEFF"/>
          </w:tcPr>
          <w:p>
            <w:pPr>
              <w:spacing w:after="0"/>
              <w:rPr>
                <w:sz w:val="12"/>
                <w:szCs w:val="12"/>
                <w:color w:val="auto"/>
              </w:rPr>
            </w:pPr>
          </w:p>
        </w:tc>
      </w:tr>
      <w:tr>
        <w:trPr>
          <w:trHeight w:val="112"/>
        </w:trPr>
        <w:tc>
          <w:tcPr>
            <w:tcW w:w="164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Net reserve estimated as of One year</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2"/>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later</w:t>
            </w: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23,107</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25,899</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33,203</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51,664</w:t>
            </w:r>
          </w:p>
        </w:tc>
        <w:tc>
          <w:tcPr>
            <w:tcW w:w="80" w:type="dxa"/>
            <w:vAlign w:val="bottom"/>
          </w:tcPr>
          <w:p>
            <w:pPr>
              <w:spacing w:after="0"/>
              <w:rPr>
                <w:sz w:val="11"/>
                <w:szCs w:val="11"/>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64,811</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62,632</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87,011</w:t>
            </w:r>
          </w:p>
        </w:tc>
        <w:tc>
          <w:tcPr>
            <w:tcW w:w="80" w:type="dxa"/>
            <w:vAlign w:val="bottom"/>
          </w:tcPr>
          <w:p>
            <w:pPr>
              <w:spacing w:after="0"/>
              <w:rPr>
                <w:sz w:val="11"/>
                <w:szCs w:val="11"/>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90,673</w:t>
            </w:r>
          </w:p>
        </w:tc>
        <w:tc>
          <w:tcPr>
            <w:tcW w:w="80" w:type="dxa"/>
            <w:vAlign w:val="bottom"/>
          </w:tcPr>
          <w:p>
            <w:pPr>
              <w:spacing w:after="0"/>
              <w:rPr>
                <w:sz w:val="11"/>
                <w:szCs w:val="1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86,749</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92,804</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Two years later</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24,413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26,970</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42,723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55,145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65,113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65,339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88,418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94,245</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89,447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Three years later</w:t>
            </w: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25,509</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33,298</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43,780</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56,346</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67,291</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67,135</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92,642</w:t>
            </w:r>
          </w:p>
        </w:tc>
        <w:tc>
          <w:tcPr>
            <w:tcW w:w="80" w:type="dxa"/>
            <w:vAlign w:val="bottom"/>
          </w:tcPr>
          <w:p>
            <w:pPr>
              <w:spacing w:after="0"/>
              <w:rPr>
                <w:sz w:val="11"/>
                <w:szCs w:val="11"/>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99,136</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Four years later</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28,638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33,342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43,973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58,048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68,612</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70,643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98,262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5"/>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Five years later</w:t>
            </w: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28,506</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33,120</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43,774</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57,957</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71,022</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74,430</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Six years later</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28,849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32,936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43,777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59,187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73,157</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Seven years later</w:t>
            </w: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28,734</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32,617</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44,395</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59,167</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Eight years later</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28,499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32,739</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44,149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Nine years later</w:t>
            </w: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28,646</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32,379</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2"/>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Ten years later</w:t>
            </w:r>
          </w:p>
        </w:tc>
        <w:tc>
          <w:tcPr>
            <w:tcW w:w="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28,364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27"/>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cumulative redundancy (deficiency)</w:t>
            </w: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w w:val="95"/>
              </w:rPr>
              <w:t>(5,194)</w:t>
            </w:r>
          </w:p>
        </w:tc>
        <w:tc>
          <w:tcPr>
            <w:tcW w:w="80" w:type="dxa"/>
            <w:vAlign w:val="bottom"/>
          </w:tcPr>
          <w:p>
            <w:pPr>
              <w:spacing w:after="0"/>
              <w:rPr>
                <w:sz w:val="11"/>
                <w:szCs w:val="11"/>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w w:val="95"/>
              </w:rPr>
              <w:t>(6,419)</w:t>
            </w:r>
          </w:p>
        </w:tc>
        <w:tc>
          <w:tcPr>
            <w:tcW w:w="80" w:type="dxa"/>
            <w:vAlign w:val="bottom"/>
          </w:tcPr>
          <w:p>
            <w:pPr>
              <w:spacing w:after="0"/>
              <w:rPr>
                <w:sz w:val="11"/>
                <w:szCs w:val="11"/>
                <w:color w:val="auto"/>
              </w:rPr>
            </w:pP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3"/>
              </w:rPr>
              <w:t>(12,098)</w:t>
            </w:r>
          </w:p>
        </w:tc>
        <w:tc>
          <w:tcPr>
            <w:tcW w:w="80" w:type="dxa"/>
            <w:vAlign w:val="bottom"/>
          </w:tcPr>
          <w:p>
            <w:pPr>
              <w:spacing w:after="0"/>
              <w:rPr>
                <w:sz w:val="11"/>
                <w:szCs w:val="11"/>
                <w:color w:val="auto"/>
              </w:rPr>
            </w:pPr>
          </w:p>
        </w:tc>
        <w:tc>
          <w:tcPr>
            <w:tcW w:w="80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3"/>
              </w:rPr>
              <w:t>(18,641)</w:t>
            </w:r>
          </w:p>
        </w:tc>
        <w:tc>
          <w:tcPr>
            <w:tcW w:w="80" w:type="dxa"/>
            <w:vAlign w:val="bottom"/>
          </w:tcPr>
          <w:p>
            <w:pPr>
              <w:spacing w:after="0"/>
              <w:rPr>
                <w:sz w:val="11"/>
                <w:szCs w:val="11"/>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0"/>
                <w:szCs w:val="10"/>
                <w:color w:val="auto"/>
                <w:w w:val="95"/>
              </w:rPr>
              <w:t>(8,386)</w:t>
            </w:r>
          </w:p>
        </w:tc>
        <w:tc>
          <w:tcPr>
            <w:tcW w:w="80" w:type="dxa"/>
            <w:vAlign w:val="bottom"/>
          </w:tcPr>
          <w:p>
            <w:pPr>
              <w:spacing w:after="0"/>
              <w:rPr>
                <w:sz w:val="11"/>
                <w:szCs w:val="11"/>
                <w:color w:val="auto"/>
              </w:rPr>
            </w:pPr>
          </w:p>
        </w:tc>
        <w:tc>
          <w:tcPr>
            <w:tcW w:w="780" w:type="dxa"/>
            <w:vAlign w:val="bottom"/>
          </w:tcPr>
          <w:p>
            <w:pPr>
              <w:jc w:val="center"/>
              <w:ind w:left="372"/>
              <w:spacing w:after="0"/>
              <w:rPr>
                <w:sz w:val="20"/>
                <w:szCs w:val="20"/>
                <w:color w:val="auto"/>
              </w:rPr>
            </w:pPr>
            <w:r>
              <w:rPr>
                <w:rFonts w:ascii="Times New Roman" w:cs="Times New Roman" w:eastAsia="Times New Roman" w:hAnsi="Times New Roman"/>
                <w:sz w:val="10"/>
                <w:szCs w:val="10"/>
                <w:color w:val="auto"/>
                <w:w w:val="93"/>
              </w:rPr>
              <w:t>(11,783)</w:t>
            </w:r>
          </w:p>
        </w:tc>
        <w:tc>
          <w:tcPr>
            <w:tcW w:w="80" w:type="dxa"/>
            <w:vAlign w:val="bottom"/>
          </w:tcPr>
          <w:p>
            <w:pPr>
              <w:spacing w:after="0"/>
              <w:rPr>
                <w:sz w:val="11"/>
                <w:szCs w:val="11"/>
                <w:color w:val="auto"/>
              </w:rPr>
            </w:pPr>
          </w:p>
        </w:tc>
        <w:tc>
          <w:tcPr>
            <w:tcW w:w="80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3"/>
              </w:rPr>
              <w:t>(13,951)</w:t>
            </w:r>
          </w:p>
        </w:tc>
        <w:tc>
          <w:tcPr>
            <w:tcW w:w="80" w:type="dxa"/>
            <w:vAlign w:val="bottom"/>
          </w:tcPr>
          <w:p>
            <w:pPr>
              <w:spacing w:after="0"/>
              <w:rPr>
                <w:sz w:val="11"/>
                <w:szCs w:val="11"/>
                <w:color w:val="auto"/>
              </w:rPr>
            </w:pPr>
          </w:p>
        </w:tc>
        <w:tc>
          <w:tcPr>
            <w:tcW w:w="800" w:type="dxa"/>
            <w:vAlign w:val="bottom"/>
          </w:tcPr>
          <w:p>
            <w:pPr>
              <w:ind w:left="520"/>
              <w:spacing w:after="0"/>
              <w:rPr>
                <w:sz w:val="20"/>
                <w:szCs w:val="20"/>
                <w:color w:val="auto"/>
              </w:rPr>
            </w:pPr>
            <w:r>
              <w:rPr>
                <w:rFonts w:ascii="Times New Roman" w:cs="Times New Roman" w:eastAsia="Times New Roman" w:hAnsi="Times New Roman"/>
                <w:sz w:val="10"/>
                <w:szCs w:val="10"/>
                <w:color w:val="auto"/>
                <w:w w:val="88"/>
              </w:rPr>
              <w:t>(8,456)</w:t>
            </w:r>
          </w:p>
        </w:tc>
        <w:tc>
          <w:tcPr>
            <w:tcW w:w="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1,084</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(in thousands of $)</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2015</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2016</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2017</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2018</w:t>
            </w:r>
          </w:p>
        </w:tc>
        <w:tc>
          <w:tcPr>
            <w:tcW w:w="80" w:type="dxa"/>
            <w:vAlign w:val="bottom"/>
          </w:tcPr>
          <w:p>
            <w:pPr>
              <w:spacing w:after="0"/>
              <w:rPr>
                <w:sz w:val="11"/>
                <w:szCs w:val="11"/>
                <w:color w:val="auto"/>
              </w:rPr>
            </w:pPr>
          </w:p>
        </w:tc>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2019</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Pr>
          <w:p>
            <w:pPr>
              <w:spacing w:after="0"/>
              <w:rPr>
                <w:sz w:val="11"/>
                <w:szCs w:val="11"/>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1"/>
                <w:szCs w:val="11"/>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640" w:type="dxa"/>
            <w:vAlign w:val="bottom"/>
            <w:gridSpan w:val="2"/>
          </w:tcPr>
          <w:p>
            <w:pPr>
              <w:spacing w:after="0" w:line="109" w:lineRule="exact"/>
              <w:rPr>
                <w:sz w:val="20"/>
                <w:szCs w:val="20"/>
                <w:color w:val="auto"/>
              </w:rPr>
            </w:pPr>
            <w:r>
              <w:rPr>
                <w:rFonts w:ascii="Times New Roman" w:cs="Times New Roman" w:eastAsia="Times New Roman" w:hAnsi="Times New Roman"/>
                <w:sz w:val="10"/>
                <w:szCs w:val="10"/>
                <w:color w:val="auto"/>
              </w:rPr>
              <w:t>Cumulative amount of reserve paid, net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of reinsurance recoverable through</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One year later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8,503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9,900</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15,795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23,075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27,454</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20,137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32,419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35,854</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24,319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29,907</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Two years later</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14,456</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17,187</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26,168</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35,924</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35,142</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30,262</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47,547</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48,199</w:t>
            </w:r>
          </w:p>
        </w:tc>
        <w:tc>
          <w:tcPr>
            <w:tcW w:w="80" w:type="dxa"/>
            <w:vAlign w:val="bottom"/>
          </w:tcPr>
          <w:p>
            <w:pPr>
              <w:spacing w:after="0"/>
              <w:rPr>
                <w:sz w:val="11"/>
                <w:szCs w:val="1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41,831</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Three years later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19,533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23,484</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32,704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40,264</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42,365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40,702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57,171</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62,777</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Four years later</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22,816</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27,203</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35,510</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45,085</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49,581</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47,113</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68,928</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Five years later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25,210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28,833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37,846</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48,650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52,938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52,913</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Six years later</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26,298</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30,141</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39,596</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49,682</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56,933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Seven years later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26,945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30,693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39,570</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50,975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Eight years later</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27,013</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30,243</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40,207</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Nine years later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26,609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30,568</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Ten years later</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26,862</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0"/>
                <w:szCs w:val="10"/>
                <w:color w:val="auto"/>
              </w:rPr>
              <w:t>Net reserve -</w:t>
            </w: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December 31,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23,170</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25,960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32,051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40,526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64,770</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62,647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84,311</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90,680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88,529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93,888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107,306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Reinsurance Recoverable</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16,707</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15,777</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16,749</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15,671</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15,728</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20,154</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10,638</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27,660</w:t>
            </w:r>
          </w:p>
        </w:tc>
        <w:tc>
          <w:tcPr>
            <w:tcW w:w="80" w:type="dxa"/>
            <w:vAlign w:val="bottom"/>
          </w:tcPr>
          <w:p>
            <w:pPr>
              <w:spacing w:after="0"/>
              <w:rPr>
                <w:sz w:val="11"/>
                <w:szCs w:val="1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33,289</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32,323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33,232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Gross reserves -</w:t>
            </w: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64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0"/>
                <w:szCs w:val="10"/>
                <w:color w:val="auto"/>
              </w:rPr>
              <w:t>December 31,</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39,877</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41,737</w:t>
            </w:r>
          </w:p>
        </w:tc>
        <w:tc>
          <w:tcPr>
            <w:tcW w:w="80" w:type="dxa"/>
            <w:vAlign w:val="bottom"/>
          </w:tcPr>
          <w:p>
            <w:pPr>
              <w:spacing w:after="0"/>
              <w:rPr>
                <w:sz w:val="13"/>
                <w:szCs w:val="13"/>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48,800</w:t>
            </w:r>
          </w:p>
        </w:tc>
        <w:tc>
          <w:tcPr>
            <w:tcW w:w="80" w:type="dxa"/>
            <w:vAlign w:val="bottom"/>
          </w:tcPr>
          <w:p>
            <w:pPr>
              <w:spacing w:after="0"/>
              <w:rPr>
                <w:sz w:val="13"/>
                <w:szCs w:val="13"/>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56,197</w:t>
            </w:r>
          </w:p>
        </w:tc>
        <w:tc>
          <w:tcPr>
            <w:tcW w:w="80" w:type="dxa"/>
            <w:vAlign w:val="bottom"/>
          </w:tcPr>
          <w:p>
            <w:pPr>
              <w:spacing w:after="0"/>
              <w:rPr>
                <w:sz w:val="13"/>
                <w:szCs w:val="13"/>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80,499</w:t>
            </w:r>
          </w:p>
        </w:tc>
        <w:tc>
          <w:tcPr>
            <w:tcW w:w="80" w:type="dxa"/>
            <w:vAlign w:val="bottom"/>
          </w:tcPr>
          <w:p>
            <w:pPr>
              <w:spacing w:after="0"/>
              <w:rPr>
                <w:sz w:val="13"/>
                <w:szCs w:val="13"/>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82,801</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94,949</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118,340</w:t>
            </w:r>
          </w:p>
        </w:tc>
        <w:tc>
          <w:tcPr>
            <w:tcW w:w="8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121,818</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126,210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140,539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re-estimated reserve</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28,364</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32,379</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44,149</w:t>
            </w:r>
          </w:p>
        </w:tc>
        <w:tc>
          <w:tcPr>
            <w:tcW w:w="80" w:type="dxa"/>
            <w:vAlign w:val="bottom"/>
          </w:tcPr>
          <w:p>
            <w:pPr>
              <w:spacing w:after="0"/>
              <w:rPr>
                <w:sz w:val="11"/>
                <w:szCs w:val="11"/>
                <w:color w:val="auto"/>
              </w:rPr>
            </w:pPr>
          </w:p>
        </w:tc>
        <w:tc>
          <w:tcPr>
            <w:tcW w:w="80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4"/>
              </w:rPr>
              <w:t>59,167</w:t>
            </w:r>
          </w:p>
        </w:tc>
        <w:tc>
          <w:tcPr>
            <w:tcW w:w="80" w:type="dxa"/>
            <w:vAlign w:val="bottom"/>
          </w:tcPr>
          <w:p>
            <w:pPr>
              <w:spacing w:after="0"/>
              <w:rPr>
                <w:sz w:val="11"/>
                <w:szCs w:val="11"/>
                <w:color w:val="auto"/>
              </w:rPr>
            </w:pPr>
          </w:p>
        </w:tc>
        <w:tc>
          <w:tcPr>
            <w:tcW w:w="800" w:type="dxa"/>
            <w:vAlign w:val="bottom"/>
          </w:tcPr>
          <w:p>
            <w:pPr>
              <w:ind w:left="480"/>
              <w:spacing w:after="0"/>
              <w:rPr>
                <w:sz w:val="20"/>
                <w:szCs w:val="20"/>
                <w:color w:val="auto"/>
              </w:rPr>
            </w:pPr>
            <w:r>
              <w:rPr>
                <w:rFonts w:ascii="Times New Roman" w:cs="Times New Roman" w:eastAsia="Times New Roman" w:hAnsi="Times New Roman"/>
                <w:sz w:val="10"/>
                <w:szCs w:val="10"/>
                <w:color w:val="auto"/>
              </w:rPr>
              <w:t>73,157</w:t>
            </w:r>
          </w:p>
        </w:tc>
        <w:tc>
          <w:tcPr>
            <w:tcW w:w="80" w:type="dxa"/>
            <w:vAlign w:val="bottom"/>
          </w:tcPr>
          <w:p>
            <w:pPr>
              <w:spacing w:after="0"/>
              <w:rPr>
                <w:sz w:val="11"/>
                <w:szCs w:val="11"/>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0"/>
                <w:szCs w:val="10"/>
                <w:color w:val="auto"/>
                <w:w w:val="94"/>
              </w:rPr>
              <w:t>74,430</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98,262</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99,136</w:t>
            </w:r>
          </w:p>
        </w:tc>
        <w:tc>
          <w:tcPr>
            <w:tcW w:w="80" w:type="dxa"/>
            <w:vAlign w:val="bottom"/>
          </w:tcPr>
          <w:p>
            <w:pPr>
              <w:spacing w:after="0"/>
              <w:rPr>
                <w:sz w:val="11"/>
                <w:szCs w:val="1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89,447</w:t>
            </w:r>
          </w:p>
        </w:tc>
        <w:tc>
          <w:tcPr>
            <w:tcW w:w="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92,804</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Re-estimated reinsurance recoverable</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21,104</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20,348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20,813</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0"/>
                <w:szCs w:val="10"/>
                <w:color w:val="auto"/>
                <w:w w:val="94"/>
              </w:rPr>
              <w:t>18,928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15,780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4"/>
              </w:rPr>
              <w:t>21,686</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13,149</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28,760</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29,568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32,762</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640" w:type="dxa"/>
            <w:vAlign w:val="bottom"/>
            <w:tcBorders>
              <w:bottom w:val="single" w:sz="8" w:color="CCEEFF"/>
            </w:tcBorders>
            <w:gridSpan w:val="2"/>
          </w:tcPr>
          <w:p>
            <w:pPr>
              <w:spacing w:after="0" w:line="107" w:lineRule="exact"/>
              <w:rPr>
                <w:sz w:val="20"/>
                <w:szCs w:val="20"/>
                <w:color w:val="auto"/>
              </w:rPr>
            </w:pPr>
            <w:r>
              <w:rPr>
                <w:rFonts w:ascii="Times New Roman" w:cs="Times New Roman" w:eastAsia="Times New Roman" w:hAnsi="Times New Roman"/>
                <w:sz w:val="10"/>
                <w:szCs w:val="10"/>
                <w:color w:val="auto"/>
              </w:rPr>
              <w:t>Gross re-estimated reserve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49,467</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52,728</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0"/>
                <w:szCs w:val="10"/>
                <w:color w:val="auto"/>
                <w:w w:val="94"/>
              </w:rPr>
              <w:t>64,963</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0"/>
                <w:szCs w:val="10"/>
                <w:color w:val="auto"/>
                <w:w w:val="94"/>
              </w:rPr>
              <w:t>78,095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0"/>
                <w:szCs w:val="10"/>
                <w:color w:val="auto"/>
              </w:rPr>
              <w:t>88,936</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0"/>
                <w:szCs w:val="10"/>
                <w:color w:val="auto"/>
                <w:w w:val="94"/>
              </w:rPr>
              <w:t>96,116</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111,410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127,897</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119,015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125,566</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164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Gross cumulative redundancy</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(9,590)</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(10,991)</w:t>
            </w:r>
          </w:p>
        </w:tc>
        <w:tc>
          <w:tcPr>
            <w:tcW w:w="8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center"/>
              <w:ind w:left="372"/>
              <w:spacing w:after="0"/>
              <w:rPr>
                <w:sz w:val="20"/>
                <w:szCs w:val="20"/>
                <w:color w:val="auto"/>
              </w:rPr>
            </w:pPr>
            <w:r>
              <w:rPr>
                <w:rFonts w:ascii="Times New Roman" w:cs="Times New Roman" w:eastAsia="Times New Roman" w:hAnsi="Times New Roman"/>
                <w:sz w:val="10"/>
                <w:szCs w:val="10"/>
                <w:color w:val="auto"/>
                <w:w w:val="93"/>
              </w:rPr>
              <w:t>(16,163)</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center"/>
              <w:ind w:left="392"/>
              <w:spacing w:after="0"/>
              <w:rPr>
                <w:sz w:val="20"/>
                <w:szCs w:val="20"/>
                <w:color w:val="auto"/>
              </w:rPr>
            </w:pPr>
            <w:r>
              <w:rPr>
                <w:rFonts w:ascii="Times New Roman" w:cs="Times New Roman" w:eastAsia="Times New Roman" w:hAnsi="Times New Roman"/>
                <w:sz w:val="10"/>
                <w:szCs w:val="10"/>
                <w:color w:val="auto"/>
                <w:w w:val="93"/>
              </w:rPr>
              <w:t>(21,898)</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w w:val="95"/>
              </w:rPr>
              <w:t>(8,438)</w:t>
            </w:r>
          </w:p>
        </w:tc>
        <w:tc>
          <w:tcPr>
            <w:tcW w:w="8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center"/>
              <w:ind w:left="372"/>
              <w:spacing w:after="0"/>
              <w:rPr>
                <w:sz w:val="20"/>
                <w:szCs w:val="20"/>
                <w:color w:val="auto"/>
              </w:rPr>
            </w:pPr>
            <w:r>
              <w:rPr>
                <w:rFonts w:ascii="Times New Roman" w:cs="Times New Roman" w:eastAsia="Times New Roman" w:hAnsi="Times New Roman"/>
                <w:sz w:val="10"/>
                <w:szCs w:val="10"/>
                <w:color w:val="auto"/>
                <w:w w:val="93"/>
              </w:rPr>
              <w:t>(13,315)</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(16,461)</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(9,557)</w:t>
            </w: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2,803</w:t>
            </w:r>
          </w:p>
        </w:tc>
        <w:tc>
          <w:tcPr>
            <w:tcW w:w="80" w:type="dxa"/>
            <w:vAlign w:val="bottom"/>
            <w:shd w:val="clear" w:color="auto" w:fill="CCEEFF"/>
          </w:tcPr>
          <w:p>
            <w:pPr>
              <w:spacing w:after="0"/>
              <w:rPr>
                <w:sz w:val="7"/>
                <w:szCs w:val="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(deficiency)</w:t>
            </w: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(Components may not sum to totals due to rounding)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Reinsurance</w:t>
      </w:r>
    </w:p>
    <w:p>
      <w:pPr>
        <w:spacing w:after="0" w:line="14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w:t>
      </w:r>
    </w:p>
    <w:p>
      <w:pPr>
        <w:spacing w:after="0" w:line="102"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Reinsurance via quota share allows a carrier to write business without increasing its underwriting leverage above a level determined by management. The business written under a quota share reinsurance structure obligates a reinsurer to assume some portion of the risks involved, and gives the reinsurer the profit (or loss) associated with such in exchange for a ceding commission.</w:t>
      </w:r>
    </w:p>
    <w:p>
      <w:pPr>
        <w:spacing w:after="0" w:line="119"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Effective January 1, 2024, we entered into a new 27% quota share reinsurance treaty for our personal lines business, covering the period from January 1, 2024 through January 1, 2025 (“2024/2025 Treaty”). Upon the expiration of the 2024/2025 Treaty on January 1, 2025, we entered into a new 16% quota share reinsurance treaty for our personal lines business, covering the period from January 1, 2025 through January 1, 2026 (“2025/2026 Treaty”). Upon the expiration of the 2025/2026 Treaty on January 1, 2026, we entered into a new 5% quota share reinsurance treaty for our personal lines business (written in all states except California for which we entered into a new 30% quota share reinsurance treaty), covering the period from January 1, 2026 through January 1, 2027 (“2026/2027 Treaty”).</w:t>
      </w:r>
    </w:p>
    <w:p>
      <w:pPr>
        <w:spacing w:after="0" w:line="120"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2"/>
          <w:szCs w:val="12"/>
          <w:color w:val="auto"/>
        </w:rPr>
        <w:t>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Effective January 1, 2024, we renewed an underlying excess of loss treaty ("Underlying XOL Treaty") covering the period from January 1, 2024 through January 1, 2025. The Underlying XOL Treaty provided 50% reinsurance coverage for losses of $400,000 in excess of $600,000. Losses from named storms were excluded from the Underlying XOL Treaty. Effective January 1, 2025, the Underlying XOL Treaty was renewed covering the period from January 1, 2025 through June 30, 2025. Effective July 1, 2025, the Underlying XOL Treaty was renewed along with our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From January 1, 2024 through January 1, 2025, under the Underlying XOL Treaty, our maximum net retention for any one personal lines occurrence was reduced from the retention of $730,000 under 2024/2025 Treaty to $530,000. From January 1, 2025 through June 30, 2025, our maximum net retention increased to $640,000 under the 2025/2026 Treaty. Effective July 1, 2025 through December 31, 2025, our maximum net retention under the 2025/2026 Treaty increased to $715,000. Effective January 1, 2026 through June 30, 2026, our maximum net retention under the 2026/2027 Treaty will increase to $825,000.</w:t>
      </w:r>
    </w:p>
    <w:p>
      <w:pPr>
        <w:spacing w:after="0" w:line="123"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previously earned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provided minimum and maximum ceding commission rates in relation to specified ultimate loss ratios. Under the 2024/2025 Treaty, KICO received a fixed provisional rate with no adjustment for sliding scale contingent commissions. Under the 2025/2026 Treaty, KICO received a portion of the coverage at a fixed provisional rate with no adjustment and a portion that had a sliding scale contingent commission, For the 2026/2027 Treaty, KICO will receive a fixed provisional rate with no adjustment for sliding scale contingent commissions.</w:t>
      </w:r>
    </w:p>
    <w:p>
      <w:pPr>
        <w:spacing w:after="0" w:line="120" w:lineRule="exact"/>
        <w:rPr>
          <w:sz w:val="20"/>
          <w:szCs w:val="20"/>
          <w:color w:val="auto"/>
        </w:rPr>
      </w:pPr>
    </w:p>
    <w:p>
      <w:pPr>
        <w:jc w:val="both"/>
        <w:ind w:right="20" w:firstLine="405"/>
        <w:spacing w:after="0" w:line="279" w:lineRule="auto"/>
        <w:rPr>
          <w:sz w:val="20"/>
          <w:szCs w:val="20"/>
          <w:color w:val="auto"/>
        </w:rPr>
      </w:pPr>
      <w:r>
        <w:rPr>
          <w:rFonts w:ascii="Times New Roman" w:cs="Times New Roman" w:eastAsia="Times New Roman" w:hAnsi="Times New Roman"/>
          <w:sz w:val="12"/>
          <w:szCs w:val="12"/>
          <w:color w:val="auto"/>
        </w:rPr>
        <w:t>The 2024/2025 Treaty, 2025/2026 Treaty and 2026/2027 Treaty are on a “net” of catastrophe reinsurance basis. Under a “net” arrangement, all catastrophe reinsurance coverage above our catastrophe retention is purchased directly by us.</w:t>
      </w:r>
    </w:p>
    <w:p>
      <w:pPr>
        <w:spacing w:after="0" w:line="102"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In 2025, we purchased catastrophe reinsurance to provide coverage of up to $440,000,000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one-in-100 year storm event. Effective January 1, 2024 through January 1, 2025, losses on personal lines policies were subject to the 2024/2025 Treaty, which covered 5.0% of catastrophe losses and resulted in a net retention by us of $4,750,000 of exposure for the first event of a named storm catastrophe occurrence. Our net retention for a second event of a named storm is $9,500,000. Effective July 1, 2024 and through June 30, 2026, we have reinstatement premium protection for $50,000,000 of catastrophe coverage in excess of $10,000,000. This protects us from having to pay an additional premium to reinstate catastrophe coverage for an event up to this level. Additionally in 2024, we purchased winter storm specific catastrophe reinsurance that provides coverage to the extent of 71% of $4,500,000 of coverage after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first $5,500,000 of gross retention. In 2025, we purchased winter storm specific catastrophe reinsurance that provides coverage to the extent of 90% of $5,000,000 of coverage after the first $5,000,000 of gross retention.</w:t>
      </w:r>
    </w:p>
    <w:p>
      <w:pPr>
        <w:spacing w:after="0" w:line="141"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See “Management’s Discussion and Analysis of Financial Condition and Results of Operations – Principal Revenue and Expense Items” in Item 7 of this Annual Report and Note 2 and Note 11 in the accompanying consolidated financial statements for additional information.</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Ratings</w:t>
      </w:r>
    </w:p>
    <w:p>
      <w:pPr>
        <w:spacing w:after="0" w:line="145"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Many insurance buyers, agents, brokers and secured lenders use the ratings assigned by ratings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Financial strength ratings are intended to provide an independent opinion of an insurer’s ability to meet its obligations to policyholders and are not an evaluation directed at investors. We currently have a Demotech rating of A (Excellent) which qualifies our policies for banks and finance companies. Demotech is the rating agency most commonly used by carriers focused on coastal property risks.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Catastrophe Losses</w:t>
      </w:r>
    </w:p>
    <w:p>
      <w:pPr>
        <w:spacing w:after="0" w:line="145"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In 2025 we had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Our predominant market, downstate New York, was affected by twelve events during 2025, of which none was a named storm, two were winter storms, and the remaining ten events were wind and thunderstorm. None of the catastrophe events in 2025 or 2024 had a material impact on us. The effects of catastrophes increased our net loss ratio by 1.2 percentage points and 1.9 percentage points in 2025 and 2024, respectively.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Holding Company Regulation</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Change of Control</w:t>
      </w:r>
    </w:p>
    <w:p>
      <w:pPr>
        <w:spacing w:after="0" w:line="14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however, the ownership of less than 10% of such voting securities could constitute control under certain circumstances.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State Insurance Regulation</w:t>
      </w:r>
    </w:p>
    <w:p>
      <w:pPr>
        <w:spacing w:after="0" w:line="154" w:lineRule="exact"/>
        <w:rPr>
          <w:sz w:val="20"/>
          <w:szCs w:val="20"/>
          <w:color w:val="auto"/>
        </w:rPr>
      </w:pPr>
    </w:p>
    <w:p>
      <w:pPr>
        <w:jc w:val="both"/>
        <w:ind w:right="20" w:firstLine="405"/>
        <w:spacing w:after="0" w:line="249" w:lineRule="auto"/>
        <w:rPr>
          <w:sz w:val="20"/>
          <w:szCs w:val="20"/>
          <w:color w:val="auto"/>
        </w:rPr>
      </w:pPr>
      <w:r>
        <w:rPr>
          <w:rFonts w:ascii="Times New Roman" w:cs="Times New Roman" w:eastAsia="Times New Roman" w:hAnsi="Times New Roman"/>
          <w:sz w:val="12"/>
          <w:szCs w:val="12"/>
          <w:color w:val="auto"/>
        </w:rPr>
        <w:t>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standards of solvency to be met and maintained, determine the nature of, and limitations on, investments and dividends, approve policy forms and rates, and in some instances to regulate unfair trade and claims practices.</w:t>
      </w:r>
    </w:p>
    <w:p>
      <w:pPr>
        <w:spacing w:after="0" w:line="141"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spacing w:after="0" w:line="102"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reject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liability market in New York State in 2019, the commercial auto market in New York State in 2015 or the personal lines market in New Jersey in 2025.</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Federal and State Legislative and Regulatory Changes</w:t>
      </w:r>
    </w:p>
    <w:p>
      <w:pPr>
        <w:spacing w:after="0" w:line="154" w:lineRule="exact"/>
        <w:rPr>
          <w:sz w:val="20"/>
          <w:szCs w:val="20"/>
          <w:color w:val="auto"/>
        </w:rPr>
      </w:pPr>
    </w:p>
    <w:p>
      <w:pPr>
        <w:jc w:val="both"/>
        <w:ind w:right="20" w:firstLine="405"/>
        <w:spacing w:after="0" w:line="249" w:lineRule="auto"/>
        <w:rPr>
          <w:sz w:val="20"/>
          <w:szCs w:val="20"/>
          <w:color w:val="auto"/>
        </w:rPr>
      </w:pPr>
      <w:r>
        <w:rPr>
          <w:rFonts w:ascii="Times New Roman" w:cs="Times New Roman" w:eastAsia="Times New Roman" w:hAnsi="Times New Roman"/>
          <w:sz w:val="12"/>
          <w:szCs w:val="12"/>
          <w:color w:val="auto"/>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these proposals have been enacted to conform portions of their insurance laws and regulations to various model acts adopted by the National Association of Insurance Commissioners (the “NAIC”).</w:t>
      </w:r>
    </w:p>
    <w:p>
      <w:pPr>
        <w:spacing w:after="0" w:line="120"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2"/>
          <w:szCs w:val="12"/>
          <w:color w:val="auto"/>
        </w:rPr>
        <w:t>On November 1, 2023, the DFS adopted substantive amendments updating the 2017 cybersecurity regulations. The adopted regulations require that a covered entity’s chief information security officer (“CISO”) have sufficient authority to ensure that cybersecurity risks are appropriately managed and require the CISO to report material cybersecurity issues. Covered entities are further required under the amendments to implement asset inventory management, develop and implement a business continuity and disaster recovery plan, and maintain backups protected from unauthorized alterations or destruction. The regulations update certain cybersecurity event reporting requirements, including notice and explanation of extortion payments, and amends the April 15 annual reporting requirement to include a written acknowledgment of any areas of material noncompliance and remediation plans signed by the entity’s highest-ranking executive and the CISO. Finally, the regulations update the factors the Superintendent may consider in assessing violations.</w:t>
      </w:r>
    </w:p>
    <w:p>
      <w:pPr>
        <w:spacing w:after="0" w:line="134" w:lineRule="exact"/>
        <w:rPr>
          <w:sz w:val="20"/>
          <w:szCs w:val="20"/>
          <w:color w:val="auto"/>
        </w:rPr>
      </w:pPr>
    </w:p>
    <w:p>
      <w:pPr>
        <w:jc w:val="both"/>
        <w:ind w:right="20" w:firstLine="432"/>
        <w:spacing w:after="0" w:line="248" w:lineRule="auto"/>
        <w:rPr>
          <w:sz w:val="20"/>
          <w:szCs w:val="20"/>
          <w:color w:val="auto"/>
        </w:rPr>
      </w:pPr>
      <w:r>
        <w:rPr>
          <w:rFonts w:ascii="Times New Roman" w:cs="Times New Roman" w:eastAsia="Times New Roman" w:hAnsi="Times New Roman"/>
          <w:sz w:val="12"/>
          <w:szCs w:val="12"/>
          <w:color w:val="auto"/>
        </w:rPr>
        <w:t>The newly-adopted regulations also apply newly enhanced requirements around periodic system testing, record keeping and maintenance of written incident and recovery plans. They further mandate specific technical approaches such as blocking common passwords and the use of multifactor authentication in certain instances.</w:t>
      </w:r>
    </w:p>
    <w:p>
      <w:pPr>
        <w:spacing w:after="0" w:line="129"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color w:val="auto"/>
        </w:rPr>
        <w:t>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The FIO releases reports summarizing and analyzing its oversight efforts, and general activities.</w:t>
      </w:r>
    </w:p>
    <w:p>
      <w:pPr>
        <w:spacing w:after="0" w:line="133" w:lineRule="exact"/>
        <w:rPr>
          <w:sz w:val="20"/>
          <w:szCs w:val="20"/>
          <w:color w:val="auto"/>
        </w:rPr>
      </w:pPr>
    </w:p>
    <w:p>
      <w:pPr>
        <w:ind w:right="40" w:firstLine="405"/>
        <w:spacing w:after="0" w:line="241" w:lineRule="auto"/>
        <w:rPr>
          <w:sz w:val="20"/>
          <w:szCs w:val="20"/>
          <w:color w:val="auto"/>
        </w:rPr>
      </w:pPr>
      <w:r>
        <w:rPr>
          <w:rFonts w:ascii="Times New Roman" w:cs="Times New Roman" w:eastAsia="Times New Roman" w:hAnsi="Times New Roman"/>
          <w:sz w:val="12"/>
          <w:szCs w:val="12"/>
          <w:color w:val="auto"/>
        </w:rPr>
        <w:t>In September 2025, the FIO report noted that the FIO hosted a roundtable discussion with representatives from the insurance sector, including insurers, reinsurers, brokers, state regulators, resilience and consumer groups, and academics to discuss ways to lower costs and maintain availability of homeowners insurance as part of the Trump Administration’s efforts to address the cost-of-living crisis. Senior Treasury Department officials led discussions on cost and availability issues within the homeowners insurance market as well as current efforts by the insurance sector.</w:t>
      </w:r>
    </w:p>
    <w:p>
      <w:pPr>
        <w:spacing w:after="0" w:line="133" w:lineRule="exact"/>
        <w:rPr>
          <w:sz w:val="20"/>
          <w:szCs w:val="20"/>
          <w:color w:val="auto"/>
        </w:rPr>
      </w:pPr>
    </w:p>
    <w:p>
      <w:pPr>
        <w:ind w:right="360" w:firstLine="405"/>
        <w:spacing w:after="0" w:line="248" w:lineRule="auto"/>
        <w:rPr>
          <w:sz w:val="20"/>
          <w:szCs w:val="20"/>
          <w:color w:val="auto"/>
        </w:rPr>
      </w:pPr>
      <w:r>
        <w:rPr>
          <w:rFonts w:ascii="Times New Roman" w:cs="Times New Roman" w:eastAsia="Times New Roman" w:hAnsi="Times New Roman"/>
          <w:sz w:val="12"/>
          <w:szCs w:val="12"/>
          <w:color w:val="auto"/>
        </w:rPr>
        <w:t>In August 2025, the New York State Senate initiated a data and information request seeking detailed information about the condition of the New York State property insurance market. This data request was followed by a hearing in November 2025 where a variety of stakeholders, including government industry representatives, were questioned about the ratemaking process, and factors driving rate increases.</w:t>
      </w:r>
    </w:p>
    <w:p>
      <w:pPr>
        <w:spacing w:after="0" w:line="120" w:lineRule="exact"/>
        <w:rPr>
          <w:sz w:val="20"/>
          <w:szCs w:val="20"/>
          <w:color w:val="auto"/>
        </w:rPr>
      </w:pPr>
    </w:p>
    <w:p>
      <w:pPr>
        <w:ind w:right="20" w:firstLine="405"/>
        <w:spacing w:after="0" w:line="248" w:lineRule="auto"/>
        <w:rPr>
          <w:sz w:val="20"/>
          <w:szCs w:val="20"/>
          <w:color w:val="auto"/>
        </w:rPr>
      </w:pPr>
      <w:r>
        <w:rPr>
          <w:rFonts w:ascii="Times New Roman" w:cs="Times New Roman" w:eastAsia="Times New Roman" w:hAnsi="Times New Roman"/>
          <w:sz w:val="12"/>
          <w:szCs w:val="12"/>
          <w:color w:val="auto"/>
        </w:rPr>
        <w:t>On December 20, 2020, the Terrorism Risk Insurance Program Reauthorization Act of 2019 was enacted and is now scheduled to expire on December 31, 2027. The Terrorism Risk Insurance Program serves as a federal “backstop” for insurance claims related to acts of terrorism.</w:t>
      </w:r>
    </w:p>
    <w:p>
      <w:pPr>
        <w:spacing w:after="0" w:line="120" w:lineRule="exact"/>
        <w:rPr>
          <w:sz w:val="20"/>
          <w:szCs w:val="20"/>
          <w:color w:val="auto"/>
        </w:rPr>
      </w:pPr>
    </w:p>
    <w:p>
      <w:pPr>
        <w:ind w:firstLine="405"/>
        <w:spacing w:after="0" w:line="264" w:lineRule="auto"/>
        <w:rPr>
          <w:sz w:val="20"/>
          <w:szCs w:val="20"/>
          <w:color w:val="auto"/>
        </w:rPr>
      </w:pPr>
      <w:r>
        <w:rPr>
          <w:rFonts w:ascii="Times New Roman" w:cs="Times New Roman" w:eastAsia="Times New Roman" w:hAnsi="Times New Roman"/>
          <w:sz w:val="12"/>
          <w:szCs w:val="12"/>
          <w:color w:val="auto"/>
        </w:rPr>
        <w:t>On November 15, 2021, the DFS issued its final Guidance for New York Domestic Insurers On Managing the Financial Risks from Climate Change. On June 15, 2022, the DFS released its 2021 annual report. The report references the creation of a standalone Climate Division, which was the source of the aforementioned guidance.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In 2021, the Governor of the State of New York signed into law, effective January 28, 2022 and subsequently clarified by law taking effect March 15, 2023, legislation that seeks to prevent homeowner insurers from discriminating solely on the basis of breed of dog. In 2025, legislation was vetoed that sought to clarify the applicability of this law to applications for renter's insurance. The veto message suggested that “this issue warrants additional consideration of more narrowly tailored approaches, including those which factor in any potential risks associated with certain breeds.” Renter’s insurance is classified as a type of homeowners policy, and the 2021 law appears to still apply to renter's policies, but this veto signals a potential policy shift in the state.</w:t>
      </w:r>
    </w:p>
    <w:p>
      <w:pPr>
        <w:spacing w:after="0" w:line="111"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2"/>
          <w:szCs w:val="12"/>
          <w:color w:val="auto"/>
        </w:rPr>
        <w:t>In 2021, the Comprehensive Insurance Disclosure Act was enacted in New York State. This law, as amended by a subsequent chapter amendment, requires any defendant to provide to the plaintiff, within a limited timeframe, proof of existence and the contents of any insurance agreement under which any person or entity may be liable to satisfy part or all of a judgment and details what the information and documentation includes. The new law applies to actions commenced on or after December 31, 2021.</w:t>
      </w:r>
    </w:p>
    <w:p>
      <w:pPr>
        <w:spacing w:after="0" w:line="115"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2"/>
          <w:szCs w:val="12"/>
          <w:color w:val="auto"/>
        </w:rPr>
        <w:t>In 2022, the New York legislature passed legislation to greatly expand wrongful death actions. This bill sought to expand the categories of claimants and scope of losses for which a wrongful death lawsuit could be brought. The bill was vetoed in January 2023. It was again passed in identical form in 2023 and again vetoed in December 2023. The bill was reintroduced in identical form in February 2024 and following two-house passage, vetoed again in December 2024. This identical legislation was passed and vetoed again in 2025.</w:t>
      </w:r>
    </w:p>
    <w:p>
      <w:pPr>
        <w:spacing w:after="0" w:line="115" w:lineRule="exact"/>
        <w:rPr>
          <w:sz w:val="20"/>
          <w:szCs w:val="20"/>
          <w:color w:val="auto"/>
        </w:rPr>
      </w:pPr>
    </w:p>
    <w:p>
      <w:pPr>
        <w:jc w:val="both"/>
        <w:ind w:firstLine="405"/>
        <w:spacing w:after="0" w:line="229" w:lineRule="auto"/>
        <w:rPr>
          <w:sz w:val="20"/>
          <w:szCs w:val="20"/>
          <w:color w:val="auto"/>
        </w:rPr>
      </w:pPr>
      <w:r>
        <w:rPr>
          <w:rFonts w:ascii="Times New Roman" w:cs="Times New Roman" w:eastAsia="Times New Roman" w:hAnsi="Times New Roman"/>
          <w:sz w:val="12"/>
          <w:szCs w:val="12"/>
          <w:color w:val="auto"/>
        </w:rPr>
        <w:t>In 2023, two related bills were chaptered amending the time periods available to an insurer for the investigation and settlement of claims arising out of states of emergency and disasters. This bill codified elements of existing regulations but shortened certain time periods and added additional reporting requirements. Specifically, the law requires that, within fifteen business days after receiving all the items, statements, and forms that the insurer required from the claimant for a non-commercial claim not suspected to be related to arson, the insurer advise the claimant in writing whether the insurer has accepted or rejected the claim. An insurer would be allowed two extensions of fifteen additional business days to continue its investigation, provided that the insurer notifies the claimant of the reasons additional time is needed for the investigation, with the second extension being available if the property is inaccessible. Commercial claims are granted a one-time thirty-day extension to determine whether the claim should be accepted or rejected, and additional thirty-day extensions are available if certain written notifications are made. If the insurer has accepted the claim, the claimant will have to be notified of the amount the insurer is offering to settle the claim and of all applicable policy provisions regarding the claimant's right to reject and appeal the insurer's offer. If the insurer rejects the claim, the insurer will have to inform the claimant of all applicable policy provisions regarding the claimant's right to appeal the decision including policy information, insurer contact information and DFS complaint filing procedure information. An insurer will be required to pay the claim not later than four business days from the settlement of the claim.</w:t>
      </w:r>
    </w:p>
    <w:p>
      <w:pPr>
        <w:spacing w:after="0" w:line="117" w:lineRule="exact"/>
        <w:rPr>
          <w:sz w:val="20"/>
          <w:szCs w:val="20"/>
          <w:color w:val="auto"/>
        </w:rPr>
      </w:pPr>
    </w:p>
    <w:p>
      <w:pPr>
        <w:jc w:val="both"/>
        <w:ind w:right="20" w:firstLine="405"/>
        <w:spacing w:after="0" w:line="248" w:lineRule="auto"/>
        <w:rPr>
          <w:sz w:val="20"/>
          <w:szCs w:val="20"/>
          <w:color w:val="auto"/>
        </w:rPr>
      </w:pPr>
      <w:r>
        <w:rPr>
          <w:rFonts w:ascii="Times New Roman" w:cs="Times New Roman" w:eastAsia="Times New Roman" w:hAnsi="Times New Roman"/>
          <w:sz w:val="12"/>
          <w:szCs w:val="12"/>
          <w:color w:val="auto"/>
        </w:rPr>
        <w:t>In 2024, legislation was passed, and signed into law which requires the Superintendent of the DFS to issue regulations providing standards for hurricane windstorm deductibles which create, to the greatest extent possible, uniformity in the operation of such deductibles with respect to the triggering event. The regulations implementing such were adopted on August 6, 2025, and took effect on February 2, 2026.</w:t>
      </w:r>
    </w:p>
    <w:p>
      <w:pPr>
        <w:spacing w:after="0" w:line="120" w:lineRule="exact"/>
        <w:rPr>
          <w:sz w:val="20"/>
          <w:szCs w:val="20"/>
          <w:color w:val="auto"/>
        </w:rPr>
      </w:pPr>
    </w:p>
    <w:p>
      <w:pPr>
        <w:jc w:val="both"/>
        <w:ind w:firstLine="405"/>
        <w:spacing w:after="0" w:line="235" w:lineRule="auto"/>
        <w:rPr>
          <w:sz w:val="20"/>
          <w:szCs w:val="20"/>
          <w:color w:val="auto"/>
        </w:rPr>
      </w:pPr>
      <w:r>
        <w:rPr>
          <w:rFonts w:ascii="Times New Roman" w:cs="Times New Roman" w:eastAsia="Times New Roman" w:hAnsi="Times New Roman"/>
          <w:sz w:val="12"/>
          <w:szCs w:val="12"/>
          <w:color w:val="auto"/>
        </w:rPr>
        <w:t>The DFS adopted a circular letter in 2024 regarding the use of external consumer data and information sources (“ECDIS”) and artificial intelligence systems (“AIS”) by insurers. In broad strokes it reiterates the need to make sure that AI processes do not lead to outcomes that run afoul of the extensive body of existing anti-discrimination laws, including use of credit as governed by Insurance Law Article 28 credit usage. While this circular letter does not have the force of law, it articulated the DFS’ expectations about the use of AIS and ECDIS. In the past, the release of a circular letter has preceded the issuance of draft and eventually final regulations in the area addressed.</w:t>
      </w:r>
    </w:p>
    <w:p>
      <w:pPr>
        <w:spacing w:after="0" w:line="117"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2"/>
          <w:szCs w:val="12"/>
          <w:color w:val="auto"/>
        </w:rPr>
        <w:t>In 2025, legislation was passed, subject to subsequent pending chapter amendments, implementing the “AVOID Act.” The law imposes strict limitations on timeframes associated with defendants impleading third parties in litigation. The broad effect of this bill will be to limit defense counsel’s ability to implead third-party defendants, or alternatively increase the amount of motion practice required for defense counsel to preserve their ability to seek recovery from potentially-liable third parties. The bill is predicted to have a negative impact on cases involving, among others, premises liability.</w:t>
      </w:r>
    </w:p>
    <w:p>
      <w:pPr>
        <w:spacing w:after="0" w:line="115"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2"/>
          <w:szCs w:val="12"/>
          <w:color w:val="auto"/>
        </w:rPr>
        <w:t>Legislation imposing a system of regulation for third-party litigation funders was chaptered into law in 2025. This new law requires lenders offering litigation financing to register with and report to the DFS, it further mandates certain disclosures and contractual rights/duties as well as the consumer's obligation to pay, a right of recission, clarifies that a lender may not control the litigation, and limits the maximum recovery of the financing company to 25% of the gross recovery of the claim.</w:t>
      </w:r>
    </w:p>
    <w:p>
      <w:pPr>
        <w:spacing w:after="0" w:line="115" w:lineRule="exact"/>
        <w:rPr>
          <w:sz w:val="20"/>
          <w:szCs w:val="20"/>
          <w:color w:val="auto"/>
        </w:rPr>
      </w:pPr>
    </w:p>
    <w:p>
      <w:pPr>
        <w:jc w:val="both"/>
        <w:ind w:right="20" w:firstLine="405"/>
        <w:spacing w:after="0" w:line="248" w:lineRule="auto"/>
        <w:rPr>
          <w:sz w:val="20"/>
          <w:szCs w:val="20"/>
          <w:color w:val="auto"/>
        </w:rPr>
      </w:pPr>
      <w:r>
        <w:rPr>
          <w:rFonts w:ascii="Times New Roman" w:cs="Times New Roman" w:eastAsia="Times New Roman" w:hAnsi="Times New Roman"/>
          <w:sz w:val="12"/>
          <w:szCs w:val="12"/>
          <w:color w:val="auto"/>
        </w:rPr>
        <w:t>Legislation was chaptered into law in 2025 that removed New York’s “anti-arson application.” This act repealed a law that required insurance applicants to produce additional property ownership and related information upon application, and mandated carriers cancel policies if such information was not received in time.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State Regulatory Examinations</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DFS commenced its examination of KICO in 2023 for the years 2019 through 2022. The examination was completed in 2024.</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Risk-Based Capital Regulations</w:t>
      </w:r>
    </w:p>
    <w:p>
      <w:pPr>
        <w:spacing w:after="0" w:line="154"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21"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The RBC guidelines define specific capital levels based on a company’s ACL that are determined by the ratio of the company’s total adjusted capital (“TAC”) to its ACL. TAC is equal to statutory capital, plus or minus certain other specified adjustments. KICO’s TAC is above its ACL. As of December 31, 2025, the ratio of TAC to ACL was 5.30 and is in compliance with New York’s RBC requirements.</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Dividend Limitations</w:t>
      </w:r>
    </w:p>
    <w:p>
      <w:pPr>
        <w:spacing w:after="0" w:line="145"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color w:val="auto"/>
        </w:rPr>
        <w:t>Our ability to receive dividends from KICO is restricted by the state laws and insurance regulations of New York. These restrictions are related to surplus and net investment income. Dividends may be paid, without the need for DFS approval, from unassigned surplus and are restricted to the lesser of 10% of surplus or 100% of investment income (on a statutory accounting basis) for the trailing 36 months, less dividends by KICO paid during such period. At December 31, 2025, unassigned surplus was $36,152,023. Through September 30, 2025, KICO had an agreement with the DFS that KICO was only permitted to pay dividends to the Holding Company for purposes of paying operating expenses and debt obligations, and that the maximum amount of dividends that could be paid in 12 months was $12,000,000 without prior approval. Effective September 30, 2025, the restrictions on KICO to pay dividends were removed by the DFS. As of December 31, 2025, the maximum dividends that KICO can pay to the Holding Company is restricted to the lesser of 10% of statutory surplus as shown by its last statement on file with the DFS, or 100% of net investment income of the preceding 36 months reduced by dividends paid during such period. As of December 31, 2025, the maximum allowable dividend that KICO may pay to the Holding Company was $1,969,796 without DFS approval. See Item 5 (“Market for Registrant’s Common Equity, Related Stockholder Matters and Issuer Purchases of Equity Securities – Dividends”) of this Annual Report for a further discussion as to KICO’s ability to pay dividends to us.</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Insurance Regulatory Information System Ratios</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 As of December 31, 2025, KICO had three ratios outside the usual range.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Accounting Principles</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Generally accepted accounting principles (“GAAP”) are concerned with a company’s solvency, but are also concerned with other financial measurements, principally results of operations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w:t>
      </w:r>
    </w:p>
    <w:p>
      <w:pPr>
        <w:spacing w:after="0" w:line="115"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Statutory accounting practices established by the NAIC and adopted in part by New York insurance regulators determine, among other things, the amount of statutory surplus and statutory net income of KICO and thus determine, in part, the amount of funds that are available for KICO to pay dividends to the Holding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Structure</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We were incorporated in 1961 and assumed the name DCAP Group, Inc. in 1999. On July 1, 2009, we changed our name to Kingstone Companies,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Employees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As of December 31, 2025, we had 113 employees. None of our employees are covered by a collective bargaining agreement. We believe that our relationship with our employees is good.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Availability of Information</w:t>
      </w:r>
    </w:p>
    <w:p>
      <w:pPr>
        <w:spacing w:after="0" w:line="145"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Our Annual Reports on Form 10-K, Quarterly Reports on Form 10-Q, Current Reports on Form 8-K, and amendments to reports filed pursuant to Sections 13(a) and 15(d) of the Securities Exchange Act of 1934, as amended (the “Exchange Act”), are filed with the U.S. Securities and Exchange Commission (the “SEC”). Such reports and other information filed by us with the SEC are available free of charge at the investor relations section of our website at www.kingstonecompanies.com as soon as reasonably practicable after such reports are electronically filed with, or furnished to, the SEC. Copies are also available, without charge, by writing to Kingstone Companies, Inc., Investor Relations, 120 Wood Road, Kingston, New York 12401. The SEC also maintains a website, www.sec.gov, which contains reports, proxy and information statements, and other information regarding issuers that file electronically with the SEC. The inclusion of our website address in this Annual Report does not include or incorporate by reference the information on our website into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1A</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RISK FACTORS</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Risks Related to Our Business</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As a property and casualty insurer, we may face significant losses from catastrophes and severe weather events.</w:t>
      </w:r>
    </w:p>
    <w:p>
      <w:pPr>
        <w:spacing w:after="0" w:line="154"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2"/>
          <w:szCs w:val="12"/>
          <w:color w:val="auto"/>
        </w:rPr>
        <w:t>Because of the exposure of our property and casualty business to catastrophic events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currently have catastrophe reinsurance coverage with regard to losses of up to $440,000,000 ($435,000,000 in excess of $5,000,000). Effective January 1, 2026, $10,000,000 of losses in a catastrophe are subject to a quota share reinsurance treaty, which covers 5% of catastrophe losses such that we retain $5,500,000 of risk per catastrophe occurrence. With respect to any additional catastrophe losses of up to $440,000,000, we are 100% reinsured under our catastrophe reinsurance program. For the period October 15, 2025 through April 30, 2026, we also purchased catastrophe reinsurance which provides coverage for winter storm losses to the extent of 90% of $5,000,000 in excess of $5,000,000.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2"/>
          <w:szCs w:val="12"/>
          <w:color w:val="auto"/>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Unanticipated increases in the severity or frequency of claims may adversely affect our operating results and financial condition.</w:t>
      </w:r>
    </w:p>
    <w:p>
      <w:pPr>
        <w:spacing w:after="0" w:line="14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 ratings downgrade to our insurance subsidiary may impact our revenues and earnings.</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Financial strength ratings are an important factor influencing the competitive position of insurance companies. The objective of the rating agencies’ rating systems is to provide an opinion as to an insurer’s financial strength and ability to meet ongoing obligations to its policyholders. The ratings of Kingstone Insurance Company (“KICO”), our insurance subsidiary, reflect the rating agencies’ opinion as to its financial strength and are not evaluations directed to investors in our securities, nor are they recommendations to buy, sell or hold our securities.</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KICO has a Demotech financial stability rating of A (Exceptional) which generally makes its policies acceptable to mortgage lenders that require homeowners to purchase insurance from highly-rated carriers.</w:t>
      </w:r>
    </w:p>
    <w:p>
      <w:pPr>
        <w:spacing w:after="0" w:line="1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The impact of pandemics and other public health issues (like COVID-19) and related risks could materially affect our results of operations, financial position and/or liquidity.</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Risks presented by the effects of pandemics include, among others, the following:</w:t>
      </w:r>
    </w:p>
    <w:p>
      <w:pPr>
        <w:spacing w:after="0" w:line="139"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2"/>
          <w:szCs w:val="12"/>
          <w:i w:val="1"/>
          <w:iCs w:val="1"/>
          <w:u w:val="single" w:color="auto"/>
          <w:color w:val="auto"/>
        </w:rPr>
        <w:t>Investments.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corporate fixed income portfolio may be adversely impacted by ratings downgrades, increased bankruptcies and credit spread widening in distressed industries. In addition, in recent years, many state and local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governments have been operating under deficits or projected deficits.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w:t>
      </w:r>
    </w:p>
    <w:p>
      <w:pPr>
        <w:spacing w:after="0" w:line="127"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2"/>
          <w:szCs w:val="12"/>
          <w:i w:val="1"/>
          <w:iCs w:val="1"/>
          <w:u w:val="single" w:color="auto"/>
          <w:color w:val="auto"/>
        </w:rPr>
        <w:t>Adverse Legislative and/or Regulatory Action.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Federal, state and local government actions to address and contain the impact of pandemic and other public health issues (like COVID-19) may adversely affect us. For example,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 may be subject to legislative and/or regulatory action that seeks to retroactively mandate coverage for losses which our insurance policies were not designed or priced to cover. Regulatory restrictions or requirements could also impact pricing, risk selection and our rights and obligations with respect to our policies and insureds, including our ability to cancel or non-renew policies and our right to collect premiums.</w:t>
      </w:r>
    </w:p>
    <w:p>
      <w:pPr>
        <w:spacing w:after="0" w:line="125"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2"/>
          <w:szCs w:val="12"/>
          <w:i w:val="1"/>
          <w:iCs w:val="1"/>
          <w:u w:val="single" w:color="auto"/>
          <w:color w:val="auto"/>
        </w:rPr>
        <w:t>Operational Disruptions and Heightened Cybersecurity Risks.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operations could be disrupted if key members of our senior management or a significant percentage of our workforce or the workforce of our producers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Adverse capital and credit market conditions may significantly affect our ability to meet liquidity needs or our ability to obtain credit on acceptable terms.</w:t>
      </w:r>
    </w:p>
    <w:p>
      <w:pPr>
        <w:spacing w:after="0" w:line="14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The capital and credit markets can experience periods of volatility and disruption. In some cases, markets have exerted downward pressure on the availability of liquidity and credit capacity. In the event that we need access to additional capital to support our operating expenses, make payments on our outstanding and any future indebtedness, pay for capital expenditures, or increase the amount of insurance that we seek to underwrite or to otherwise grow our business, our ability to obtain such capital may be limited and the cost of any such capital may be significant. Our access to additional financing will depend on a variety of factors, such as market conditions, the general availability of credit, the overall availability of credit to our industry, our credit ratings and credit capacity as well as lenders’ perception of our long or short-term financial prospects. Similarly, our access to funds may be impaired if regulatory authorities or rating agencies take negative actions against us. If a combination of these factors occurs, our internal sources of liquidity may prove to be insufficient and, in such case, we may not be able to successfully obtain additional financing on favorable terms.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We are exposed to significant financial and capital markets risk which may adversely affect our results of operations, financial condition and liquidity, and our net investment income can vary from period to period.</w:t>
      </w:r>
    </w:p>
    <w:p>
      <w:pPr>
        <w:spacing w:after="0" w:line="154"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spacing w:after="0" w:line="12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Reinsurance may be unavailable at current levels and prices, which may limit our ability to write new business.</w:t>
      </w:r>
    </w:p>
    <w:p>
      <w:pPr>
        <w:spacing w:after="0" w:line="154"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2"/>
          <w:szCs w:val="12"/>
          <w:color w:val="auto"/>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on terms and rates that are commercially reasonable.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Reinsurance subjects us to the credit risk of our reinsurers, which may have a material adverse effect on our operating results and financial condition.</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Applicable insurance laws regarding the change of control of our company may impede potential acquisitions that our stockholders might consider desirable.</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the Holding Company would require such approval. These laws may discourage potential acquisition proposals and may delay, deter or prevent a change of control of our company, including through transactions, and in particular unsolicited transactions. Some of our stockholders might consider such transactions to be desirable. Similar regulations may apply in other states in which we may operate.</w:t>
      </w:r>
    </w:p>
    <w:p>
      <w:pPr>
        <w:spacing w:after="0" w:line="111"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spacing w:after="0" w:line="98"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spacing w:after="0" w:line="130"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in the absence of any change to a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w:t>
      </w:r>
    </w:p>
    <w:p>
      <w:pPr>
        <w:spacing w:after="0" w:line="12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Because substantially all of our revenue is currently derived from sources located in New York, our business may be adversely affected by conditions in such state.</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Approximately 98% of our revenue during the year ended December 31, 2025 was derived from sources located in the State of New York and, accordingly, is affected by the prevailing regulatory, economic, legislative, demographic, competitive and other conditions in the state. Changes in any of these conditions could make it costlier or difficult for us to conduct our business. Adverse regulatory developments in New York, could include fundamental changes to the design or implementation of the insurance regulatory framework, could have a material adverse effect on our results of operations and financial condition. Adverse legislative developments or changes in laws in the state of New York which impact insurance company profits could also have a material adverse effect on our results of operations and financial condition.</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maintain the requisite amount of risk-based capital, which may adversely affect our profitability and our ability to compete in the property and casualty insurance markets.</w:t>
      </w:r>
    </w:p>
    <w:p>
      <w:pPr>
        <w:spacing w:after="0" w:line="14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capital falls below certain thresholds, we may face restrictions with respect to soliciting new business and/or keeping existing business. Similar regulations apply in other states in which we operate.</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Changing climate conditions may adversely affect our financial condition, profitability or cash flows.</w:t>
      </w:r>
    </w:p>
    <w:p>
      <w:pPr>
        <w:spacing w:after="0" w:line="154"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Our operating results and financial condition may be adversely affected by the cyclical nature of the property and casualty business.</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We are highly dependent on a relatively small number of insurance brokers for a large portion of our revenues.</w:t>
      </w:r>
    </w:p>
    <w:p>
      <w:pPr>
        <w:spacing w:after="0" w:line="145"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market our insurance products primarily through insurance brokers. A large percentage of our gross premiums written are sourced through a limited number of brokers. For the year ended December 31, 2025, our top 25 brokers provided a total of 39% of our total gross premiums written.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Actual claims incurred may exceed current reserves established for claims, which may adversely affect our operating results and financial condition</w:t>
      </w:r>
      <w:r>
        <w:rPr>
          <w:rFonts w:ascii="Times New Roman" w:cs="Times New Roman" w:eastAsia="Times New Roman" w:hAnsi="Times New Roman"/>
          <w:sz w:val="12"/>
          <w:szCs w:val="12"/>
          <w:i w:val="1"/>
          <w:iCs w:val="1"/>
          <w:color w:val="auto"/>
        </w:rPr>
        <w:t>.</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As a holding company, we are dependent on the results of operations of our subsidiary, KICO; there are restrictions on the payment of dividends by KICO.</w:t>
      </w:r>
    </w:p>
    <w:p>
      <w:pPr>
        <w:spacing w:after="0" w:line="14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pay expenses and pay cash dividends to our stockholders.</w:t>
      </w:r>
    </w:p>
    <w:p>
      <w:pPr>
        <w:spacing w:after="0" w:line="102"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2"/>
          <w:szCs w:val="12"/>
          <w:color w:val="auto"/>
        </w:rPr>
        <w:t>State insurance laws limit the ability of KICO to pay dividends from unassigned surplus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At December 31, 2025, unassigned surplus was $36,152,023. Through September 30, 2025, KICO had an agreement with the DFS that KICO was only permitted to pay dividends to the Holding Company for purposes of paying operating expenses and debt obligations, and that the maximum amount of dividends that could be paid in 12 months was $12,000,000 without prior approval. Effective September 30, 2025, the restrictions on KICO to pay dividends were removed by the DFS. As of December 31, 2025, the maximum dividends that KICO can pay to the Holding Company is restricted to the lesser of 10% of statutory surplus as shown by its last statement on file with the DFS, or 100% of net investment income of the preceding 36 months reduced by dividends paid during such period. As of December 31, 2025, the maximum allowable dividend that KICO may pay to KINS was $1,969,796 without DFS approval. See Note 13 - Statutory Financial Information for more information.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Our future results are dependent in part on our ability to successfully operate in an insurance industry that is highly competitive.</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If we lose key personnel or are unable to recruit qualified personnel, our ability to implement our business strategies could be delayed or hindered.</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Our future success will depend, in part, upon the efforts of Meryl Golden, our President and Chief Executive Officer. The loss of Ms. Golden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prevailing in the market for qualified personnel. Ms. Golden and we are parties to an employment agreement which expires on January 10, 2027.</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Difficult conditions in the economy generally could adversely affect our business and operating results.</w:t>
      </w:r>
    </w:p>
    <w:p>
      <w:pPr>
        <w:spacing w:after="0" w:line="14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to purchase lower levels of insurance.</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Changes in accounting standards issued by the Financial Accounting Standards Board or other standard-setting bodies may adversely affect our reported results of operations and financial condition.</w:t>
      </w:r>
    </w:p>
    <w:p>
      <w:pPr>
        <w:spacing w:after="0" w:line="14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We could be adversely affected if our internal controls over financial reporting are not effective.</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Our internal control over financial reporting is designed to provide reasonable assurances regarding the reliability of financial reporting and the preparation of our consolidated financial statements in accordance with U.S. generally accepted accounting principles. Internal controls, no matter how well designed, can provide only reasonable assurance that they are working as designed. If these internal controls are not effective, it could lead to errors in financial reporting.</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Our business could be adversely affected by a security breach or other attack involving our computer systems or those of one or more of our vendors.</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spacing w:after="0" w:line="12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spacing w:after="0" w:line="110" w:lineRule="exact"/>
        <w:rPr>
          <w:sz w:val="20"/>
          <w:szCs w:val="20"/>
          <w:color w:val="auto"/>
        </w:rPr>
      </w:pPr>
    </w:p>
    <w:p>
      <w:pPr>
        <w:ind w:left="480" w:hanging="82"/>
        <w:spacing w:after="0"/>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steal, corrupt, or destroy data, including our intellectual property, financial data or the personal information of our customers or employees</w:t>
      </w:r>
    </w:p>
    <w:p>
      <w:pPr>
        <w:spacing w:after="0" w:line="16" w:lineRule="exact"/>
        <w:rPr>
          <w:rFonts w:ascii="Times New Roman" w:cs="Times New Roman" w:eastAsia="Times New Roman" w:hAnsi="Times New Roman"/>
          <w:sz w:val="12"/>
          <w:szCs w:val="12"/>
          <w:color w:val="auto"/>
        </w:rPr>
      </w:pPr>
    </w:p>
    <w:p>
      <w:pPr>
        <w:ind w:left="480" w:hanging="82"/>
        <w:spacing w:after="0" w:line="236" w:lineRule="auto"/>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misappropriate funds</w:t>
      </w:r>
    </w:p>
    <w:p>
      <w:pPr>
        <w:ind w:left="480" w:hanging="82"/>
        <w:spacing w:after="0"/>
        <w:tabs>
          <w:tab w:leader="none" w:pos="4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 or shut down our systems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left="480" w:hanging="82"/>
        <w:spacing w:after="0"/>
        <w:tabs>
          <w:tab w:leader="none" w:pos="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deny customers, agents, brokers, or others access to our systems, or</w:t>
      </w:r>
    </w:p>
    <w:p>
      <w:pPr>
        <w:spacing w:after="0" w:line="9" w:lineRule="exact"/>
        <w:rPr>
          <w:rFonts w:ascii="Times New Roman" w:cs="Times New Roman" w:eastAsia="Times New Roman" w:hAnsi="Times New Roman"/>
          <w:sz w:val="12"/>
          <w:szCs w:val="12"/>
          <w:color w:val="auto"/>
        </w:rPr>
      </w:pPr>
    </w:p>
    <w:p>
      <w:pPr>
        <w:ind w:left="480" w:hanging="82"/>
        <w:spacing w:after="0"/>
        <w:tabs>
          <w:tab w:leader="none" w:pos="4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infect our systems with viruses or malware.</w:t>
      </w:r>
    </w:p>
    <w:p>
      <w:pPr>
        <w:spacing w:after="0" w:line="138"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 See Item IC ("Cybersecurity") in this Annual Report.</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We rely on our information technology, including artificial intelligence, and telecommunication systems, and the failure of these systems could materially and adversely affect our business.</w:t>
      </w:r>
    </w:p>
    <w:p>
      <w:pPr>
        <w:spacing w:after="0" w:line="145"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Our business is highly dependent upon the successful and uninterrupted functioning of our information technology, including artificial intelligence, and telecommunications systems. We rely on these systems to support our operations. The failure of these systems could interrupt our operations and result in a material adverse effect on our business.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We plan to enter the California market as well as other markets, but there can be no assurance that our diversification and growth strategy will be effective</w:t>
      </w:r>
      <w:r>
        <w:rPr>
          <w:rFonts w:ascii="Times New Roman" w:cs="Times New Roman" w:eastAsia="Times New Roman" w:hAnsi="Times New Roman"/>
          <w:sz w:val="12"/>
          <w:szCs w:val="12"/>
          <w:b w:val="1"/>
          <w:bCs w:val="1"/>
          <w:color w:val="auto"/>
        </w:rPr>
        <w:t>.</w:t>
      </w:r>
    </w:p>
    <w:p>
      <w:pPr>
        <w:spacing w:after="0" w:line="1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We seek to take advantage of prudent opportunities to expand our core business into other states. We have determined to enter the California market in the second quarter of 2026 and other markets in 2026 and 2027. As a result of a number of factors, including the challenges of operating in unfamiliar markets, there can be no assurance that we will be successful in this diversification even after investing significant time and resources to develop and market products and services in additional states. Initial timetables for expansion may not be achieved, and price and profitability targets may not be feasible. Because our business and experience are based substantially on the New York insurance market, we may not understand all of the risks associated with entering into an unfamiliar market. This inexperience in certain new markets could affect our ability to price risks adequately and develop effective underwriting standards. External factors, such as compliance with state regulations, especially when different than the regulations of other states in which we do business, obtaining new licenses, competitive alternatives, processes, and time periods associated with adjusting product forms and rates, and shifting customer preferences, may also affect the successful implementation of our geographic growth strategy. Such external factors and requirements may increase our costs and potentially affect the speed with which we will be able to pursue new market opportunities. There can be no assurance that we will be successful in expanding into any one state or combination of states. Failure to manage these risks successfully could have a material adverse effect on our business, results of operations, and financial condition.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Risks Related to Our Common Stock</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Our stock price may fluctuate significantly and be highly volatile and this may make it difficult for stockholders to resell shares of our common stock at the volume, prices and times they find attractive.</w:t>
      </w:r>
    </w:p>
    <w:p>
      <w:pPr>
        <w:spacing w:after="0" w:line="145"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The market price of our common stock could be subject to significant fluctuations and be highly volatile, which may make it difficult for stockholders to resell shares of our common stock at the volume, prices and times they find attractive. There are many factors that will impact our stock price and trading volume, including, but not limited to, the factors listed above under “Risks Related to Our Business.”</w:t>
      </w:r>
    </w:p>
    <w:p>
      <w:pPr>
        <w:spacing w:after="0" w:line="11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p>
    <w:p>
      <w:pPr>
        <w:spacing w:after="0" w:line="106"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trading volume in our common stock has been limited. As a result, stockholders may not experience liquidity in their investment in our common stock, thereby potentially limiting their ability to resell their shares at the volume, times and prices they find attractive.</w:t>
      </w:r>
    </w:p>
    <w:p>
      <w:pPr>
        <w:spacing w:after="0" w:line="98"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Our common stock is currently traded on The Nasdaq Capital Market (“Nasdaq”). Our common stock has substantially less liquidity than the average trading market for many other publicly traded insurance and other companies. An active trading market for our common stock may not develop or, if developed, may not be sustained. Such stocks can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 more volatile than stocks trading in an active public market. Therefore, stockholders have reduced liquidity and may not be able to sell their shares at the volume, prices and times that they desire.</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There may be future issuances or resales of our common stock which may materially and adversely affect the market price of our common stock.</w:t>
      </w:r>
    </w:p>
    <w:p>
      <w:pPr>
        <w:spacing w:after="0" w:line="154"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stockholders.</w:t>
      </w:r>
    </w:p>
    <w:p>
      <w:pPr>
        <w:spacing w:after="0" w:line="11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We have effective registration statements on Form S-8 under the Securities Act of 1933, as amended (the “Securities Act”), covering an aggregate of 2,900,000 shares of our common stock issuable under our Amended and Restated 2014 Equity Participation Plan (the "2014 Plan") and our 2024 Equity Participation Plan (the “2024 Plan”). Pursuant to our 2024 Plan, stock options and restricted stock awards may be granted to our employees and directors. See Note 12 - Stockholders' Equity for more information.</w:t>
      </w:r>
    </w:p>
    <w:p>
      <w:pPr>
        <w:spacing w:after="0" w:line="115"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The sale of a substantial number of shares of our common stock or securities convertible into, or exchangeable or exercisable for, shares of our common stock, whether directly by us, by selling stockholders in future offerings or by our existing stockholders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spacing w:after="0" w:line="12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In addition, our board of directors is authorized to designate and issue preferred stock without further stockholder approval, and we may issue other equity and equity-related securities that are senior to our common stock in the future for a number of reasons, including, without limitation, to repay our indebtedness, support operations and growth, maintain our capital ratios, and comply with any future changes in regulatory standards.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Anti-takeover provisions and the regulations to which we may be subject may make it more difficult for a third party to acquire control of us, even if the change in control would be beneficial to our stockholders.</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stockholders from receiving a premium for their shares of common stock. Our certificate of incorporation provides that our board of directors may issue up to 2,500,000 shares of preferred stock, in one or more series, without stockholder approval and with such terms, preferences, rights and privileges as the board of directors may deem appropriate. These provisions and other factors may hinder or prevent a change in control, even if the change in control would be beneficial to, or sought by, our stockholders.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1B</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UNRESOLVED STAFF COMMENTS</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1C</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CYBERSECURITY.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Management and Strategy</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We regularly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use various security tools that are designed to help identify, escalate, investigate, resolve, and recover from security incidents in a timely manner.</w:t>
      </w:r>
    </w:p>
    <w:p>
      <w:pPr>
        <w:spacing w:after="0" w:line="11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KICO’s Risk Management Committee, which is comprised of representatives of its technology team, assesses risks based on probability and potential impact on key business systems and processes. Risks that are considered high are incorporated into its overall risk management program. A mitigation plan is developed for each identified high risk, with progress reported to the Risk Management Committee and tracked as part of its overall risk management program overseen by the Risk Management Committee of our Board of Directors.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firstLine="405"/>
        <w:spacing w:after="0" w:line="264" w:lineRule="auto"/>
        <w:rPr>
          <w:sz w:val="20"/>
          <w:szCs w:val="20"/>
          <w:color w:val="auto"/>
        </w:rPr>
      </w:pPr>
      <w:r>
        <w:rPr>
          <w:rFonts w:ascii="Times New Roman" w:cs="Times New Roman" w:eastAsia="Times New Roman" w:hAnsi="Times New Roman"/>
          <w:sz w:val="12"/>
          <w:szCs w:val="12"/>
          <w:color w:val="auto"/>
        </w:rPr>
        <w:t>We collaborate with third parties to assess the effectiveness of our cybersecurity prevention and response systems and processes. These include cybersecurity assessors, consultants, and other external cybersecurity experts to assist in the identification, verification, and validation of cybersecurity risks, as well as to support associated mitigation plans when necessary.</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Additionally, we require security training for all employees on a quarterly basis. The training covers a wide range of topics, including phishing, social engineering and data protection.</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Risk Management</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We assess and identify security risk to the organization by:</w:t>
      </w:r>
    </w:p>
    <w:p>
      <w:pPr>
        <w:spacing w:after="0" w:line="150" w:lineRule="exact"/>
        <w:rPr>
          <w:sz w:val="20"/>
          <w:szCs w:val="20"/>
          <w:color w:val="auto"/>
        </w:rPr>
      </w:pPr>
    </w:p>
    <w:p>
      <w:pPr>
        <w:ind w:left="1340" w:hanging="700"/>
        <w:spacing w:after="0" w:line="245" w:lineRule="auto"/>
        <w:tabs>
          <w:tab w:leader="none" w:pos="133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conducting assessments of risk, including likelihood and magnitude, from unauthorized access, use, disclosure, disruption, modification or destruction of information systems and the related information processes, stored or transmitted;</w:t>
      </w:r>
    </w:p>
    <w:p>
      <w:pPr>
        <w:ind w:left="1340" w:hanging="700"/>
        <w:spacing w:after="0" w:line="242" w:lineRule="auto"/>
        <w:tabs>
          <w:tab w:leader="none" w:pos="1337"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performing risk assessments and producing security assessment reports that document the results of the assessment for use and review by information technology senior leadership, including the Chief Technology Officer;</w:t>
      </w:r>
    </w:p>
    <w:p>
      <w:pPr>
        <w:ind w:left="1340" w:hanging="700"/>
        <w:spacing w:after="0" w:line="234" w:lineRule="auto"/>
        <w:tabs>
          <w:tab w:leader="none" w:pos="1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security controls are assessed for effectiveness, are implemented correctly, operating as intended and producing the desired outcome; and</w:t>
      </w:r>
    </w:p>
    <w:p>
      <w:pPr>
        <w:ind w:left="1340" w:hanging="700"/>
        <w:spacing w:after="0"/>
        <w:tabs>
          <w:tab w:leader="none" w:pos="1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continuously scanning for vulnerabilities and remedying all vulnerabilities in accordance with the associated risk.</w:t>
      </w:r>
    </w:p>
    <w:p>
      <w:pPr>
        <w:spacing w:after="0" w:line="138"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We have not experienced a material cybersecurity breach in the past five years and, as a result, there have been no charges related to a breach in the past five years. In 2025, a third party vendor of KICO was impacted by a cybersecurity event which KICO reported to the DFS. The event did not have a material impact on our business strategy, results of operations, or financial condition. While we have implemented processes and procedures that we believe are tailored to address and mitigate the cybersecurity threats that we face, there can be no assurances that such an incident will not occur despite our efforts, as more fully described in Item 1A (“Risk Factors – Our business could be adversely affected by a security breach or other attack involving our computer systems or those of one or more of our vendors.”) in this Annual Report.</w:t>
      </w:r>
    </w:p>
    <w:p>
      <w:pPr>
        <w:spacing w:after="0" w:line="1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Monitoring</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We have established a continuous monitoring strategy and program, which includes:</w:t>
      </w:r>
    </w:p>
    <w:p>
      <w:pPr>
        <w:spacing w:after="0" w:line="150" w:lineRule="exact"/>
        <w:rPr>
          <w:sz w:val="20"/>
          <w:szCs w:val="20"/>
          <w:color w:val="auto"/>
        </w:rPr>
      </w:pPr>
    </w:p>
    <w:p>
      <w:pPr>
        <w:ind w:left="1340" w:hanging="700"/>
        <w:spacing w:after="0"/>
        <w:tabs>
          <w:tab w:leader="none" w:pos="1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set of defined security metrics to be monitored;</w:t>
      </w:r>
    </w:p>
    <w:p>
      <w:pPr>
        <w:spacing w:after="0" w:line="9" w:lineRule="exact"/>
        <w:rPr>
          <w:rFonts w:ascii="Times New Roman" w:cs="Times New Roman" w:eastAsia="Times New Roman" w:hAnsi="Times New Roman"/>
          <w:sz w:val="12"/>
          <w:szCs w:val="12"/>
          <w:color w:val="auto"/>
        </w:rPr>
      </w:pPr>
    </w:p>
    <w:p>
      <w:pPr>
        <w:ind w:left="1340" w:hanging="700"/>
        <w:spacing w:after="0" w:line="234" w:lineRule="auto"/>
        <w:tabs>
          <w:tab w:leader="none" w:pos="1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of security control assessments on an ongoing basis;</w:t>
      </w:r>
    </w:p>
    <w:p>
      <w:pPr>
        <w:ind w:left="1340" w:hanging="700"/>
        <w:spacing w:after="0"/>
        <w:tabs>
          <w:tab w:leader="none" w:pos="1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addressing results of analysis and reporting security status to the executive team;</w:t>
      </w:r>
    </w:p>
    <w:p>
      <w:pPr>
        <w:spacing w:after="0" w:line="4" w:lineRule="exact"/>
        <w:rPr>
          <w:rFonts w:ascii="Times New Roman" w:cs="Times New Roman" w:eastAsia="Times New Roman" w:hAnsi="Times New Roman"/>
          <w:sz w:val="12"/>
          <w:szCs w:val="12"/>
          <w:color w:val="auto"/>
        </w:rPr>
      </w:pPr>
    </w:p>
    <w:p>
      <w:pPr>
        <w:ind w:left="1340" w:hanging="700"/>
        <w:spacing w:after="0" w:line="236" w:lineRule="auto"/>
        <w:tabs>
          <w:tab w:leader="none" w:pos="1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monitoring information systems to detect attacks and indicators of potential attacks;</w:t>
      </w:r>
    </w:p>
    <w:p>
      <w:pPr>
        <w:ind w:left="1340" w:hanging="700"/>
        <w:spacing w:after="0" w:line="234" w:lineRule="auto"/>
        <w:tabs>
          <w:tab w:leader="none" w:pos="1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of unauthorized use of the information system resources; and</w:t>
      </w:r>
    </w:p>
    <w:p>
      <w:pPr>
        <w:ind w:left="1340" w:hanging="700"/>
        <w:spacing w:after="0"/>
        <w:tabs>
          <w:tab w:leader="none" w:pos="1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deployment of monitoring devices strategically within the information system environment.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Governance</w:t>
      </w:r>
    </w:p>
    <w:p>
      <w:pPr>
        <w:spacing w:after="0" w:line="145"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The Risk Management Committee of our Board of Directors has been delegated the power and authority to oversee and make recommendations to the Board with regard to our overall approach to risks relating to business operations, including with regard to information technology and cybersecurity. In a presentation from our Chief Technology Officer, the committee received information regarding our approach to cybersecurity, which included the following topics: the confidentiality of nonpublic information and the integrity and security of our information system, the cybersecurity policies and procedures, material cybersecurity risks to us, and the overall effectiveness of our cybersecurity program.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PROPERTIES</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jc w:val="both"/>
        <w:ind w:firstLine="405"/>
        <w:spacing w:after="0" w:line="248" w:lineRule="auto"/>
        <w:rPr>
          <w:sz w:val="20"/>
          <w:szCs w:val="20"/>
          <w:color w:val="auto"/>
        </w:rPr>
      </w:pPr>
      <w:r>
        <w:rPr>
          <w:rFonts w:ascii="Times New Roman" w:cs="Times New Roman" w:eastAsia="Times New Roman" w:hAnsi="Times New Roman"/>
          <w:sz w:val="12"/>
          <w:szCs w:val="12"/>
          <w:color w:val="auto"/>
        </w:rPr>
        <w:t>Effective March 1, 2025, we leased new principal executive office space at 120 Wood Road, Kingston, New York 12401. The new offices are held pursuant to a lease which expires on March 31, 2030 with a five year renewal option. Our insurance underwriting business is principally located at this office.</w:t>
      </w:r>
    </w:p>
    <w:p>
      <w:pPr>
        <w:spacing w:after="0" w:line="120"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Prior to March 1, 2025, our principal executive offices were located at 15 Joys Lane, Kingston, New York 12401. In February 2025, 15 Joys Lane LLC, our subsidiary, entered into a contract of sale with Ulster County, New York (the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“County”) for the sale to the County of such headquarters, along with an adjacent mixed-use property (collectively, the “Property”). The purchase price for the Property was $3,600,000. The sale closed in March 2025. The Company continues to own a vacant lot at 27 Joys Lane, Kingston, New York.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3. LEGAL PROCEEDINGS</w:t>
      </w:r>
      <w:r>
        <w:rPr>
          <w:rFonts w:ascii="Times New Roman" w:cs="Times New Roman" w:eastAsia="Times New Roman" w:hAnsi="Times New Roman"/>
          <w:sz w:val="12"/>
          <w:szCs w:val="12"/>
          <w:b w:val="1"/>
          <w:bCs w:val="1"/>
          <w:color w:val="auto"/>
        </w:rPr>
        <w: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4. MINE SAFETY DISCLOSURES</w:t>
      </w:r>
      <w:r>
        <w:rPr>
          <w:rFonts w:ascii="Times New Roman" w:cs="Times New Roman" w:eastAsia="Times New Roman" w:hAnsi="Times New Roman"/>
          <w:sz w:val="12"/>
          <w:szCs w:val="12"/>
          <w:b w:val="1"/>
          <w:bCs w:val="1"/>
          <w:color w:val="auto"/>
        </w:rPr>
        <w: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PART II</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5.MARKET FOR REGISTRANT’S COMMON EQUITY, RELATED STOCKHOLDER MATTERS AND ISSUER PURCHASES OF EQUITY SECURITIES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Information</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Our common stock is quoted on The Nasdaq Capital Market under the symbol “KINS.”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Holders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As of March 10, 2026, there were 181 record holders of our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Holders of our common stock are entitled to dividends when, as and if declared by our Board of Directors out of funds legally available. In each of July and October 2025, our Board of Directors approved a quarterly cash dividend of $0.05 per share. 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be paid to holders of our common stock.</w:t>
      </w:r>
    </w:p>
    <w:p>
      <w:pPr>
        <w:spacing w:after="0" w:line="11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Our ability to pay dividends depends, in part, on the ability of KICO to pay dividends to us. KICO, as an insurance subsidiary, is subject to significant regulatory restrictions limiting its ability to declare and pay dividends. In addition, there are restrictions related to surplus and net investment income. Without the prior approval of the DFS, dividends may be paid by insurance carriers from unassigned surplus and are restricted to the lesser of 10% of surplus or 100% of investment income (on a statutory accounting basis) for the trailing 36 months, less dividends paid by KICO during such period. As of December 31, 2025, KICO had unassigned surplus of approximately $36,152,000. Prior to September 30, 2025, KICO had an agreement with the DFS that KICO may only pay dividends up to $12,000,000 to the Holding Company for purposes of paying operating expenses and debt obligations. See “Business – Government Regulation”, “Risk Factors – As a holding company, we are dependent on the results of operations of our subsidiary, KICO; there are restrictions on the payment of dividends by KICO” and “Management’s Discussion and Analysis of Financial Condition and Results of Operation – Liquidity” in Items 1, 1A and 7, respectively, of this Annual Report.</w:t>
      </w:r>
    </w:p>
    <w:p>
      <w:pPr>
        <w:spacing w:after="0" w:line="123"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In addition, pursuant to a certain debt exchange agreement (the "2024 Exchange Agreement"), we were not permitted to pay any cash dividends without the approval of the holders of a majority of the outstanding principal amount of the debt. The debt was repaid in full on February 25, 2025.</w:t>
      </w:r>
    </w:p>
    <w:p>
      <w:pPr>
        <w:spacing w:after="0" w:line="10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Subsequent to such debt repayment, effective September 30, 2025, the restrictions on KICO to pay dividends were removed by the DFS. As of December 31, 2025, the maximum dividends that KICO can pay to the Holding Company is restricted to the lesser of 10% of statutory surplus as shown by its last statement on file with the DFS, or 100% of net investment income of the preceding 36 months reduced by dividends paid during such period. As of December 31, 2025, the maximum allowable dividend that KICO may pay to the Holding Company was $1,969,796 without DFS approval. See Note 13 - Statutory Financial Information for more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Sales of Unregistered Securities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6</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RESERVED</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7</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MANAGEMENT’S DISCUSSION AND ANALYSIS OF FINANCIAL CONDITION AND RESULTS OF OPERATIONS</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jc w:val="both"/>
        <w:ind w:firstLine="432"/>
        <w:spacing w:after="0" w:line="300" w:lineRule="auto"/>
        <w:rPr>
          <w:sz w:val="20"/>
          <w:szCs w:val="20"/>
          <w:color w:val="auto"/>
        </w:rPr>
      </w:pPr>
      <w:r>
        <w:rPr>
          <w:rFonts w:ascii="Times New Roman" w:cs="Times New Roman" w:eastAsia="Times New Roman" w:hAnsi="Times New Roman"/>
          <w:sz w:val="11"/>
          <w:szCs w:val="11"/>
          <w:color w:val="auto"/>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years ended December 31, 2025 and 2024, respectively, 98.0% and 96.0% of KICO’s direct written premiums came from the New York policies.</w:t>
      </w:r>
    </w:p>
    <w:p>
      <w:pPr>
        <w:spacing w:after="0" w:line="102"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2"/>
          <w:szCs w:val="12"/>
          <w:color w:val="auto"/>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Cosi-related operating expenses are minimal and are included in other operating expenses.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The Holding Company earns investment income from its cash holdings.</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11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Other operating expenses include our corporate expenses as a holding company. These corporate expenses include legal and auditing fees, executive employment costs and equity compensation, directors' fees, and other costs directly associated with being a public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Revenue and Expense Items</w:t>
      </w:r>
    </w:p>
    <w:p>
      <w:pPr>
        <w:spacing w:after="0" w:line="15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premiums earned: </w:t>
      </w:r>
      <w:r>
        <w:rPr>
          <w:rFonts w:ascii="Times New Roman" w:cs="Times New Roman" w:eastAsia="Times New Roman" w:hAnsi="Times New Roman"/>
          <w:sz w:val="12"/>
          <w:szCs w:val="12"/>
          <w:color w:val="auto"/>
        </w:rPr>
        <w:t>Net premiums earned is the earned portion of our written premiums, less that portion of premium that is ceded to third party reinsurers under reinsurance agreements. The amount ceded under these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2025, we would earn half of the premiums in 2025 and the other half in 2026.</w:t>
      </w:r>
    </w:p>
    <w:p>
      <w:pPr>
        <w:spacing w:after="0" w:line="113" w:lineRule="exact"/>
        <w:rPr>
          <w:sz w:val="20"/>
          <w:szCs w:val="20"/>
          <w:color w:val="auto"/>
        </w:rPr>
      </w:pPr>
    </w:p>
    <w:p>
      <w:pPr>
        <w:jc w:val="both"/>
        <w:ind w:firstLine="405"/>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Ceding commission revenue: </w:t>
      </w:r>
      <w:r>
        <w:rPr>
          <w:rFonts w:ascii="Times New Roman" w:cs="Times New Roman" w:eastAsia="Times New Roman" w:hAnsi="Times New Roman"/>
          <w:sz w:val="12"/>
          <w:szCs w:val="12"/>
          <w:color w:val="auto"/>
        </w:rPr>
        <w:t>Commissions on reinsurance premiums ceded to quota share treaties are earned in a manner consistent with the recognition of the direct acquisition costs of the underlying insurance policies,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generally on a pro-rata basis over the terms of the policies reinsured.</w:t>
      </w:r>
    </w:p>
    <w:p>
      <w:pPr>
        <w:spacing w:after="0" w:line="11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investment income and net gains (losses) on investments: </w:t>
      </w:r>
      <w:r>
        <w:rPr>
          <w:rFonts w:ascii="Times New Roman" w:cs="Times New Roman" w:eastAsia="Times New Roman" w:hAnsi="Times New Roman"/>
          <w:sz w:val="12"/>
          <w:szCs w:val="12"/>
          <w:color w:val="auto"/>
        </w:rPr>
        <w:t>We invest in cash and cash equivalents, short-term investments, fixed-maturity and equity securities, and other investments. Our net investment income includes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our fixed-maturity securities as either available-for-sale or held-to-maturity. Net unrealized gains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(losses) on those securities classified as available-for-sale are reported separately within accumulated other comprehensive (loss) income on our balance sheet while our equity securities and other investments report changes in fair value through earnings. See Note 2 in the accompanying consolidated financial statements for a further discussion of our accounting policies following Item 16 of this Annual Report.</w:t>
      </w:r>
    </w:p>
    <w:p>
      <w:pPr>
        <w:spacing w:after="0" w:line="1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Other income: </w:t>
      </w:r>
      <w:r>
        <w:rPr>
          <w:rFonts w:ascii="Times New Roman" w:cs="Times New Roman" w:eastAsia="Times New Roman" w:hAnsi="Times New Roman"/>
          <w:sz w:val="12"/>
          <w:szCs w:val="12"/>
          <w:color w:val="auto"/>
        </w:rPr>
        <w:t>We recognize installment fee income and fees charged to reinstate a policy after it has been cancelled for non-payment.</w:t>
      </w:r>
    </w:p>
    <w:p>
      <w:pPr>
        <w:spacing w:after="0" w:line="141"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2"/>
          <w:szCs w:val="12"/>
          <w:b w:val="1"/>
          <w:bCs w:val="1"/>
          <w:i w:val="1"/>
          <w:iCs w:val="1"/>
          <w:color w:val="auto"/>
        </w:rPr>
        <w:t xml:space="preserve">Loss and loss adjustment expenses incurred: </w:t>
      </w:r>
      <w:r>
        <w:rPr>
          <w:rFonts w:ascii="Times New Roman" w:cs="Times New Roman" w:eastAsia="Times New Roman" w:hAnsi="Times New Roman"/>
          <w:sz w:val="12"/>
          <w:szCs w:val="12"/>
          <w:color w:val="auto"/>
        </w:rPr>
        <w:t>Loss and LAE incurred represent our largest expense item, and for any given reporting period include estimates of future claim payments, changes in those estimates from prior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w:t>
      </w:r>
    </w:p>
    <w:p>
      <w:pPr>
        <w:spacing w:after="0" w:line="127"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Commission expenses and other underwriting expenses: </w:t>
      </w:r>
      <w:r>
        <w:rPr>
          <w:rFonts w:ascii="Times New Roman" w:cs="Times New Roman" w:eastAsia="Times New Roman" w:hAnsi="Times New Roman"/>
          <w:sz w:val="12"/>
          <w:szCs w:val="12"/>
          <w:color w:val="auto"/>
        </w:rPr>
        <w:t>Other underwriting expenses include policy acquisition costs and other expenses related to the underwriting of policies. Policy acquisition costs represent the costs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w:t>
      </w:r>
    </w:p>
    <w:p>
      <w:pPr>
        <w:spacing w:after="0" w:line="113" w:lineRule="exact"/>
        <w:rPr>
          <w:sz w:val="20"/>
          <w:szCs w:val="20"/>
          <w:color w:val="auto"/>
        </w:rPr>
      </w:pPr>
    </w:p>
    <w:p>
      <w:pPr>
        <w:jc w:val="both"/>
        <w:ind w:right="20" w:firstLine="405"/>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Other operating expenses: </w:t>
      </w:r>
      <w:r>
        <w:rPr>
          <w:rFonts w:ascii="Times New Roman" w:cs="Times New Roman" w:eastAsia="Times New Roman" w:hAnsi="Times New Roman"/>
          <w:sz w:val="12"/>
          <w:szCs w:val="12"/>
          <w:color w:val="auto"/>
        </w:rPr>
        <w:t>Other operating expenses include the corporate expenses of our holding company, Kingstone Companies, Inc. These expenses include executive employment costs, legal and auditing fees, and other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costs directly associated with being a public company.</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Stock-based compensation: </w:t>
      </w:r>
      <w:r>
        <w:rPr>
          <w:rFonts w:ascii="Times New Roman" w:cs="Times New Roman" w:eastAsia="Times New Roman" w:hAnsi="Times New Roman"/>
          <w:sz w:val="12"/>
          <w:szCs w:val="12"/>
          <w:color w:val="auto"/>
        </w:rPr>
        <w:t>Non-cash equity compensation includes the fair value of stock grants issued to our directors, officers and employees, and amortization of stock options issued to the same.</w:t>
      </w:r>
    </w:p>
    <w:p>
      <w:pPr>
        <w:spacing w:after="0" w:line="141" w:lineRule="exact"/>
        <w:rPr>
          <w:sz w:val="20"/>
          <w:szCs w:val="20"/>
          <w:color w:val="auto"/>
        </w:rPr>
      </w:pPr>
    </w:p>
    <w:p>
      <w:pPr>
        <w:jc w:val="both"/>
        <w:ind w:right="20" w:firstLine="405"/>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Depreciation and amortization: </w:t>
      </w:r>
      <w:r>
        <w:rPr>
          <w:rFonts w:ascii="Times New Roman" w:cs="Times New Roman" w:eastAsia="Times New Roman" w:hAnsi="Times New Roman"/>
          <w:sz w:val="12"/>
          <w:szCs w:val="12"/>
          <w:color w:val="auto"/>
        </w:rPr>
        <w:t>Depreciation and amortization includes the amortization of intangibles related to the acquisition of KICO, depreciation of the real estate used in KICO’s operations, as well as depreciation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capital expenditures for information technology projects, office equipment and furniture.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Interest expense: </w:t>
      </w:r>
      <w:r>
        <w:rPr>
          <w:rFonts w:ascii="Times New Roman" w:cs="Times New Roman" w:eastAsia="Times New Roman" w:hAnsi="Times New Roman"/>
          <w:sz w:val="12"/>
          <w:szCs w:val="12"/>
          <w:color w:val="auto"/>
        </w:rPr>
        <w:t>Interest expense represents amounts we incur on our outstanding indebtedness at the applicable interest rates. Interest expense also includes amortization of debt discount and issuance costs.</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Income tax expense: </w:t>
      </w:r>
      <w:r>
        <w:rPr>
          <w:rFonts w:ascii="Times New Roman" w:cs="Times New Roman" w:eastAsia="Times New Roman" w:hAnsi="Times New Roman"/>
          <w:sz w:val="12"/>
          <w:szCs w:val="12"/>
          <w:color w:val="auto"/>
        </w:rPr>
        <w:t>We incur federal income tax expense on our consolidated statement of operations as well as state income tax expense for our non-insurance underwriting subsidiaries.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Product Lines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Our product lines include the following:</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Personal lines: </w:t>
      </w:r>
      <w:r>
        <w:rPr>
          <w:rFonts w:ascii="Times New Roman" w:cs="Times New Roman" w:eastAsia="Times New Roman" w:hAnsi="Times New Roman"/>
          <w:sz w:val="12"/>
          <w:szCs w:val="12"/>
          <w:color w:val="auto"/>
        </w:rPr>
        <w:t>Our largest line of business is personal lines, consisting of homeowners, dwelling fire, cooperative/condominium, renters, and personal umbrella policies.</w:t>
      </w:r>
    </w:p>
    <w:p>
      <w:pPr>
        <w:spacing w:after="0" w:line="141"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Commercial liability: </w:t>
      </w:r>
      <w:r>
        <w:rPr>
          <w:rFonts w:ascii="Times New Roman" w:cs="Times New Roman" w:eastAsia="Times New Roman" w:hAnsi="Times New Roman"/>
          <w:sz w:val="12"/>
          <w:szCs w:val="12"/>
          <w:color w:val="auto"/>
        </w:rPr>
        <w:t>Through July 2019, we offered businessowners policies, which consist primarily of small business retail, service, and office risks, with limited property exposures. We also wrote artisan’s liability policies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1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December 31, 2025 and 2024, there were no commercial liability policies in-force. As of December 31, 2025, these expired policies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 approximately 12.5% of loss and LAE reserves net of reinsurance recoverables. See discussion below under “Additional Financial Information”.</w:t>
      </w:r>
    </w:p>
    <w:p>
      <w:pPr>
        <w:spacing w:after="0" w:line="137"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Livery physical damage: </w:t>
      </w:r>
      <w:r>
        <w:rPr>
          <w:rFonts w:ascii="Times New Roman" w:cs="Times New Roman" w:eastAsia="Times New Roman" w:hAnsi="Times New Roman"/>
          <w:sz w:val="12"/>
          <w:szCs w:val="12"/>
          <w:color w:val="auto"/>
        </w:rPr>
        <w:t>We write for-hire vehicle physical damage only policies for livery and car service vehicles and taxicabs. These policies insure only the physical damage portion of insurance for such vehicles, with no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liability coverage included.</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Other: </w:t>
      </w:r>
      <w:r>
        <w:rPr>
          <w:rFonts w:ascii="Times New Roman" w:cs="Times New Roman" w:eastAsia="Times New Roman" w:hAnsi="Times New Roman"/>
          <w:sz w:val="12"/>
          <w:szCs w:val="12"/>
          <w:color w:val="auto"/>
        </w:rPr>
        <w:t>We write canine legal liability policies and have a small participation in mandatory state joint underwriting associations.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GAAP and Non-GAAP Measures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utilize the following key GAAP and non-GAAP measures in analyzing the results of our insurance underwriting business. See "Non-GAAP Financial Measures" for a reconciliation of the below non-GAAP measures to the most directly comparable GAAP measure:</w:t>
      </w:r>
    </w:p>
    <w:p>
      <w:pPr>
        <w:spacing w:after="0" w:line="107"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2"/>
          <w:szCs w:val="12"/>
          <w:b w:val="1"/>
          <w:bCs w:val="1"/>
          <w:i w:val="1"/>
          <w:iCs w:val="1"/>
          <w:color w:val="auto"/>
        </w:rPr>
        <w:t xml:space="preserve">Direct written premiums; net written premiums: </w:t>
      </w:r>
      <w:r>
        <w:rPr>
          <w:rFonts w:ascii="Times New Roman" w:cs="Times New Roman" w:eastAsia="Times New Roman" w:hAnsi="Times New Roman"/>
          <w:sz w:val="12"/>
          <w:szCs w:val="12"/>
          <w:color w:val="auto"/>
        </w:rPr>
        <w:t>Direct written premiums is a non-GAAP measure, which represent the total premiums charged on policies issued by an insurance company during the respective fiscal period.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Net written premiums is a non-GAAP measure, which are direct written premiums less premiums ceded to reinsurers. Net premiums earned, the GAAP measure most comparable to direct written premiums and net written premiums, are net written premiums that are pro-rata earned during the fiscal period presented. All of our policies are written for a twelve-month period. Management uses direct written premiums and net written premiums, along with other measures, to gauge our performance and evaluate results. Direct written premiums and net written premiums are provided as supplemental information, not as a substitute for net premiums earned, and do not reflect the Company’s net premiums earned.</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Net loss ratio: </w:t>
      </w:r>
      <w:r>
        <w:rPr>
          <w:rFonts w:ascii="Times New Roman" w:cs="Times New Roman" w:eastAsia="Times New Roman" w:hAnsi="Times New Roman"/>
          <w:sz w:val="12"/>
          <w:szCs w:val="12"/>
          <w:color w:val="auto"/>
        </w:rPr>
        <w:t>The net loss ratio is a measure of the underwriting profitability of an insurance company’s business. Expressed as a percentage, this is the ratio of net losses and LAE incurred to net premiums earned.</w:t>
      </w:r>
    </w:p>
    <w:p>
      <w:pPr>
        <w:spacing w:after="0" w:line="141"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b w:val="1"/>
          <w:bCs w:val="1"/>
          <w:i w:val="1"/>
          <w:iCs w:val="1"/>
          <w:color w:val="auto"/>
        </w:rPr>
        <w:t xml:space="preserve">Underlying loss ratio: </w:t>
      </w:r>
      <w:r>
        <w:rPr>
          <w:rFonts w:ascii="Times New Roman" w:cs="Times New Roman" w:eastAsia="Times New Roman" w:hAnsi="Times New Roman"/>
          <w:sz w:val="12"/>
          <w:szCs w:val="12"/>
          <w:color w:val="auto"/>
        </w:rPr>
        <w:t>The underlying loss ratio is a non-GAAP ratio, which is computed as the GAAP net loss ratio excluding the effect of prior year loss reserve development and catastrophes losses. Management believes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that this ratio is useful to investors, and it is used by management to reveal the trends in our business that may be obscured by prior year loss reserve development and catastrophe losses. Catastrophe losses cause our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underlying loss ratio should not be considered a substitute for the net loss ratio and does not reflect our net loss ratio.</w:t>
      </w:r>
    </w:p>
    <w:p>
      <w:pPr>
        <w:spacing w:after="0" w:line="141"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loss ratio excluding the effect of catastrophes: </w:t>
      </w:r>
      <w:r>
        <w:rPr>
          <w:rFonts w:ascii="Times New Roman" w:cs="Times New Roman" w:eastAsia="Times New Roman" w:hAnsi="Times New Roman"/>
          <w:sz w:val="10"/>
          <w:szCs w:val="10"/>
          <w:color w:val="auto"/>
        </w:rPr>
        <w:t>The n</w:t>
      </w:r>
      <w:r>
        <w:rPr>
          <w:rFonts w:ascii="Times New Roman" w:cs="Times New Roman" w:eastAsia="Times New Roman" w:hAnsi="Times New Roman"/>
          <w:sz w:val="12"/>
          <w:szCs w:val="12"/>
          <w:color w:val="auto"/>
        </w:rPr>
        <w:t>et loss ratio excluding the effect of catastrophes is a non-GAAP ratio, which is computed as the difference between the GAAP net loss ratio and the effect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catastrophes on the net loss ratio. Management believes that this ratio is useful to investors, and it is used by management to reveal the trends in our business that may be obscured by catastrophe losses. Catastrophe losses cause our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net loss ratio excluding the effect of catastrophes should not be considered a substitute for the net loss ratio and does not reflect our net loss ratio.</w:t>
      </w:r>
    </w:p>
    <w:p>
      <w:pPr>
        <w:spacing w:after="0" w:line="138"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loss ratio excluding commercial lines business: </w:t>
      </w:r>
      <w:r>
        <w:rPr>
          <w:rFonts w:ascii="Times New Roman" w:cs="Times New Roman" w:eastAsia="Times New Roman" w:hAnsi="Times New Roman"/>
          <w:sz w:val="10"/>
          <w:szCs w:val="10"/>
          <w:color w:val="auto"/>
        </w:rPr>
        <w:t>The n</w:t>
      </w:r>
      <w:r>
        <w:rPr>
          <w:rFonts w:ascii="Times New Roman" w:cs="Times New Roman" w:eastAsia="Times New Roman" w:hAnsi="Times New Roman"/>
          <w:sz w:val="12"/>
          <w:szCs w:val="12"/>
          <w:color w:val="auto"/>
        </w:rPr>
        <w:t>et loss ratio excluding commercial lines business is a non-GAAP ratio, which is computed as the difference between the GAAP net loss ratio and the effect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commercial lines on the net loss ratio. Management believes that this ratio is useful to investors, and it is used by management to reveal the trends in our business that may be obscured by losses from commercial lines business. Our commercial lines business has been in run-off effective July 2019. Commercial lines losses cause our net loss ratios to vary between periods as a result of changes to their loss reserves during the run-off period and have an impact on the net loss ratio. Management believes that this measure is useful for investors to evaluate this component separately when reviewing our underwriting performance. The most directly comparable GAAP measure is the net loss ratio. The net loss ratio excluding commercial lines business should not be considered a substitute for the net loss ratio and does not reflect our net loss ratio.</w:t>
      </w:r>
    </w:p>
    <w:p>
      <w:pPr>
        <w:spacing w:after="0" w:line="120"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underwriting expense ratio: </w:t>
      </w:r>
      <w:r>
        <w:rPr>
          <w:rFonts w:ascii="Times New Roman" w:cs="Times New Roman" w:eastAsia="Times New Roman" w:hAnsi="Times New Roman"/>
          <w:sz w:val="12"/>
          <w:szCs w:val="12"/>
          <w:color w:val="auto"/>
        </w:rPr>
        <w:t>The net underwriting expense ratio is a measure of an insurance company’s operational efficiency in administering its business. Expressed as a percentage, this is the ratio of the sum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acquisition costs (the most significant being commissions paid to our producers) and other underwriting expenses less ceding commission revenue less other income to net premiums earned.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underwriting expense ratio excluding the effect of catastrophes: </w:t>
      </w:r>
      <w:r>
        <w:rPr>
          <w:rFonts w:ascii="Times New Roman" w:cs="Times New Roman" w:eastAsia="Times New Roman" w:hAnsi="Times New Roman"/>
          <w:sz w:val="10"/>
          <w:szCs w:val="10"/>
          <w:color w:val="auto"/>
        </w:rPr>
        <w:t>The n</w:t>
      </w:r>
      <w:r>
        <w:rPr>
          <w:rFonts w:ascii="Times New Roman" w:cs="Times New Roman" w:eastAsia="Times New Roman" w:hAnsi="Times New Roman"/>
          <w:sz w:val="12"/>
          <w:szCs w:val="12"/>
          <w:color w:val="auto"/>
        </w:rPr>
        <w:t>et underwriting expense ratio excluding the effect of catastrophes is a non-GAAP ratio, which is computed as the difference between the GAAP net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underwriting expense ratio and the effect of catastrophes on the net underwriting expense ratio. Management believes that this ratio is useful to investors, and it is used by management to reveal the trends in our business that may be obscured by catastrophe losses. Catastrophe losses cause our net underwriting expense ratios to vary significantly between periods as a result of their incidence of occurrence and magnitude and can have a significant impact on the underwriting expense ratio. Management believes that this measure is useful for investors to evaluate this component separately when reviewing our underwriting performance. The most directly comparable GAAP measure is the net underwriting expense ratio. The net underwriting expense ratio excluding the effect of catastrophes should not be considered a substitute for the net underwriting expense ratio and does not reflect our net underwriting expense ratio.</w:t>
      </w:r>
    </w:p>
    <w:p>
      <w:pPr>
        <w:spacing w:after="0" w:line="119" w:lineRule="exact"/>
        <w:rPr>
          <w:sz w:val="20"/>
          <w:szCs w:val="20"/>
          <w:color w:val="auto"/>
        </w:rPr>
      </w:pPr>
    </w:p>
    <w:p>
      <w:pPr>
        <w:jc w:val="both"/>
        <w:ind w:firstLine="405"/>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combined ratio: </w:t>
      </w:r>
      <w:r>
        <w:rPr>
          <w:rFonts w:ascii="Times New Roman" w:cs="Times New Roman" w:eastAsia="Times New Roman" w:hAnsi="Times New Roman"/>
          <w:sz w:val="12"/>
          <w:szCs w:val="12"/>
          <w:color w:val="auto"/>
        </w:rPr>
        <w:t>The net combined ratio is a measure of an insurance company’s overall underwriting profit. This is the sum of the net loss and net underwriting expense ratios. If the net combined ratio is at or above 100</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percent, an insurance company cannot be profitable without investment income, and may not be profitable if investment income is insufficient.</w:t>
      </w:r>
    </w:p>
    <w:p>
      <w:pPr>
        <w:spacing w:after="0" w:line="111"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Net combined ratio excluding the effect of catastrophes: </w:t>
      </w:r>
      <w:r>
        <w:rPr>
          <w:rFonts w:ascii="Times New Roman" w:cs="Times New Roman" w:eastAsia="Times New Roman" w:hAnsi="Times New Roman"/>
          <w:sz w:val="10"/>
          <w:szCs w:val="10"/>
          <w:color w:val="auto"/>
        </w:rPr>
        <w:t>The n</w:t>
      </w:r>
      <w:r>
        <w:rPr>
          <w:rFonts w:ascii="Times New Roman" w:cs="Times New Roman" w:eastAsia="Times New Roman" w:hAnsi="Times New Roman"/>
          <w:sz w:val="12"/>
          <w:szCs w:val="12"/>
          <w:color w:val="auto"/>
        </w:rPr>
        <w:t>et combined ratio excluding the effect of catastrophes is a non-GAAP ratio, which is computed as the difference between the GAAP combined ratio and the effect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catastrophes on the net combined ratio. Management believes that this ratio is useful to investors, and it is used by management to reveal the trends in our business that may be obscured by catastrophe losses. Catastrophe losses cause our net combined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our underwriting performance. The most directly comparable GAAP measure is the net combined ratio. The net combined ratio excluding the effect of catastrophes should not be considered a substitute for the net combined ratio and does not reflect our net combined ratio.</w:t>
      </w:r>
    </w:p>
    <w:p>
      <w:pPr>
        <w:spacing w:after="0" w:line="11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Underwriting income: </w:t>
      </w:r>
      <w:r>
        <w:rPr>
          <w:rFonts w:ascii="Times New Roman" w:cs="Times New Roman" w:eastAsia="Times New Roman" w:hAnsi="Times New Roman"/>
          <w:sz w:val="12"/>
          <w:szCs w:val="12"/>
          <w:color w:val="auto"/>
        </w:rPr>
        <w:t>Underwriting income is net pre-tax income attributable to our insurance underwriting business before investment activity. It excludes net investment income, net realized gains from investments,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12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Net income from insurance underwriting business on a standalone basis</w:t>
      </w:r>
      <w:r>
        <w:rPr>
          <w:rFonts w:ascii="Times New Roman" w:cs="Times New Roman" w:eastAsia="Times New Roman" w:hAnsi="Times New Roman"/>
          <w:sz w:val="10"/>
          <w:szCs w:val="10"/>
          <w:b w:val="1"/>
          <w:bCs w:val="1"/>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Net income from insurance underwriting business on a standalone basis is a non-GAAP measure, which is computed as GAAP net income without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effect of holding company operations on GAAP net income. Management believes that this measure is useful to investors, and it is used by management to reveal the trends in our insurance underwriting business that may be obscured by holding company operations. Holding company operations cause our GAAP net income to vary significantly between periods as a result of their magnitude and can have a significant impact on GAAP net income. Management believes that this measure is useful for investors to evaluate this component separately when reviewing our underwriting performance. The most directly comparable GAAP measure is GAAP net income. Net income from insurance underwriting business on a standalone basis should not be considered a substitute for GAAP net income and does not reflect our GAAP net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4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Our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and other factors, in forming its estimates and judgments of certain amounts included in the consolidated financial statements, giving due consideration to materiality. It is possible that the ultimate outcome as anticipated by our management in formulating its estimates in these financial statements may not materialize.</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See below a description of these critical accounting estimates. Also, see Note 2 to the consolidated financial statements following Item 16 of this Annual Report.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Loss and Loss Adjustment Expense Reserves</w:t>
      </w:r>
    </w:p>
    <w:p>
      <w:pPr>
        <w:spacing w:after="0" w:line="14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December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3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326"/>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Ceded</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Net</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Ceded</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Net</w:t>
            </w:r>
          </w:p>
        </w:tc>
        <w:tc>
          <w:tcPr>
            <w:tcW w:w="80" w:type="dxa"/>
            <w:vAlign w:val="bottom"/>
            <w:tcBorders>
              <w:bottom w:val="single" w:sz="8" w:color="CCEEFF"/>
            </w:tcBorders>
          </w:tcPr>
          <w:p>
            <w:pPr>
              <w:spacing w:after="0"/>
              <w:rPr>
                <w:sz w:val="24"/>
                <w:szCs w:val="24"/>
                <w:color w:val="auto"/>
              </w:rPr>
            </w:pPr>
          </w:p>
        </w:tc>
      </w:tr>
      <w:tr>
        <w:trPr>
          <w:trHeight w:val="165"/>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Case loss</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20,749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54,636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46,366</w:t>
            </w:r>
          </w:p>
        </w:tc>
        <w:tc>
          <w:tcPr>
            <w:tcW w:w="80" w:type="dxa"/>
            <w:vAlign w:val="bottom"/>
            <w:shd w:val="clear" w:color="auto" w:fill="CCEEFF"/>
          </w:tcPr>
          <w:p>
            <w:pPr>
              <w:spacing w:after="0"/>
              <w:rPr>
                <w:sz w:val="14"/>
                <w:szCs w:val="14"/>
                <w:color w:val="auto"/>
              </w:rPr>
            </w:pPr>
          </w:p>
        </w:tc>
      </w:tr>
      <w:tr>
        <w:trPr>
          <w:trHeight w:val="167"/>
        </w:trPr>
        <w:tc>
          <w:tcPr>
            <w:tcW w:w="1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Case LAE</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7,459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5,137</w:t>
            </w:r>
          </w:p>
        </w:tc>
        <w:tc>
          <w:tcPr>
            <w:tcW w:w="80" w:type="dxa"/>
            <w:vAlign w:val="bottom"/>
          </w:tcPr>
          <w:p>
            <w:pPr>
              <w:spacing w:after="0"/>
              <w:rPr>
                <w:sz w:val="14"/>
                <w:szCs w:val="14"/>
                <w:color w:val="auto"/>
              </w:rPr>
            </w:pPr>
          </w:p>
        </w:tc>
      </w:tr>
      <w:tr>
        <w:trPr>
          <w:trHeight w:val="17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IBNR loss</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38,794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38,681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28,020</w:t>
            </w:r>
          </w:p>
        </w:tc>
        <w:tc>
          <w:tcPr>
            <w:tcW w:w="80" w:type="dxa"/>
            <w:vAlign w:val="bottom"/>
            <w:shd w:val="clear" w:color="auto" w:fill="CCEEFF"/>
          </w:tcPr>
          <w:p>
            <w:pPr>
              <w:spacing w:after="0"/>
              <w:rPr>
                <w:sz w:val="15"/>
                <w:szCs w:val="15"/>
                <w:color w:val="auto"/>
              </w:rPr>
            </w:pPr>
          </w:p>
        </w:tc>
      </w:tr>
      <w:tr>
        <w:trPr>
          <w:trHeight w:val="166"/>
        </w:trPr>
        <w:tc>
          <w:tcPr>
            <w:tcW w:w="1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IBNR LAE</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18,901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16,879</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14,365</w:t>
            </w:r>
          </w:p>
        </w:tc>
        <w:tc>
          <w:tcPr>
            <w:tcW w:w="80" w:type="dxa"/>
            <w:vAlign w:val="bottom"/>
            <w:tcBorders>
              <w:bottom w:val="single" w:sz="8" w:color="CCEEFF"/>
            </w:tcBorders>
          </w:tcPr>
          <w:p>
            <w:pPr>
              <w:spacing w:after="0"/>
              <w:rPr>
                <w:sz w:val="14"/>
                <w:szCs w:val="14"/>
                <w:color w:val="auto"/>
              </w:rPr>
            </w:pPr>
          </w:p>
        </w:tc>
      </w:tr>
      <w:tr>
        <w:trPr>
          <w:trHeight w:val="181"/>
        </w:trPr>
        <w:tc>
          <w:tcPr>
            <w:tcW w:w="1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140,539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33,232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107,306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32,322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93,888</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(Components may not sum due to rounding)</w:t>
      </w:r>
    </w:p>
    <w:p>
      <w:pPr>
        <w:spacing w:after="0" w:line="150"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spacing w:after="0" w:line="11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IBNR Reserves – IBNR reserves are estimates of claims that have occurred but as to which we have not yet been notified to establish the case reserve. IBNR is determined using historical information aggregated by line of insurance and adjusted to current conditions.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Reinsurance</w:t>
      </w:r>
    </w:p>
    <w:p>
      <w:pPr>
        <w:spacing w:after="0" w:line="14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Deferred Income Taxes</w:t>
      </w:r>
    </w:p>
    <w:p>
      <w:pPr>
        <w:spacing w:after="0" w:line="14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Our effective tax rate is based on GAAP income at statutory tax rates, adjusted for non-taxable and non-deductible items, and tax credits. Changes in estimates used in preparing the consolidated statements of operations and comprehensive income (loss) could result in significant changes to our deferred tax asset or liability.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consolidated statements of operations and comprehensive income (loss), or changes in the enacted tax rate, could result in significant variances between our carried deferred tax and tax recognized on the recovery or settlement of the asset or liability.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Investments</w:t>
      </w:r>
    </w:p>
    <w:p>
      <w:pPr>
        <w:spacing w:after="0" w:line="15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Bonds are classified as held-to-maturity (“HTM”) or available-for-sale (“AFS”), and stocks are generally classified as AFS. Investments classified as HTM are carried at amortized cost, which requires very little judgement. Investments classified as AFS are generally carried at fair value with an unrealized gain/loss recorded in income. Actual results could vary significantly from the fair values recognized in the Consolidated Statements of Income and Comprehensive Income.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3" w:name="page34"/>
    <w:bookmarkEnd w:id="33"/>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Policies in Force and Direct Written Premiums</w:t>
      </w:r>
    </w:p>
    <w:p>
      <w:pPr>
        <w:spacing w:after="0" w:line="154" w:lineRule="exact"/>
        <w:rPr>
          <w:sz w:val="20"/>
          <w:szCs w:val="20"/>
          <w:color w:val="auto"/>
        </w:rPr>
      </w:pPr>
    </w:p>
    <w:p>
      <w:pPr>
        <w:ind w:left="8" w:right="20" w:firstLine="432"/>
        <w:spacing w:after="0" w:line="286" w:lineRule="auto"/>
        <w:rPr>
          <w:sz w:val="20"/>
          <w:szCs w:val="20"/>
          <w:color w:val="auto"/>
        </w:rPr>
      </w:pPr>
      <w:r>
        <w:rPr>
          <w:rFonts w:ascii="Times New Roman" w:cs="Times New Roman" w:eastAsia="Times New Roman" w:hAnsi="Times New Roman"/>
          <w:sz w:val="12"/>
          <w:szCs w:val="12"/>
          <w:color w:val="auto"/>
        </w:rPr>
        <w:t>See the tables below for our policies in force as of December 31, 2025 and 2024 and direct written premiums for the years ended December 31, 2025 and 2024, respectively. For the year ended December 31, 2025, our direct written premiums</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increased by 14.8% compared to the same period in 2024, while policies in force increased by 3.6% as of December 31, 2025 as compared to December 31, 2024.</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63"/>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2"/>
                <w:szCs w:val="12"/>
                <w:b w:val="1"/>
                <w:bCs w:val="1"/>
                <w:color w:val="auto"/>
                <w:w w:val="98"/>
              </w:rPr>
              <w:t>As of December 31,</w:t>
            </w: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0"/>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58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w:t>
            </w:r>
          </w:p>
        </w:tc>
      </w:tr>
      <w:tr>
        <w:trPr>
          <w:trHeight w:val="84"/>
        </w:trPr>
        <w:tc>
          <w:tcPr>
            <w:tcW w:w="15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r>
      <w:tr>
        <w:trPr>
          <w:trHeight w:val="171"/>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Policies In Force</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80,432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77,656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2,776</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3.6 %</w:t>
            </w:r>
          </w:p>
        </w:tc>
      </w:tr>
      <w:tr>
        <w:trPr>
          <w:trHeight w:val="378"/>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56"/>
        </w:trPr>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(000’s except percentages)</w:t>
            </w:r>
          </w:p>
        </w:tc>
        <w:tc>
          <w:tcPr>
            <w:tcW w:w="240" w:type="dxa"/>
            <w:vAlign w:val="bottom"/>
          </w:tcPr>
          <w:p>
            <w:pPr>
              <w:spacing w:after="0"/>
              <w:rPr>
                <w:sz w:val="13"/>
                <w:szCs w:val="13"/>
                <w:color w:val="auto"/>
              </w:rPr>
            </w:pPr>
          </w:p>
        </w:tc>
        <w:tc>
          <w:tcPr>
            <w:tcW w:w="86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93"/>
        </w:trPr>
        <w:tc>
          <w:tcPr>
            <w:tcW w:w="1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171"/>
        </w:trPr>
        <w:tc>
          <w:tcPr>
            <w:tcW w:w="16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Direct written premiums</w:t>
            </w:r>
            <w:r>
              <w:rPr>
                <w:rFonts w:ascii="Times New Roman" w:cs="Times New Roman" w:eastAsia="Times New Roman" w:hAnsi="Times New Roman"/>
                <w:sz w:val="15"/>
                <w:szCs w:val="15"/>
                <w:color w:val="auto"/>
                <w:vertAlign w:val="superscript"/>
              </w:rPr>
              <w:t>1</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277,801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241,980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35,821</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bl>
    <w:p>
      <w:pPr>
        <w:spacing w:after="0" w:line="187" w:lineRule="exact"/>
        <w:rPr>
          <w:sz w:val="20"/>
          <w:szCs w:val="20"/>
          <w:color w:val="auto"/>
        </w:rPr>
      </w:pPr>
    </w:p>
    <w:p>
      <w:pPr>
        <w:ind w:left="8" w:right="100" w:hanging="8"/>
        <w:spacing w:after="0" w:line="222" w:lineRule="auto"/>
        <w:tabs>
          <w:tab w:leader="none" w:pos="66"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Direct written premiums is a non-GAAP measure defined above under "Key GAAP and Non-GAAP Measures". See "Non-GAAP Financial Measures" below for the reconciliation of direct written premiums to the GAAP measure of net premiums earned.</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Change in Market Dynamics (underway), and 5-Year Growth Plan (underway)</w:t>
      </w:r>
    </w:p>
    <w:p>
      <w:pPr>
        <w:spacing w:after="0" w:line="145" w:lineRule="exact"/>
        <w:rPr>
          <w:sz w:val="20"/>
          <w:szCs w:val="20"/>
          <w:color w:val="auto"/>
        </w:rPr>
      </w:pPr>
    </w:p>
    <w:p>
      <w:pPr>
        <w:ind w:left="868" w:hanging="220"/>
        <w:spacing w:after="0"/>
        <w:tabs>
          <w:tab w:leader="none" w:pos="8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Market Dynamics</w:t>
      </w:r>
    </w:p>
    <w:p>
      <w:pPr>
        <w:spacing w:after="0" w:line="141" w:lineRule="exact"/>
        <w:rPr>
          <w:sz w:val="20"/>
          <w:szCs w:val="20"/>
          <w:color w:val="auto"/>
        </w:rPr>
      </w:pPr>
    </w:p>
    <w:p>
      <w:pPr>
        <w:jc w:val="both"/>
        <w:ind w:left="8" w:firstLine="432"/>
        <w:spacing w:after="0" w:line="235" w:lineRule="auto"/>
        <w:rPr>
          <w:sz w:val="20"/>
          <w:szCs w:val="20"/>
          <w:color w:val="auto"/>
        </w:rPr>
      </w:pPr>
      <w:r>
        <w:rPr>
          <w:rFonts w:ascii="Times New Roman" w:cs="Times New Roman" w:eastAsia="Times New Roman" w:hAnsi="Times New Roman"/>
          <w:sz w:val="12"/>
          <w:szCs w:val="12"/>
          <w:color w:val="auto"/>
        </w:rPr>
        <w:t>On August 2, 2024, two large competitors announced a plan to wind down their personal lines operations in New York State and to non-renew or mid-term cancel their entire book of business before year end 2024. The policyholders of such competitors needed to find alternative coverage. Beginning in the quarter ended September 30, 2024, we began seeing a sizable increase in our policies in force and direct written premiums from these non-renewed and cancelled policies. We refer to this new business as a Change in Market Dynamics.</w:t>
      </w:r>
    </w:p>
    <w:p>
      <w:pPr>
        <w:spacing w:after="0" w:line="117" w:lineRule="exact"/>
        <w:rPr>
          <w:sz w:val="20"/>
          <w:szCs w:val="20"/>
          <w:color w:val="auto"/>
        </w:rPr>
      </w:pPr>
    </w:p>
    <w:p>
      <w:pPr>
        <w:jc w:val="both"/>
        <w:ind w:left="8" w:firstLine="432"/>
        <w:spacing w:after="0" w:line="235" w:lineRule="auto"/>
        <w:rPr>
          <w:sz w:val="20"/>
          <w:szCs w:val="20"/>
          <w:color w:val="auto"/>
        </w:rPr>
      </w:pPr>
      <w:r>
        <w:rPr>
          <w:rFonts w:ascii="Times New Roman" w:cs="Times New Roman" w:eastAsia="Times New Roman" w:hAnsi="Times New Roman"/>
          <w:sz w:val="12"/>
          <w:szCs w:val="12"/>
          <w:color w:val="auto"/>
        </w:rPr>
        <w:t>On April 14, 2025, KICO entered into an agreement to offer a quote for a replacement policy to selected homeowners policyholders in Downstate New York as one of our competitors pivoted focus away from admitted personal lines business (the "Withdrawal Plan"). The Withdrawal Plan, which includes this transaction, has been approved by the DFS. This competitor wrote approximately $70 million in written premium. The Withdrawal Plan has enabled KICO to work with new distribution partners to further increase its footprint in Downstate New York by offering an alternative policy to selected homeowners policyholders with effective dates that started in late third quarter of 2025. This transaction is being handled in a similar manner to the Change in Market Dynamics, except that we are streamlining the process by providing a quote for eligible policyholders to our producers.</w:t>
      </w:r>
    </w:p>
    <w:p>
      <w:pPr>
        <w:spacing w:after="0" w:line="117" w:lineRule="exact"/>
        <w:rPr>
          <w:sz w:val="20"/>
          <w:szCs w:val="20"/>
          <w:color w:val="auto"/>
        </w:rPr>
      </w:pPr>
    </w:p>
    <w:p>
      <w:pPr>
        <w:ind w:left="868" w:hanging="220"/>
        <w:spacing w:after="0"/>
        <w:tabs>
          <w:tab w:leader="none" w:pos="86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5-Year Growth Plan</w:t>
      </w:r>
    </w:p>
    <w:p>
      <w:pPr>
        <w:spacing w:after="0" w:line="141" w:lineRule="exact"/>
        <w:rPr>
          <w:sz w:val="20"/>
          <w:szCs w:val="20"/>
          <w:color w:val="auto"/>
        </w:rPr>
      </w:pPr>
    </w:p>
    <w:p>
      <w:pPr>
        <w:jc w:val="both"/>
        <w:ind w:left="8" w:firstLine="432"/>
        <w:spacing w:after="0" w:line="235" w:lineRule="auto"/>
        <w:rPr>
          <w:sz w:val="20"/>
          <w:szCs w:val="20"/>
          <w:color w:val="auto"/>
        </w:rPr>
      </w:pPr>
      <w:r>
        <w:rPr>
          <w:rFonts w:ascii="Times New Roman" w:cs="Times New Roman" w:eastAsia="Times New Roman" w:hAnsi="Times New Roman"/>
          <w:sz w:val="12"/>
          <w:szCs w:val="12"/>
          <w:color w:val="auto"/>
        </w:rPr>
        <w:t>We recently announced our 5-year goal of $500 million in direct written premium (the "5-Year Growth Plan"), effectively doubling the size of our company relative to today. We are diligently working on a strategic plan that outlines how we will achieve this goal through a combination of organic initiatives and strategic inorganic opportunities in our core state of New York along with measured geographic expansion into new states. We intend to maintain our focus on our core expertise of insuring catastrophe-exposed properties.</w:t>
      </w:r>
    </w:p>
    <w:p>
      <w:pPr>
        <w:spacing w:after="0" w:line="126" w:lineRule="exact"/>
        <w:rPr>
          <w:sz w:val="20"/>
          <w:szCs w:val="20"/>
          <w:color w:val="auto"/>
        </w:rPr>
      </w:pPr>
    </w:p>
    <w:p>
      <w:pPr>
        <w:jc w:val="both"/>
        <w:ind w:left="8" w:firstLine="432"/>
        <w:spacing w:after="0" w:line="235" w:lineRule="auto"/>
        <w:rPr>
          <w:sz w:val="20"/>
          <w:szCs w:val="20"/>
          <w:color w:val="auto"/>
        </w:rPr>
      </w:pPr>
      <w:r>
        <w:rPr>
          <w:rFonts w:ascii="Times New Roman" w:cs="Times New Roman" w:eastAsia="Times New Roman" w:hAnsi="Times New Roman"/>
          <w:sz w:val="12"/>
          <w:szCs w:val="12"/>
          <w:color w:val="auto"/>
        </w:rPr>
        <w:t>Relative to geographic expansion, we have conducted a thorough study of selected geographies and states with the help of industry-leading third-party advisors and overlaid important lessons learned from our past challenges to ensure that we do not face such challenges again. We plan to pursue prudent growth at a measured pace in our chosen new states, testing and validating rate adequacy commensurate with risk factors in the new geographies. Our current plan is to go live in California and Connecticut in 2026, and two additional states in 2027.</w:t>
      </w:r>
    </w:p>
    <w:p>
      <w:pPr>
        <w:spacing w:after="0" w:line="3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Results of Operations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summarizes the changes in the results of our operations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Years ended December 31,</w:t>
            </w: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6"/>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 in thousands)</w:t>
            </w: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80" w:type="dxa"/>
            <w:vAlign w:val="bottom"/>
          </w:tcPr>
          <w:p>
            <w:pPr>
              <w:spacing w:after="0"/>
              <w:rPr>
                <w:sz w:val="11"/>
                <w:szCs w:val="11"/>
                <w:color w:val="auto"/>
              </w:rPr>
            </w:pPr>
          </w:p>
        </w:tc>
        <w:tc>
          <w:tcPr>
            <w:tcW w:w="14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Percent</w:t>
            </w:r>
          </w:p>
        </w:tc>
        <w:tc>
          <w:tcPr>
            <w:tcW w:w="1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3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Direct written premiums (1)</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277,801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241,980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35,821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3"/>
                <w:szCs w:val="13"/>
                <w:color w:val="auto"/>
              </w:rPr>
            </w:pPr>
          </w:p>
        </w:tc>
      </w:tr>
      <w:tr>
        <w:trPr>
          <w:trHeight w:val="13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Ceded written premiums</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Ceded to quota share treaties (2)</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23,828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50,539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(26,711)</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(52.9%)</w:t>
            </w:r>
          </w:p>
        </w:tc>
        <w:tc>
          <w:tcPr>
            <w:tcW w:w="80" w:type="dxa"/>
            <w:vAlign w:val="bottom"/>
            <w:shd w:val="clear" w:color="auto" w:fill="CCEEFF"/>
          </w:tcPr>
          <w:p>
            <w:pPr>
              <w:spacing w:after="0"/>
              <w:rPr>
                <w:sz w:val="13"/>
                <w:szCs w:val="13"/>
                <w:color w:val="auto"/>
              </w:rPr>
            </w:pPr>
          </w:p>
        </w:tc>
      </w:tr>
      <w:tr>
        <w:trPr>
          <w:trHeight w:val="135"/>
        </w:trPr>
        <w:tc>
          <w:tcPr>
            <w:tcW w:w="498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Ceded to excess of loss treaties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6,391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6,417</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Ceded to catastrophe treaties</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33,863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30,794</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3,069</w:t>
            </w:r>
          </w:p>
        </w:tc>
        <w:tc>
          <w:tcPr>
            <w:tcW w:w="166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13"/>
                <w:szCs w:val="13"/>
                <w:color w:val="auto"/>
              </w:rPr>
            </w:pPr>
          </w:p>
        </w:tc>
      </w:tr>
      <w:tr>
        <w:trPr>
          <w:trHeight w:val="125"/>
        </w:trPr>
        <w:tc>
          <w:tcPr>
            <w:tcW w:w="4980" w:type="dxa"/>
            <w:vAlign w:val="bottom"/>
            <w:tcBorders>
              <w:bottom w:val="single" w:sz="8" w:color="CCEEFF"/>
            </w:tcBorders>
            <w:gridSpan w:val="2"/>
          </w:tcPr>
          <w:p>
            <w:pPr>
              <w:ind w:left="120"/>
              <w:spacing w:after="0" w:line="107" w:lineRule="exact"/>
              <w:rPr>
                <w:sz w:val="20"/>
                <w:szCs w:val="20"/>
                <w:color w:val="auto"/>
              </w:rPr>
            </w:pPr>
            <w:r>
              <w:rPr>
                <w:rFonts w:ascii="Times New Roman" w:cs="Times New Roman" w:eastAsia="Times New Roman" w:hAnsi="Times New Roman"/>
                <w:sz w:val="10"/>
                <w:szCs w:val="10"/>
                <w:color w:val="auto"/>
              </w:rPr>
              <w:t>Total ceded written premiums</w:t>
            </w: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64,082</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87,750</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(23,668)</w:t>
            </w: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(27.0%)</w:t>
            </w:r>
          </w:p>
        </w:tc>
        <w:tc>
          <w:tcPr>
            <w:tcW w:w="80" w:type="dxa"/>
            <w:vAlign w:val="bottom"/>
            <w:tcBorders>
              <w:bottom w:val="single" w:sz="8" w:color="CCEEFF"/>
            </w:tcBorders>
          </w:tcPr>
          <w:p>
            <w:pPr>
              <w:spacing w:after="0"/>
              <w:rPr>
                <w:sz w:val="10"/>
                <w:szCs w:val="10"/>
                <w:color w:val="auto"/>
              </w:rPr>
            </w:pPr>
          </w:p>
        </w:tc>
      </w:tr>
      <w:tr>
        <w:trPr>
          <w:trHeight w:val="60"/>
        </w:trPr>
        <w:tc>
          <w:tcPr>
            <w:tcW w:w="4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136"/>
        </w:trPr>
        <w:tc>
          <w:tcPr>
            <w:tcW w:w="49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0"/>
                <w:szCs w:val="10"/>
                <w:color w:val="auto"/>
              </w:rPr>
              <w:t>Net written premiums (1)</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213,719</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154,230</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59,489</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38.6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Borders>
              <w:bottom w:val="single" w:sz="8" w:color="CCEEFF"/>
            </w:tcBorders>
          </w:tcPr>
          <w:p>
            <w:pPr>
              <w:spacing w:after="0"/>
              <w:rPr>
                <w:sz w:val="11"/>
                <w:szCs w:val="11"/>
                <w:color w:val="auto"/>
              </w:rPr>
            </w:pPr>
          </w:p>
        </w:tc>
      </w:tr>
      <w:tr>
        <w:trPr>
          <w:trHeight w:val="60"/>
        </w:trPr>
        <w:tc>
          <w:tcPr>
            <w:tcW w:w="4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13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Change in unearned premiums</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Direct and assumed</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(19,326)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(29,080)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9,754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3"/>
                <w:szCs w:val="13"/>
                <w:color w:val="auto"/>
              </w:rPr>
            </w:pPr>
          </w:p>
        </w:tc>
      </w:tr>
      <w:tr>
        <w:trPr>
          <w:trHeight w:val="136"/>
        </w:trPr>
        <w:tc>
          <w:tcPr>
            <w:tcW w:w="4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0"/>
                <w:szCs w:val="10"/>
                <w:color w:val="auto"/>
              </w:rPr>
              <w:t>Ceded to quota share treaties (2)</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(7,266)</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3,348</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(10,614)</w:t>
            </w:r>
          </w:p>
        </w:tc>
        <w:tc>
          <w:tcPr>
            <w:tcW w:w="8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gridSpan w:val="3"/>
          </w:tcPr>
          <w:p>
            <w:pPr>
              <w:ind w:left="1400"/>
              <w:spacing w:after="0"/>
              <w:rPr>
                <w:sz w:val="20"/>
                <w:szCs w:val="20"/>
                <w:color w:val="auto"/>
              </w:rPr>
            </w:pPr>
            <w:r>
              <w:rPr>
                <w:rFonts w:ascii="Times New Roman" w:cs="Times New Roman" w:eastAsia="Times New Roman" w:hAnsi="Times New Roman"/>
                <w:sz w:val="10"/>
                <w:szCs w:val="10"/>
                <w:color w:val="auto"/>
              </w:rPr>
              <w:t>NM</w:t>
            </w:r>
          </w:p>
        </w:tc>
      </w:tr>
      <w:tr>
        <w:trPr>
          <w:trHeight w:val="13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Change in net unearned premiums</w:t>
            </w: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(26,592)</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(25,732)</w:t>
            </w:r>
          </w:p>
        </w:tc>
        <w:tc>
          <w:tcPr>
            <w:tcW w:w="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(860)</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shd w:val="clear" w:color="auto" w:fill="CCEEFF"/>
          </w:tcPr>
          <w:p>
            <w:pPr>
              <w:spacing w:after="0"/>
              <w:rPr>
                <w:sz w:val="11"/>
                <w:szCs w:val="11"/>
                <w:color w:val="auto"/>
              </w:rPr>
            </w:pPr>
          </w:p>
        </w:tc>
      </w:tr>
      <w:tr>
        <w:trPr>
          <w:trHeight w:val="61"/>
        </w:trPr>
        <w:tc>
          <w:tcPr>
            <w:tcW w:w="49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44"/>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Premiums earned</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5"/>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Direct and assumed</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258,474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212,900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45,574</w:t>
            </w: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0"/>
                <w:szCs w:val="10"/>
                <w:color w:val="auto"/>
              </w:rPr>
              <w:t>21.4%</w:t>
            </w: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Ceded to reinsurance treaties</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(71,348)</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(84,402)</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13,054</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3"/>
                <w:szCs w:val="13"/>
                <w:color w:val="auto"/>
              </w:rPr>
            </w:pPr>
          </w:p>
        </w:tc>
      </w:tr>
      <w:tr>
        <w:trPr>
          <w:trHeight w:val="125"/>
        </w:trPr>
        <w:tc>
          <w:tcPr>
            <w:tcW w:w="4980" w:type="dxa"/>
            <w:vAlign w:val="bottom"/>
            <w:gridSpan w:val="2"/>
          </w:tcPr>
          <w:p>
            <w:pPr>
              <w:ind w:left="120"/>
              <w:spacing w:after="0" w:line="107" w:lineRule="exact"/>
              <w:rPr>
                <w:sz w:val="20"/>
                <w:szCs w:val="20"/>
                <w:color w:val="auto"/>
              </w:rPr>
            </w:pPr>
            <w:r>
              <w:rPr>
                <w:rFonts w:ascii="Times New Roman" w:cs="Times New Roman" w:eastAsia="Times New Roman" w:hAnsi="Times New Roman"/>
                <w:sz w:val="10"/>
                <w:szCs w:val="10"/>
                <w:color w:val="auto"/>
              </w:rPr>
              <w:t>Net premiums earned</w:t>
            </w:r>
          </w:p>
        </w:tc>
        <w:tc>
          <w:tcPr>
            <w:tcW w:w="3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187,127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128,498</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58,629</w:t>
            </w: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0"/>
                <w:szCs w:val="10"/>
                <w:color w:val="auto"/>
              </w:rPr>
              <w:t>45.6%</w:t>
            </w:r>
          </w:p>
        </w:tc>
        <w:tc>
          <w:tcPr>
            <w:tcW w:w="80" w:type="dxa"/>
            <w:vAlign w:val="bottom"/>
          </w:tcPr>
          <w:p>
            <w:pPr>
              <w:spacing w:after="0"/>
              <w:rPr>
                <w:sz w:val="10"/>
                <w:szCs w:val="10"/>
                <w:color w:val="auto"/>
              </w:rPr>
            </w:pPr>
          </w:p>
        </w:tc>
      </w:tr>
      <w:tr>
        <w:trPr>
          <w:trHeight w:val="80"/>
        </w:trPr>
        <w:tc>
          <w:tcPr>
            <w:tcW w:w="4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580" w:type="dxa"/>
            <w:vAlign w:val="bottom"/>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r>
        <w:trPr>
          <w:trHeight w:val="13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Ceding commission revenue (2)</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15,675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18,838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(3,163)</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Net investment income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9,799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6,824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2,975</w:t>
            </w:r>
          </w:p>
        </w:tc>
        <w:tc>
          <w:tcPr>
            <w:tcW w:w="166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43.6%</w:t>
            </w:r>
          </w:p>
        </w:tc>
        <w:tc>
          <w:tcPr>
            <w:tcW w:w="80" w:type="dxa"/>
            <w:vAlign w:val="bottom"/>
            <w:shd w:val="clear" w:color="auto" w:fill="CCEEFF"/>
          </w:tcPr>
          <w:p>
            <w:pPr>
              <w:spacing w:after="0"/>
              <w:rPr>
                <w:sz w:val="13"/>
                <w:szCs w:val="13"/>
                <w:color w:val="auto"/>
              </w:rPr>
            </w:pPr>
          </w:p>
        </w:tc>
      </w:tr>
      <w:tr>
        <w:trPr>
          <w:trHeight w:val="135"/>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Net (losses) gains on investments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w:t>
            </w: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0"/>
                <w:szCs w:val="10"/>
                <w:color w:val="auto"/>
              </w:rPr>
              <w:t>174.7%</w:t>
            </w: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Gain on sale of real estate</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1,966</w:t>
            </w:r>
          </w:p>
        </w:tc>
        <w:tc>
          <w:tcPr>
            <w:tcW w:w="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0"/>
                <w:szCs w:val="10"/>
                <w:color w:val="auto"/>
              </w:rPr>
              <w:t>NM</w:t>
            </w:r>
          </w:p>
        </w:tc>
      </w:tr>
      <w:tr>
        <w:trPr>
          <w:trHeight w:val="136"/>
        </w:trPr>
        <w:tc>
          <w:tcPr>
            <w:tcW w:w="49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0"/>
                <w:szCs w:val="10"/>
                <w:color w:val="auto"/>
              </w:rPr>
              <w:t>Other income</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611</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568</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7.6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Borders>
              <w:bottom w:val="single" w:sz="8" w:color="CCEEFF"/>
            </w:tcBorders>
          </w:tcPr>
          <w:p>
            <w:pPr>
              <w:spacing w:after="0"/>
              <w:rPr>
                <w:sz w:val="11"/>
                <w:szCs w:val="11"/>
                <w:color w:val="auto"/>
              </w:rPr>
            </w:pPr>
          </w:p>
        </w:tc>
      </w:tr>
      <w:tr>
        <w:trPr>
          <w:trHeight w:val="142"/>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Total revenues</w:t>
            </w: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214,867</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155,142</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59,725</w:t>
            </w:r>
          </w:p>
        </w:tc>
        <w:tc>
          <w:tcPr>
            <w:tcW w:w="166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38.5%</w:t>
            </w:r>
          </w:p>
        </w:tc>
        <w:tc>
          <w:tcPr>
            <w:tcW w:w="80" w:type="dxa"/>
            <w:vAlign w:val="bottom"/>
            <w:shd w:val="clear" w:color="auto" w:fill="CCEEFF"/>
          </w:tcPr>
          <w:p>
            <w:pPr>
              <w:spacing w:after="0"/>
              <w:rPr>
                <w:sz w:val="12"/>
                <w:szCs w:val="12"/>
                <w:color w:val="auto"/>
              </w:rPr>
            </w:pPr>
          </w:p>
        </w:tc>
      </w:tr>
      <w:tr>
        <w:trPr>
          <w:trHeight w:val="115"/>
        </w:trPr>
        <w:tc>
          <w:tcPr>
            <w:tcW w:w="498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Expenses</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Loss and loss adjustment expenses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6"/>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Direct and assumed:</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Loss and loss adjustment expenses excluding the effect of catastrophes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100,708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79,472</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21,236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3"/>
                <w:szCs w:val="13"/>
                <w:color w:val="auto"/>
              </w:rPr>
            </w:pPr>
          </w:p>
        </w:tc>
      </w:tr>
      <w:tr>
        <w:trPr>
          <w:trHeight w:val="136"/>
        </w:trPr>
        <w:tc>
          <w:tcPr>
            <w:tcW w:w="4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0"/>
                <w:szCs w:val="10"/>
                <w:color w:val="auto"/>
              </w:rPr>
              <w:t>Losses from catastrophes (3)</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2,578</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(811)</w:t>
            </w: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(23.9) %</w:t>
            </w:r>
          </w:p>
        </w:tc>
        <w:tc>
          <w:tcPr>
            <w:tcW w:w="80" w:type="dxa"/>
            <w:vAlign w:val="bottom"/>
            <w:tcBorders>
              <w:bottom w:val="single" w:sz="8" w:color="CCEEFF"/>
            </w:tcBorders>
          </w:tcPr>
          <w:p>
            <w:pPr>
              <w:spacing w:after="0"/>
              <w:rPr>
                <w:sz w:val="11"/>
                <w:szCs w:val="11"/>
                <w:color w:val="auto"/>
              </w:rPr>
            </w:pPr>
          </w:p>
        </w:tc>
      </w:tr>
      <w:tr>
        <w:trPr>
          <w:trHeight w:val="13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Total direct and assumed loss and loss adjustment expenses</w:t>
            </w: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103,286</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82,861</w:t>
            </w:r>
          </w:p>
        </w:tc>
        <w:tc>
          <w:tcPr>
            <w:tcW w:w="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20,425</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1"/>
                <w:szCs w:val="11"/>
                <w:color w:val="auto"/>
              </w:rPr>
            </w:pPr>
          </w:p>
        </w:tc>
      </w:tr>
      <w:tr>
        <w:trPr>
          <w:trHeight w:val="61"/>
        </w:trPr>
        <w:tc>
          <w:tcPr>
            <w:tcW w:w="49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44"/>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Ceded loss and loss adjustment expenses: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6"/>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Loss and loss adjustment expenses excluding the effect of catastrophes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18,615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19,292</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(3.5%)</w:t>
            </w: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Losses from catastrophes (3)</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935</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 %</w:t>
            </w:r>
          </w:p>
        </w:tc>
        <w:tc>
          <w:tcPr>
            <w:tcW w:w="80" w:type="dxa"/>
            <w:vAlign w:val="bottom"/>
            <w:shd w:val="clear" w:color="auto" w:fill="CCEEFF"/>
          </w:tcPr>
          <w:p>
            <w:pPr>
              <w:spacing w:after="0"/>
              <w:rPr>
                <w:sz w:val="13"/>
                <w:szCs w:val="13"/>
                <w:color w:val="auto"/>
              </w:rPr>
            </w:pPr>
          </w:p>
        </w:tc>
      </w:tr>
      <w:tr>
        <w:trPr>
          <w:trHeight w:val="124"/>
        </w:trPr>
        <w:tc>
          <w:tcPr>
            <w:tcW w:w="4980" w:type="dxa"/>
            <w:vAlign w:val="bottom"/>
            <w:tcBorders>
              <w:bottom w:val="single" w:sz="8" w:color="CCEEFF"/>
            </w:tcBorders>
            <w:gridSpan w:val="2"/>
          </w:tcPr>
          <w:p>
            <w:pPr>
              <w:ind w:left="220"/>
              <w:spacing w:after="0" w:line="107" w:lineRule="exact"/>
              <w:rPr>
                <w:sz w:val="20"/>
                <w:szCs w:val="20"/>
                <w:color w:val="auto"/>
              </w:rPr>
            </w:pPr>
            <w:r>
              <w:rPr>
                <w:rFonts w:ascii="Times New Roman" w:cs="Times New Roman" w:eastAsia="Times New Roman" w:hAnsi="Times New Roman"/>
                <w:sz w:val="10"/>
                <w:szCs w:val="10"/>
                <w:color w:val="auto"/>
              </w:rPr>
              <w:t>Total ceded loss and loss adjustment expenses</w:t>
            </w: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19,020</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20,226</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(1,206)</w:t>
            </w: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80" w:type="dxa"/>
            <w:vAlign w:val="bottom"/>
            <w:tcBorders>
              <w:bottom w:val="single" w:sz="8" w:color="CCEEFF"/>
            </w:tcBorders>
          </w:tcPr>
          <w:p>
            <w:pPr>
              <w:spacing w:after="0"/>
              <w:rPr>
                <w:sz w:val="10"/>
                <w:szCs w:val="10"/>
                <w:color w:val="auto"/>
              </w:rPr>
            </w:pPr>
          </w:p>
        </w:tc>
      </w:tr>
      <w:tr>
        <w:trPr>
          <w:trHeight w:val="61"/>
        </w:trPr>
        <w:tc>
          <w:tcPr>
            <w:tcW w:w="4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135"/>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Net loss and loss adjustment expenses:</w:t>
            </w: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Loss and loss adjustment expenses excluding the effect of catastrophes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82,093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60,181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21,912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3"/>
                <w:szCs w:val="13"/>
                <w:color w:val="auto"/>
              </w:rPr>
            </w:pPr>
          </w:p>
        </w:tc>
      </w:tr>
      <w:tr>
        <w:trPr>
          <w:trHeight w:val="135"/>
        </w:trPr>
        <w:tc>
          <w:tcPr>
            <w:tcW w:w="4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0"/>
                <w:szCs w:val="10"/>
                <w:color w:val="auto"/>
              </w:rPr>
              <w:t>Losses from catastrophes (3)</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2,173</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2,454</w:t>
            </w: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(281)</w:t>
            </w:r>
          </w:p>
        </w:tc>
        <w:tc>
          <w:tcPr>
            <w:tcW w:w="16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(11.5%)</w:t>
            </w:r>
          </w:p>
        </w:tc>
        <w:tc>
          <w:tcPr>
            <w:tcW w:w="80" w:type="dxa"/>
            <w:vAlign w:val="bottom"/>
            <w:tcBorders>
              <w:bottom w:val="single" w:sz="8" w:color="CCEEFF"/>
            </w:tcBorders>
          </w:tcPr>
          <w:p>
            <w:pPr>
              <w:spacing w:after="0"/>
              <w:rPr>
                <w:sz w:val="11"/>
                <w:szCs w:val="11"/>
                <w:color w:val="auto"/>
              </w:rPr>
            </w:pPr>
          </w:p>
        </w:tc>
      </w:tr>
      <w:tr>
        <w:trPr>
          <w:trHeight w:val="133"/>
        </w:trPr>
        <w:tc>
          <w:tcPr>
            <w:tcW w:w="4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Net loss and loss adjustment expenses</w:t>
            </w: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84,266</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62,635</w:t>
            </w:r>
          </w:p>
        </w:tc>
        <w:tc>
          <w:tcPr>
            <w:tcW w:w="8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21,631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1"/>
                <w:szCs w:val="11"/>
                <w:color w:val="auto"/>
              </w:rPr>
            </w:pPr>
          </w:p>
        </w:tc>
      </w:tr>
      <w:tr>
        <w:trPr>
          <w:trHeight w:val="60"/>
        </w:trPr>
        <w:tc>
          <w:tcPr>
            <w:tcW w:w="49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44"/>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Commission expense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40,727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33,929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6,798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2"/>
                <w:szCs w:val="12"/>
                <w:color w:val="auto"/>
              </w:rPr>
            </w:pPr>
          </w:p>
        </w:tc>
      </w:tr>
      <w:tr>
        <w:trPr>
          <w:trHeight w:val="13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Other underwriting expenses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31,719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25,693</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23.5</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11"/>
                <w:szCs w:val="11"/>
                <w:color w:val="auto"/>
              </w:rPr>
            </w:pPr>
          </w:p>
        </w:tc>
      </w:tr>
      <w:tr>
        <w:trPr>
          <w:trHeight w:val="152"/>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Other operating expenses</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4,105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3,635</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shd w:val="clear" w:color="auto" w:fill="CCEEFF"/>
          </w:tcPr>
          <w:p>
            <w:pPr>
              <w:spacing w:after="0"/>
              <w:rPr>
                <w:sz w:val="13"/>
                <w:szCs w:val="13"/>
                <w:color w:val="auto"/>
              </w:rPr>
            </w:pPr>
          </w:p>
        </w:tc>
      </w:tr>
      <w:tr>
        <w:trPr>
          <w:trHeight w:val="135"/>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2,560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2,449</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Pr>
          <w:p>
            <w:pPr>
              <w:spacing w:after="0"/>
              <w:rPr>
                <w:sz w:val="11"/>
                <w:szCs w:val="11"/>
                <w:color w:val="auto"/>
              </w:rPr>
            </w:pPr>
          </w:p>
        </w:tc>
      </w:tr>
      <w:tr>
        <w:trPr>
          <w:trHeight w:val="153"/>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Interest expense</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3,514</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(3,069)</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(87.3%)</w:t>
            </w:r>
          </w:p>
        </w:tc>
        <w:tc>
          <w:tcPr>
            <w:tcW w:w="80" w:type="dxa"/>
            <w:vAlign w:val="bottom"/>
            <w:shd w:val="clear" w:color="auto" w:fill="CCEEFF"/>
          </w:tcPr>
          <w:p>
            <w:pPr>
              <w:spacing w:after="0"/>
              <w:rPr>
                <w:sz w:val="13"/>
                <w:szCs w:val="13"/>
                <w:color w:val="auto"/>
              </w:rPr>
            </w:pPr>
          </w:p>
        </w:tc>
      </w:tr>
      <w:tr>
        <w:trPr>
          <w:trHeight w:val="125"/>
        </w:trPr>
        <w:tc>
          <w:tcPr>
            <w:tcW w:w="4980" w:type="dxa"/>
            <w:vAlign w:val="bottom"/>
            <w:tcBorders>
              <w:bottom w:val="single" w:sz="8" w:color="CCEEFF"/>
            </w:tcBorders>
            <w:gridSpan w:val="2"/>
          </w:tcPr>
          <w:p>
            <w:pPr>
              <w:ind w:left="220"/>
              <w:spacing w:after="0" w:line="107" w:lineRule="exact"/>
              <w:rPr>
                <w:sz w:val="20"/>
                <w:szCs w:val="20"/>
                <w:color w:val="auto"/>
              </w:rPr>
            </w:pPr>
            <w:r>
              <w:rPr>
                <w:rFonts w:ascii="Times New Roman" w:cs="Times New Roman" w:eastAsia="Times New Roman" w:hAnsi="Times New Roman"/>
                <w:sz w:val="10"/>
                <w:szCs w:val="10"/>
                <w:color w:val="auto"/>
              </w:rPr>
              <w:t>Total expenses</w:t>
            </w: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163,822</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131,854</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31,968</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24.2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w w:val="95"/>
              </w:rPr>
              <w:t>%</w:t>
            </w:r>
          </w:p>
        </w:tc>
        <w:tc>
          <w:tcPr>
            <w:tcW w:w="80" w:type="dxa"/>
            <w:vAlign w:val="bottom"/>
            <w:tcBorders>
              <w:bottom w:val="single" w:sz="8" w:color="CCEEFF"/>
            </w:tcBorders>
          </w:tcPr>
          <w:p>
            <w:pPr>
              <w:spacing w:after="0"/>
              <w:rPr>
                <w:sz w:val="10"/>
                <w:szCs w:val="10"/>
                <w:color w:val="auto"/>
              </w:rPr>
            </w:pPr>
          </w:p>
        </w:tc>
      </w:tr>
      <w:tr>
        <w:trPr>
          <w:trHeight w:val="60"/>
        </w:trPr>
        <w:tc>
          <w:tcPr>
            <w:tcW w:w="4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13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Income before taxes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51,046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23,288</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27,758</w:t>
            </w: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0"/>
                <w:szCs w:val="10"/>
                <w:color w:val="auto"/>
              </w:rPr>
              <w:t>119.2%</w:t>
            </w:r>
          </w:p>
        </w:tc>
        <w:tc>
          <w:tcPr>
            <w:tcW w:w="80" w:type="dxa"/>
            <w:vAlign w:val="bottom"/>
          </w:tcPr>
          <w:p>
            <w:pPr>
              <w:spacing w:after="0"/>
              <w:rPr>
                <w:sz w:val="11"/>
                <w:szCs w:val="11"/>
                <w:color w:val="auto"/>
              </w:rPr>
            </w:pPr>
          </w:p>
        </w:tc>
      </w:tr>
      <w:tr>
        <w:trPr>
          <w:trHeight w:val="152"/>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Income tax expense</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10,279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4,930</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5,349</w:t>
            </w:r>
          </w:p>
        </w:tc>
        <w:tc>
          <w:tcPr>
            <w:tcW w:w="166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108.5%</w:t>
            </w:r>
          </w:p>
        </w:tc>
        <w:tc>
          <w:tcPr>
            <w:tcW w:w="80" w:type="dxa"/>
            <w:vAlign w:val="bottom"/>
            <w:shd w:val="clear" w:color="auto" w:fill="CCEEFF"/>
          </w:tcPr>
          <w:p>
            <w:pPr>
              <w:spacing w:after="0"/>
              <w:rPr>
                <w:sz w:val="13"/>
                <w:szCs w:val="13"/>
                <w:color w:val="auto"/>
              </w:rPr>
            </w:pPr>
          </w:p>
        </w:tc>
      </w:tr>
      <w:tr>
        <w:trPr>
          <w:trHeight w:val="133"/>
        </w:trPr>
        <w:tc>
          <w:tcPr>
            <w:tcW w:w="498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Net income</w:t>
            </w:r>
          </w:p>
        </w:tc>
        <w:tc>
          <w:tcPr>
            <w:tcW w:w="3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40,767</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18,358</w:t>
            </w:r>
          </w:p>
        </w:tc>
        <w:tc>
          <w:tcPr>
            <w:tcW w:w="80" w:type="dxa"/>
            <w:vAlign w:val="bottom"/>
          </w:tcPr>
          <w:p>
            <w:pPr>
              <w:spacing w:after="0"/>
              <w:rPr>
                <w:sz w:val="11"/>
                <w:szCs w:val="11"/>
                <w:color w:val="auto"/>
              </w:rPr>
            </w:pPr>
          </w:p>
        </w:tc>
        <w:tc>
          <w:tcPr>
            <w:tcW w:w="5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22,409</w:t>
            </w:r>
          </w:p>
        </w:tc>
        <w:tc>
          <w:tcPr>
            <w:tcW w:w="1660" w:type="dxa"/>
            <w:vAlign w:val="bottom"/>
            <w:gridSpan w:val="3"/>
          </w:tcPr>
          <w:p>
            <w:pPr>
              <w:jc w:val="right"/>
              <w:ind w:right="12"/>
              <w:spacing w:after="0"/>
              <w:rPr>
                <w:sz w:val="20"/>
                <w:szCs w:val="20"/>
                <w:color w:val="auto"/>
              </w:rPr>
            </w:pPr>
            <w:r>
              <w:rPr>
                <w:rFonts w:ascii="Times New Roman" w:cs="Times New Roman" w:eastAsia="Times New Roman" w:hAnsi="Times New Roman"/>
                <w:sz w:val="10"/>
                <w:szCs w:val="10"/>
                <w:color w:val="auto"/>
              </w:rPr>
              <w:t>122.1%</w:t>
            </w:r>
          </w:p>
        </w:tc>
        <w:tc>
          <w:tcPr>
            <w:tcW w:w="80" w:type="dxa"/>
            <w:vAlign w:val="bottom"/>
          </w:tcPr>
          <w:p>
            <w:pPr>
              <w:spacing w:after="0"/>
              <w:rPr>
                <w:sz w:val="11"/>
                <w:szCs w:val="1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(Columns in the table above may not sum to totals due to rounding)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1340" w:hanging="700"/>
        <w:spacing w:after="0"/>
        <w:tabs>
          <w:tab w:leader="none" w:pos="1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Direct written premiums and net premiums written are non-GAAP measures, defined above under "Key GAAP and Non-GAAP Measures", and reconciled in the table herein to the GAAP measure of net premiums earned.</w:t>
      </w:r>
    </w:p>
    <w:p>
      <w:pPr>
        <w:spacing w:after="0" w:line="152" w:lineRule="exact"/>
        <w:rPr>
          <w:rFonts w:ascii="Times New Roman" w:cs="Times New Roman" w:eastAsia="Times New Roman" w:hAnsi="Times New Roman"/>
          <w:sz w:val="11"/>
          <w:szCs w:val="11"/>
          <w:color w:val="auto"/>
        </w:rPr>
      </w:pPr>
    </w:p>
    <w:p>
      <w:pPr>
        <w:ind w:left="1340" w:hanging="700"/>
        <w:spacing w:after="0" w:line="265" w:lineRule="auto"/>
        <w:tabs>
          <w:tab w:leader="none" w:pos="134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ended December 31, 2024, our personal lines business was subject to a 27% quota share treaty, expiring on January 1, 2025, which included a runoff of a 3.0% portion of the prior quota share reinsurance treaty through the remainder of 2024. Effective January 1, 2025, we entered into a 16% personal lines quota share treaty, under a cutoff basis.</w:t>
      </w:r>
    </w:p>
    <w:p>
      <w:pPr>
        <w:spacing w:after="0" w:line="125" w:lineRule="exact"/>
        <w:rPr>
          <w:rFonts w:ascii="Times New Roman" w:cs="Times New Roman" w:eastAsia="Times New Roman" w:hAnsi="Times New Roman"/>
          <w:sz w:val="11"/>
          <w:szCs w:val="11"/>
          <w:color w:val="auto"/>
        </w:rPr>
      </w:pPr>
    </w:p>
    <w:p>
      <w:pPr>
        <w:ind w:left="1340" w:right="220" w:hanging="700"/>
        <w:spacing w:after="0" w:line="315" w:lineRule="auto"/>
        <w:tabs>
          <w:tab w:leader="none" w:pos="1340"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year ended December 31, 2025 and 2024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10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Percentage Point Difference</w:t>
            </w:r>
          </w:p>
        </w:tc>
        <w:tc>
          <w:tcPr>
            <w:tcW w:w="80" w:type="dxa"/>
            <w:vAlign w:val="bottom"/>
          </w:tcPr>
          <w:p>
            <w:pPr>
              <w:spacing w:after="0"/>
              <w:rPr>
                <w:sz w:val="13"/>
                <w:szCs w:val="13"/>
                <w:color w:val="auto"/>
              </w:rPr>
            </w:pPr>
          </w:p>
        </w:tc>
        <w:tc>
          <w:tcPr>
            <w:tcW w:w="15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Percent Change</w:t>
            </w:r>
          </w:p>
        </w:tc>
        <w:tc>
          <w:tcPr>
            <w:tcW w:w="80" w:type="dxa"/>
            <w:vAlign w:val="bottom"/>
          </w:tcPr>
          <w:p>
            <w:pPr>
              <w:spacing w:after="0"/>
              <w:rPr>
                <w:sz w:val="13"/>
                <w:szCs w:val="13"/>
                <w:color w:val="auto"/>
              </w:rPr>
            </w:pPr>
          </w:p>
        </w:tc>
      </w:tr>
      <w:tr>
        <w:trPr>
          <w:trHeight w:val="331"/>
        </w:trPr>
        <w:tc>
          <w:tcPr>
            <w:tcW w:w="5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Key ratios: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 ratio</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shd w:val="clear" w:color="auto" w:fill="CCEEFF"/>
          </w:tcPr>
          <w:p>
            <w:pPr>
              <w:spacing w:after="0"/>
              <w:rPr>
                <w:sz w:val="15"/>
                <w:szCs w:val="15"/>
                <w:color w:val="auto"/>
              </w:rPr>
            </w:pPr>
          </w:p>
        </w:tc>
      </w:tr>
      <w:tr>
        <w:trPr>
          <w:trHeight w:val="166"/>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80" w:type="dxa"/>
            <w:vAlign w:val="bottom"/>
          </w:tcPr>
          <w:p>
            <w:pPr>
              <w:spacing w:after="0"/>
              <w:rPr>
                <w:sz w:val="14"/>
                <w:szCs w:val="14"/>
                <w:color w:val="auto"/>
              </w:rPr>
            </w:pPr>
          </w:p>
        </w:tc>
      </w:tr>
      <w:tr>
        <w:trPr>
          <w:trHeight w:val="181"/>
        </w:trPr>
        <w:tc>
          <w:tcPr>
            <w:tcW w:w="4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combined ratio</w:t>
            </w: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Direct Written Premiums(1)</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Direct written premiums during the year ended December 31, 2025 (“Year Ended 2025”) were $277,801,000 compared to $241,980,000 during the year ended December 31, 2024 (“Year Ended 2024”). The increase of $35,821,000, or 14.8%, was primarily due to an increase in premiums from our personal lines business. Direct written premiums from our personal lines business for Year Ended 2025 were $263,188,000, an increase of $35,545,000, or 15.6%, from $227,643,000 in Year Ended 2024. The 15.6% increase in premiums from our personal lines business was primarily due to the organic growth from the Change in Market Dynamics in the New York market and to a lesser extent an increase in rates primarily from an increase in replacement costs.</w:t>
      </w:r>
    </w:p>
    <w:p>
      <w:pPr>
        <w:spacing w:after="0" w:line="122"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Direct written premiums from our livery physical damage business for Year Ended 2025 were $14,550,000, an increase of $302,000, or 2.1%, from $14,248,000 in Year Ended 2024. The growth in direct written premiums for livery physical damage reflects increased vehicle valuations and an increase from the removal of underwriting restrictions on electric vehicles until after receiving adequate rate approval in July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1) Direct written premiums is a non-GAAP measure defined above under "Key GAAP and Non-GAAP Measures", and reconciled in the table above to the GAAP measure of net premiums earned.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Net Written Premiums and Net Premiums Earned</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u w:val="single" w:color="auto"/>
          <w:color w:val="auto"/>
        </w:rPr>
        <w:t>Net Written Premiums(1) and Net Premiums Earned</w:t>
      </w:r>
    </w:p>
    <w:p>
      <w:pPr>
        <w:spacing w:after="0" w:line="150" w:lineRule="exact"/>
        <w:rPr>
          <w:sz w:val="20"/>
          <w:szCs w:val="20"/>
          <w:color w:val="auto"/>
        </w:rPr>
      </w:pPr>
    </w:p>
    <w:p>
      <w:pPr>
        <w:jc w:val="both"/>
        <w:ind w:right="20" w:firstLine="432"/>
        <w:spacing w:after="0" w:line="256" w:lineRule="auto"/>
        <w:rPr>
          <w:sz w:val="20"/>
          <w:szCs w:val="20"/>
          <w:color w:val="auto"/>
        </w:rPr>
      </w:pPr>
      <w:r>
        <w:rPr>
          <w:rFonts w:ascii="Times New Roman" w:cs="Times New Roman" w:eastAsia="Times New Roman" w:hAnsi="Times New Roman"/>
          <w:sz w:val="12"/>
          <w:szCs w:val="12"/>
          <w:color w:val="auto"/>
        </w:rPr>
        <w:t>Net written premiums increased $59,489,000, or 38.6%, to $213,719,000 in Year Ended 2025 from $154,230,000 in Year Ended 2024. Net written premiums include direct premiums, less the amount of written premiums ceded under our reinsurance treaties (quota share, excess of loss, and catastrophe). The increase in Year Ended 2025 was primarily due to the additional premiums due to the organic growth from the Change in Market Dynamics in the New York market and to a lesser extent an increase in rates primarily from an increase in replacement costs, and changes to our personal lines quota share reinsurance treaty. See "Quota share reinsurance treaties" discussion below.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134" w:lineRule="exact"/>
        <w:rPr>
          <w:sz w:val="20"/>
          <w:szCs w:val="20"/>
          <w:color w:val="auto"/>
        </w:rPr>
      </w:pPr>
    </w:p>
    <w:p>
      <w:pPr>
        <w:ind w:left="580" w:hanging="156"/>
        <w:spacing w:after="0"/>
        <w:tabs>
          <w:tab w:leader="none" w:pos="58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written premiums is a non-GAAP measure, defined above under "Key GAAP and Non-GAAP Measures", and reconciled in the table above to the GAAP measure of net premiums earned.</w:t>
      </w:r>
    </w:p>
    <w:p>
      <w:pPr>
        <w:spacing w:after="0" w:line="200" w:lineRule="exact"/>
        <w:rPr>
          <w:rFonts w:ascii="Times New Roman" w:cs="Times New Roman" w:eastAsia="Times New Roman" w:hAnsi="Times New Roman"/>
          <w:sz w:val="11"/>
          <w:szCs w:val="11"/>
          <w:color w:val="auto"/>
        </w:rPr>
      </w:pPr>
    </w:p>
    <w:p>
      <w:pPr>
        <w:spacing w:after="0" w:line="202" w:lineRule="exact"/>
        <w:rPr>
          <w:rFonts w:ascii="Times New Roman" w:cs="Times New Roman" w:eastAsia="Times New Roman" w:hAnsi="Times New Roman"/>
          <w:sz w:val="11"/>
          <w:szCs w:val="11"/>
          <w:color w:val="auto"/>
        </w:rPr>
      </w:pPr>
    </w:p>
    <w:p>
      <w:pPr>
        <w:ind w:left="55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Quota share reinsurance treaties</w:t>
      </w:r>
    </w:p>
    <w:p>
      <w:pPr>
        <w:spacing w:after="0" w:line="14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Effective January 1, 2024, we entered into a 27% quota share reinsurance treaty for our personal lines business, covering the period from January 1, 2024 through January 1, 2025 (“2024/2025 Treaty”). Upon expiration of the 2024/2025 Treaty on January 1, 2025, we entered into a new 16% quota share reinsurance treaty for our personal lines business, covering the period from January 1, 2025 through January 1, 2026 (“2025/2026 Treaty”). Our personal lines business was subject to the 2025/2026 Treaty in Year Ended 2025, and the 2024/2025 Treaty in Year Ended 2024. In Year Ended 2025, our premiums ceded under quota share treaties decreased by $26,711,000 in comparison to premiums ceded under quota share treaties in Year Ended 2024 (see table above). The decrease in Year Ended 2025 was attributable to the decrease in the quota share ceding percentage rate, offset by an increase in direct written premiums subject to the 2025/2026 Treaty compared to direct written premiums subject to the 2024/2025 Treaty. The inception of the 2025/2026 Treaty was recorded as a cutoff, resulting in the return of $11,471,000 from reinsurers to us of previously ceded written premiums that were unearned as of January 1, 2025.</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Excess of loss reinsurance treaties</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Year Ended 2025, our ceded excess of loss reinsurance premiums decreased $26,000 compared to the ceded excess of loss premiums for Year Ended 2024. Effective January 1, 2024, we entered into an underlying excess of loss reinsurance treaty (the “Underlying XOL Treaty”) covering the period from January 1, 2024 through January 1, 2025. The Underlying XOL Treaty provided 50% reinsurance coverage for losses of $400,000 in excess of $600,000. Losses from named storms were excluded from the Underlying XOL Treaty. Effective January 1, 2025, the Underlying XOL Treaty was renewed covering the period from January 1, 2025 through June 30, 2026. The Underlying XOL Treaty, combined with the excess of loss treaty, provided 50% reinsurance coverage for losses of $250,000 in excess of $750,000, and reinsurance coverage for losses in excess of $1,000,000 up to $9,000,000, together with facultative coverage. Retention was increased to $715,000 from $640,000 under the 2025/2026 Treaty. Under the 2026/2027 Treaty, retention was increased to $825,000 from $715,000.</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Catastrophe reinsurance treaties</w:t>
      </w:r>
    </w:p>
    <w:p>
      <w:pPr>
        <w:spacing w:after="0" w:line="15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With regard to treaties entered into on July 1, 2025 ("2025/2026 Catastrophe Treaty") and 2024 ("2024/2025 Catastrophe Treaty"), we recorded our catastrophe premiums written for the entire treaty period covering July 1 through June 30, resulting in the entire annual premium written being recorded in the third quarter of 2025 and 2024. The 2025/2026 Catastrophe Treaty covers 80% of losses on the first layer of $5,000,000 in excess of $5,000,000 (Catastrophe coverage of $4,000,000), and losses of $435,000,000 in excess of $5,000,000 (Catastrophe coverage of $430,000,000), for a total catastrophe coverage of $434,000,000. The 2024/2025 Catastrophe Treaty covered 80% of losses on the first layer of $5,000,000 in excess of $5,000,000 (Catastrophe coverage of $4,000,000), and losses of $275,000,000 in excess of $10,000,000 (Catastrophe coverage of $265,000,000), for a total catastrophe coverage of $269,000,000. Catastrophe coverage under the 2025/2026 Catastrophe Treaty increased by $165,000,000 compared to the 2024/2025 Catastrophe Treaty. In Year Ended 2025, our premiums ceded under our catastrophe treaties increased by $3,069,000 in comparison to premiums ceded under catastrophe treaties in Year Ended 2024 (see table above). The increase in Year Ended 2025 was primarily attributable to the $169,000,000 increase in catastrophe coverage discussed above.</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Net premiums earned</w:t>
      </w:r>
    </w:p>
    <w:p>
      <w:pPr>
        <w:spacing w:after="0" w:line="152"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Net premiums earned increased $58,629,000 or 45.6% to $187,127,000 in Year Ended 2025 compared to $128,498,000 in Year Ended 2024. The increase was due to the 11 percentage point reduction in quota share rates discussed above, and the increase in premiums from the Change in Market Dynamics which began in the third quarter of 2024, partially offset by an increase in catastrophe premiums due to the increase in catastrophe coverage reflected in ceded catastrophe premiums earned, which increased the amount of growth in net premiums earned.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i w:val="1"/>
                <w:iCs w:val="1"/>
                <w:color w:val="0000FF"/>
                <w:w w:val="96"/>
              </w:rPr>
              <w:t>Table of Contents</w:t>
            </w:r>
          </w:p>
        </w:tc>
        <w:tc>
          <w:tcPr>
            <w:tcW w:w="4120" w:type="dxa"/>
            <w:vAlign w:val="bottom"/>
            <w:gridSpan w:val="3"/>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664"/>
        </w:trPr>
        <w:tc>
          <w:tcPr>
            <w:tcW w:w="4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Ceding Commission Revenue</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420" w:type="dxa"/>
            <w:vAlign w:val="bottom"/>
            <w:gridSpan w:val="2"/>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6"/>
        </w:trPr>
        <w:tc>
          <w:tcPr>
            <w:tcW w:w="7020" w:type="dxa"/>
            <w:vAlign w:val="bottom"/>
            <w:gridSpan w:val="8"/>
          </w:tcPr>
          <w:p>
            <w:pPr>
              <w:ind w:left="400"/>
              <w:spacing w:after="0"/>
              <w:rPr>
                <w:sz w:val="20"/>
                <w:szCs w:val="20"/>
                <w:color w:val="auto"/>
              </w:rPr>
            </w:pPr>
            <w:r>
              <w:rPr>
                <w:rFonts w:ascii="Times New Roman" w:cs="Times New Roman" w:eastAsia="Times New Roman" w:hAnsi="Times New Roman"/>
                <w:sz w:val="12"/>
                <w:szCs w:val="12"/>
                <w:color w:val="auto"/>
              </w:rPr>
              <w:t>The following table summarizes the changes in the components of ceding commission revenue (in thousands) for the periods indicated:</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5"/>
        </w:trPr>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Years ended December 31,</w:t>
            </w:r>
          </w:p>
        </w:tc>
        <w:tc>
          <w:tcPr>
            <w:tcW w:w="1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49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360" w:type="dxa"/>
            <w:vAlign w:val="bottom"/>
          </w:tcPr>
          <w:p>
            <w:pPr>
              <w:spacing w:after="0"/>
              <w:rPr>
                <w:sz w:val="13"/>
                <w:szCs w:val="13"/>
                <w:color w:val="auto"/>
              </w:rPr>
            </w:pPr>
          </w:p>
        </w:tc>
        <w:tc>
          <w:tcPr>
            <w:tcW w:w="112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12"/>
                <w:szCs w:val="12"/>
                <w:b w:val="1"/>
                <w:bCs w:val="1"/>
                <w:color w:val="auto"/>
              </w:rPr>
              <w:t>Percent</w:t>
            </w:r>
          </w:p>
        </w:tc>
      </w:tr>
      <w:tr>
        <w:trPr>
          <w:trHeight w:val="165"/>
        </w:trPr>
        <w:tc>
          <w:tcPr>
            <w:tcW w:w="8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Provisional ceding commissions earned</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center"/>
              <w:ind w:left="720"/>
              <w:spacing w:after="0"/>
              <w:rPr>
                <w:sz w:val="20"/>
                <w:szCs w:val="20"/>
                <w:color w:val="auto"/>
              </w:rPr>
            </w:pPr>
            <w:r>
              <w:rPr>
                <w:rFonts w:ascii="Times New Roman" w:cs="Times New Roman" w:eastAsia="Times New Roman" w:hAnsi="Times New Roman"/>
                <w:sz w:val="12"/>
                <w:szCs w:val="12"/>
                <w:color w:val="auto"/>
              </w:rPr>
              <w:t>(4,902)</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shd w:val="clear" w:color="auto" w:fill="CCEEFF"/>
          </w:tcPr>
          <w:p>
            <w:pPr>
              <w:spacing w:after="0"/>
              <w:rPr>
                <w:sz w:val="14"/>
                <w:szCs w:val="14"/>
                <w:color w:val="auto"/>
              </w:rPr>
            </w:pPr>
          </w:p>
        </w:tc>
      </w:tr>
      <w:tr>
        <w:trPr>
          <w:trHeight w:val="167"/>
        </w:trPr>
        <w:tc>
          <w:tcPr>
            <w:tcW w:w="4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Contingent ceding commissions earned</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1,748</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w w:val="96"/>
              </w:rPr>
              <w:t>1,739</w:t>
            </w:r>
          </w:p>
        </w:tc>
        <w:tc>
          <w:tcPr>
            <w:tcW w:w="80" w:type="dxa"/>
            <w:vAlign w:val="bottom"/>
          </w:tcPr>
          <w:p>
            <w:pPr>
              <w:spacing w:after="0"/>
              <w:rPr>
                <w:sz w:val="14"/>
                <w:szCs w:val="14"/>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NM</w:t>
            </w:r>
          </w:p>
        </w:tc>
      </w:tr>
      <w:tr>
        <w:trPr>
          <w:trHeight w:val="164"/>
        </w:trPr>
        <w:tc>
          <w:tcPr>
            <w:tcW w:w="8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3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66"/>
        </w:trPr>
        <w:tc>
          <w:tcPr>
            <w:tcW w:w="4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Total ceding commission revenue</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15,675</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18,838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center"/>
              <w:ind w:left="720"/>
              <w:spacing w:after="0"/>
              <w:rPr>
                <w:sz w:val="20"/>
                <w:szCs w:val="20"/>
                <w:color w:val="auto"/>
              </w:rPr>
            </w:pPr>
            <w:r>
              <w:rPr>
                <w:rFonts w:ascii="Times New Roman" w:cs="Times New Roman" w:eastAsia="Times New Roman" w:hAnsi="Times New Roman"/>
                <w:sz w:val="12"/>
                <w:szCs w:val="12"/>
                <w:color w:val="auto"/>
              </w:rPr>
              <w:t>(3,163)</w:t>
            </w:r>
          </w:p>
        </w:tc>
        <w:tc>
          <w:tcPr>
            <w:tcW w:w="8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w:t>
            </w:r>
          </w:p>
        </w:tc>
        <w:tc>
          <w:tcPr>
            <w:tcW w:w="8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NM = Not Meaningful</w:t>
      </w:r>
    </w:p>
    <w:p>
      <w:pPr>
        <w:spacing w:after="0" w:line="7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2"/>
          <w:szCs w:val="12"/>
          <w:i w:val="1"/>
          <w:iCs w:val="1"/>
          <w:color w:val="auto"/>
        </w:rPr>
        <w:t>(Columns in the table above may not sum to totals due to rounding)</w:t>
      </w:r>
    </w:p>
    <w:p>
      <w:pPr>
        <w:spacing w:after="0" w:line="152"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Ceding commission revenue was $15,675,000 in Year Ended 2025 compared to $18,838,000 in Year Ended 2024. The decrease of $3,163,000 is explained below in the discussion of provisional ceding commissions earned and contingent ceding commissions earned.</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Provisional Ceding Commissions Earned</w:t>
      </w:r>
    </w:p>
    <w:p>
      <w:pPr>
        <w:spacing w:after="0" w:line="152"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In the Year Ended 2025, we earned provisional ceding commissions of $13,927,000 from personal lines earned premiums ceded under the 2025/2026 Treaty, and in the Year Ended 2024, we earned provisional ceding commissions of $18,829,000 from personal lines earned premiums ceded under the 2024/2025 Treaty. The decrease of $4,902,000 in provisional ceding commissions earned was due to the decrease in premiums ceded under these treaties during the Year Ended 2025 compared to the Year Ended 2024, offset by an increase in ceding commission rates under the 2025/2026 Treaty. The decrease in the premiums ceded was due to a decrease in the quota share percentage from 27% in the Year Ended 2024 to 16% in the Year Ended 2025.</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Contingent Ceding Commissions Earned</w:t>
      </w:r>
    </w:p>
    <w:p>
      <w:pPr>
        <w:spacing w:after="0" w:line="15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Under our 2025/2026 Treaty and prior years’ quota share treaties before July 1, 2017,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 ultimate loss ratio increases. The lower the ceded loss ratio, the more contingent commission we received. The structure of the 2024/2025 Treaty called for a fixed provisional ceding commission with no opportunity to earn additional contingent ceding commissions. We earned $1,748,000 of contingent ceding commissions due to both a decrease in the attritional and catastrophe loss ratios in the Year Ended 2025 as compared to $9,000 earned in the Year Ended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Net Investment Income</w:t>
      </w:r>
    </w:p>
    <w:p>
      <w:pPr>
        <w:spacing w:after="0" w:line="14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Net investment income was $9,799,000 in the Year Ended 2025 compared to $6,824,000 in the Year Ended 2024, an increase of $2,975,000, or 43.6%. The average yield on non-cash invested assets was 4.3% as of December 31, 2025 compared to 3.8% as of December 31, 2024</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Cash and invested assets were $321,867,000 as of December 31, 2025 compared to $237,287,000 as of December 31, 2024, an increase of $84,580,000.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Net Gains on Investments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Net (losses) on investments were $(310,000) in the Year Ended 2025 compared to net gains of $415,000 in the Year Ended 2024. Unrealized (losses) on our equity securities and other investments in the Year Ended 2025 were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$(87,000), compared to unrealized gains of $477,000 in the Year Ended 2024. Net realized (losses) on sales of investments were $(223,000) in the Year Ended 2025 compared to net realized (losses) of $(62,000) in the Year Ended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Gain on Sale of Real Estate</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Gain on sale of real estate was $1,966,000 in the Year Ended 2025 compared to $0 in the Year Ended 2024. On March 19, 2025 one of our subsidiaries closed on the sale of our headquarters building in Kingston, New York, along with an adjacent mixed-use property (collectively, the “Property”). The purchase price for the Property was $3,600,000. We are now renting a smaller facility in Kingston, New York.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 Income</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Other income was $611,000 in the Year Ended 2025 compared to $568,000 in the Year Ended 2024, an increase of $43,000, or 7.6%.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Net Loss and LAE</w:t>
      </w:r>
    </w:p>
    <w:p>
      <w:pPr>
        <w:ind w:right="20" w:firstLine="405"/>
        <w:spacing w:after="0" w:line="236" w:lineRule="auto"/>
        <w:rPr>
          <w:sz w:val="20"/>
          <w:szCs w:val="20"/>
          <w:color w:val="auto"/>
        </w:rPr>
      </w:pPr>
      <w:r>
        <w:rPr>
          <w:rFonts w:ascii="Times New Roman" w:cs="Times New Roman" w:eastAsia="Times New Roman" w:hAnsi="Times New Roman"/>
          <w:sz w:val="12"/>
          <w:szCs w:val="12"/>
          <w:color w:val="auto"/>
        </w:rPr>
        <w:t>Net loss and LAE was $84,266,000 for the Year Ended 2025 compared to $62,635,000 for the Year Ended 2024. The net loss ratio was 45.0% in the Year Ended 2025 compared to 48.7% in the Year Ended 2024, a decrease of 3.7 percentage points. The improvement in the net loss ratio was primarily driven by a decrease in the frequency of non-catastrophe losses and a decrease in catastrophe losses, both partially offset by less favorable prior accident year reserve development and an increase in severity from large losses. The total net catastrophe impact for the Year Ended 2025 was $2,173,000, which contributed 1.2 points to the loss ratio. By comparison, the catastrophe impact for the Year Ended 2024 was 1.9 points. Favorable prior accident year development decreased the net loss ratio by 0.6 points during the Year Ended 2025 as compared to decreasing the net loss ratio by 1.4 points during the Year Ended 2024. In 2025, property claims overall developed better than expected, driven primarily by reserve takedowns on several large fire and water damage claims from accident years 2023 and 2024, resulting in favorable development. This favorable development was partially offset by increased reserves associated with liability claims, which reflect the inherent variability associated with liability claim settlement patterns. In 2024, the favorable development was primarily attributable to reserve takedowns on several large property losses from accident years 2022 and 2023, reflecting recoverable depreciation. This favorable impact was partially offset by strengthening of reserves for liability claims, particularly related to loss adjustment expenses.</w:t>
      </w:r>
    </w:p>
    <w:p>
      <w:pPr>
        <w:spacing w:after="0" w:line="141" w:lineRule="exact"/>
        <w:rPr>
          <w:sz w:val="20"/>
          <w:szCs w:val="20"/>
          <w:color w:val="auto"/>
        </w:rPr>
      </w:pPr>
    </w:p>
    <w:p>
      <w:pPr>
        <w:jc w:val="both"/>
        <w:ind w:firstLine="432"/>
        <w:spacing w:after="0" w:line="226" w:lineRule="auto"/>
        <w:rPr>
          <w:sz w:val="20"/>
          <w:szCs w:val="20"/>
          <w:color w:val="auto"/>
        </w:rPr>
      </w:pPr>
      <w:r>
        <w:rPr>
          <w:rFonts w:ascii="Times New Roman" w:cs="Times New Roman" w:eastAsia="Times New Roman" w:hAnsi="Times New Roman"/>
          <w:sz w:val="12"/>
          <w:szCs w:val="12"/>
          <w:color w:val="auto"/>
        </w:rPr>
        <w:t>The underlying loss ratio</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(loss ratio excluding the impact of catastrophes and prior year development) was 44.4% for the Year Ended 2025, a decrease of 3.8 points from the 48.2% underlying loss ratio recorded for the Year Ended 2024. The improvement in the underlying loss ratio for the Year Ended 2025 as compared to the Year Ended 2024 was primarily due to an improvement in the frequency of losses which is the result of better performance of our Select product as well as our active efforts to manage less profitable lines of business. The favorable frequency for the Year Ended 2025 was partially offset by higher overall personal lines non-catastrophe severity, primarily driven by a greater impact from large losses.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w:t>
      </w:r>
    </w:p>
    <w:p>
      <w:pPr>
        <w:spacing w:after="0" w:line="152" w:lineRule="exact"/>
        <w:rPr>
          <w:sz w:val="20"/>
          <w:szCs w:val="20"/>
          <w:color w:val="auto"/>
        </w:rPr>
      </w:pPr>
    </w:p>
    <w:p>
      <w:pPr>
        <w:ind w:right="20" w:firstLine="397"/>
        <w:spacing w:after="0" w:line="282" w:lineRule="auto"/>
        <w:tabs>
          <w:tab w:leader="none" w:pos="559"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Underlying loss ratio is a non-GAAP ratio, which is computed as the GAAP net loss ratio excluding the effect of prior year loss reserve development and catastrophe losses. See "Non-GAAP Financial Measures" for the reconciliation of underlying loss ratio to the GAAP measure of net loss ratio.</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See table below under “Additional Financial Information” summarizing net loss ratios by line of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Commission Expense</w:t>
      </w:r>
    </w:p>
    <w:p>
      <w:pPr>
        <w:spacing w:after="0" w:line="141"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Commission expense was $40,727,000 in the Year Ended 2025 or 15.8% of direct earned premiums. Commission expense was $33,929,000 in the Year Ended 2024 or 15.9% of direct earned premiums. The increase of $6,798,000 in the Year Ended 2025 compared to the Year Ended 2024 was primarily due to an increase in direct earned premiums of $45,574,000 and an increase of $313,000 contingent commission based on the profitability of the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 Underwriting Expenses</w:t>
      </w:r>
    </w:p>
    <w:p>
      <w:pPr>
        <w:spacing w:after="0" w:line="132"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Other underwriting expenses were $31,719,000 in the Year Ended 2025 compared to $25,693,000 in the Year Ended 2024. The increase of $6,026,000, or 23.5%, was primarily due to increases in salaries and employment costs as described below; an increase in underwriting fees and premium taxes due to the growth in direct earned premiums; an increase in DFS regulatory fees; and an increase in professional fees. In addition, we realized a $365,000 gain on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commutations of prior years’ quota share reinsurance treaties from a group of reinsurers, in the Year Ended 2024, with no such gain in the Year Ended 2025.</w:t>
      </w:r>
    </w:p>
    <w:p>
      <w:pPr>
        <w:spacing w:after="0" w:line="141"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Our largest single component of other underwriting expenses is salaries and employment costs, with costs of $15,681,000 in the Year Ended 2025 compared to $13,143,000 in the Year Ended 2024. Salaries and employment costs were 8.4 points of the net underwriting expense ratio in the Year Ended 2025, a reduction of 1.8 points from 10.2 points in the Year Ended 2024 primarily due to the economies of scale with the increase in net premiums earned. The dollar increase in salaries and employment costs was due to annual salary increases, increase in profit sharing due to improvement in Company performance and strengthening of our professional team by investing in hiring talent with insurance industry experience due to the growth in premiums written and anticipated new business in accordance with our 5-Year Growth Plan.</w:t>
      </w:r>
    </w:p>
    <w:p>
      <w:pPr>
        <w:spacing w:after="0" w:line="132"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Our net underwriting expense ratio in the Year Ended 2025 was 30.0% compared to 31.3% in the Year Ended 2024. The following table shows the individual components of our net underwriting expense ratio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Years ended</w:t>
            </w: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64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December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r>
      <w:tr>
        <w:trPr>
          <w:trHeight w:val="155"/>
        </w:trPr>
        <w:tc>
          <w:tcPr>
            <w:tcW w:w="7520" w:type="dxa"/>
            <w:vAlign w:val="bottom"/>
            <w:gridSpan w:val="2"/>
          </w:tcPr>
          <w:p>
            <w:pPr>
              <w:ind w:left="71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Point Change</w:t>
            </w:r>
          </w:p>
        </w:tc>
      </w:tr>
      <w:tr>
        <w:trPr>
          <w:trHeight w:val="151"/>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10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Employment costs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5"/>
                <w:szCs w:val="15"/>
                <w:color w:val="auto"/>
              </w:rPr>
            </w:pPr>
          </w:p>
        </w:tc>
      </w:tr>
      <w:tr>
        <w:trPr>
          <w:trHeight w:val="166"/>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Underwriting fees (inspections/surveys)</w:t>
            </w:r>
          </w:p>
        </w:tc>
        <w:tc>
          <w:tcPr>
            <w:tcW w:w="5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Pr>
          <w:p>
            <w:pPr>
              <w:spacing w:after="0"/>
              <w:rPr>
                <w:sz w:val="14"/>
                <w:szCs w:val="14"/>
                <w:color w:val="auto"/>
              </w:rPr>
            </w:pPr>
          </w:p>
        </w:tc>
        <w:tc>
          <w:tcPr>
            <w:tcW w:w="1480" w:type="dxa"/>
            <w:vAlign w:val="bottom"/>
          </w:tcPr>
          <w:p>
            <w:pPr>
              <w:jc w:val="center"/>
              <w:ind w:left="1140"/>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4"/>
                <w:szCs w:val="14"/>
                <w:color w:val="auto"/>
              </w:rPr>
            </w:pPr>
          </w:p>
        </w:tc>
      </w:tr>
      <w:tr>
        <w:trPr>
          <w:trHeight w:val="176"/>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IT expenses</w:t>
            </w:r>
          </w:p>
        </w:tc>
        <w:tc>
          <w:tcPr>
            <w:tcW w:w="5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r>
      <w:tr>
        <w:trPr>
          <w:trHeight w:val="166"/>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Professional fees</w:t>
            </w:r>
          </w:p>
        </w:tc>
        <w:tc>
          <w:tcPr>
            <w:tcW w:w="5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0.8</w:t>
            </w:r>
          </w:p>
        </w:tc>
        <w:tc>
          <w:tcPr>
            <w:tcW w:w="80" w:type="dxa"/>
            <w:vAlign w:val="bottom"/>
          </w:tcPr>
          <w:p>
            <w:pPr>
              <w:spacing w:after="0"/>
              <w:rPr>
                <w:sz w:val="14"/>
                <w:szCs w:val="14"/>
                <w:color w:val="auto"/>
              </w:rPr>
            </w:pPr>
          </w:p>
        </w:tc>
        <w:tc>
          <w:tcPr>
            <w:tcW w:w="1480" w:type="dxa"/>
            <w:vAlign w:val="bottom"/>
          </w:tcPr>
          <w:p>
            <w:pPr>
              <w:jc w:val="center"/>
              <w:ind w:left="1140"/>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4"/>
                <w:szCs w:val="14"/>
                <w:color w:val="auto"/>
              </w:rPr>
            </w:pPr>
          </w:p>
        </w:tc>
      </w:tr>
      <w:tr>
        <w:trPr>
          <w:trHeight w:val="176"/>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expenses</w:t>
            </w:r>
          </w:p>
        </w:tc>
        <w:tc>
          <w:tcPr>
            <w:tcW w:w="5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5"/>
                <w:szCs w:val="15"/>
                <w:color w:val="auto"/>
              </w:rPr>
            </w:pPr>
          </w:p>
        </w:tc>
      </w:tr>
      <w:tr>
        <w:trPr>
          <w:trHeight w:val="156"/>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Total other underwriting expenses</w:t>
            </w:r>
          </w:p>
        </w:tc>
        <w:tc>
          <w:tcPr>
            <w:tcW w:w="10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16.9</w:t>
            </w:r>
          </w:p>
        </w:tc>
        <w:tc>
          <w:tcPr>
            <w:tcW w:w="8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tcBorders>
              <w:bottom w:val="single" w:sz="8" w:color="CCEEFF"/>
            </w:tcBorders>
          </w:tcPr>
          <w:p>
            <w:pPr>
              <w:spacing w:after="0"/>
              <w:rPr>
                <w:sz w:val="13"/>
                <w:szCs w:val="13"/>
                <w:color w:val="auto"/>
              </w:rPr>
            </w:pPr>
          </w:p>
        </w:tc>
        <w:tc>
          <w:tcPr>
            <w:tcW w:w="1480" w:type="dxa"/>
            <w:vAlign w:val="bottom"/>
            <w:tcBorders>
              <w:top w:val="single" w:sz="8" w:color="auto"/>
              <w:bottom w:val="single" w:sz="8" w:color="auto"/>
            </w:tcBorders>
          </w:tcPr>
          <w:p>
            <w:pPr>
              <w:jc w:val="center"/>
              <w:ind w:left="1140"/>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Borders>
              <w:bottom w:val="single" w:sz="8" w:color="CCEEFF"/>
            </w:tcBorders>
          </w:tcPr>
          <w:p>
            <w:pPr>
              <w:spacing w:after="0"/>
              <w:rPr>
                <w:sz w:val="13"/>
                <w:szCs w:val="13"/>
                <w:color w:val="auto"/>
              </w:rPr>
            </w:pPr>
          </w:p>
        </w:tc>
      </w:tr>
      <w:tr>
        <w:trPr>
          <w:trHeight w:val="164"/>
        </w:trPr>
        <w:tc>
          <w:tcPr>
            <w:tcW w:w="64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Commission expense</w:t>
            </w:r>
          </w:p>
        </w:tc>
        <w:tc>
          <w:tcPr>
            <w:tcW w:w="5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21.8</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26.4</w:t>
            </w:r>
          </w:p>
        </w:tc>
        <w:tc>
          <w:tcPr>
            <w:tcW w:w="80" w:type="dxa"/>
            <w:vAlign w:val="bottom"/>
          </w:tcPr>
          <w:p>
            <w:pPr>
              <w:spacing w:after="0"/>
              <w:rPr>
                <w:sz w:val="14"/>
                <w:szCs w:val="14"/>
                <w:color w:val="auto"/>
              </w:rPr>
            </w:pPr>
          </w:p>
        </w:tc>
        <w:tc>
          <w:tcPr>
            <w:tcW w:w="1480" w:type="dxa"/>
            <w:vAlign w:val="bottom"/>
          </w:tcPr>
          <w:p>
            <w:pPr>
              <w:jc w:val="center"/>
              <w:ind w:left="1140"/>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tcPr>
          <w:p>
            <w:pPr>
              <w:spacing w:after="0"/>
              <w:rPr>
                <w:sz w:val="14"/>
                <w:szCs w:val="14"/>
                <w:color w:val="auto"/>
              </w:rPr>
            </w:pPr>
          </w:p>
        </w:tc>
      </w:tr>
      <w:tr>
        <w:trPr>
          <w:trHeight w:val="164"/>
        </w:trPr>
        <w:tc>
          <w:tcPr>
            <w:tcW w:w="64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66"/>
        </w:trPr>
        <w:tc>
          <w:tcPr>
            <w:tcW w:w="7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Ceding commission revenue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7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Provisional</w:t>
            </w: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center"/>
              <w:ind w:left="1160"/>
              <w:spacing w:after="0"/>
              <w:rPr>
                <w:sz w:val="20"/>
                <w:szCs w:val="20"/>
                <w:color w:val="auto"/>
              </w:rPr>
            </w:pPr>
            <w:r>
              <w:rPr>
                <w:rFonts w:ascii="Times New Roman" w:cs="Times New Roman" w:eastAsia="Times New Roman" w:hAnsi="Times New Roman"/>
                <w:sz w:val="12"/>
                <w:szCs w:val="12"/>
                <w:color w:val="auto"/>
                <w:w w:val="93"/>
              </w:rPr>
              <w:t>7.3</w:t>
            </w:r>
          </w:p>
        </w:tc>
        <w:tc>
          <w:tcPr>
            <w:tcW w:w="80" w:type="dxa"/>
            <w:vAlign w:val="bottom"/>
            <w:shd w:val="clear" w:color="auto" w:fill="CCEEFF"/>
          </w:tcPr>
          <w:p>
            <w:pPr>
              <w:spacing w:after="0"/>
              <w:rPr>
                <w:sz w:val="15"/>
                <w:szCs w:val="15"/>
                <w:color w:val="auto"/>
              </w:rPr>
            </w:pPr>
          </w:p>
        </w:tc>
      </w:tr>
      <w:tr>
        <w:trPr>
          <w:trHeight w:val="166"/>
        </w:trPr>
        <w:tc>
          <w:tcPr>
            <w:tcW w:w="75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Contingent</w:t>
            </w: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tcPr>
          <w:p>
            <w:pPr>
              <w:jc w:val="center"/>
              <w:ind w:left="1140"/>
              <w:spacing w:after="0"/>
              <w:rPr>
                <w:sz w:val="20"/>
                <w:szCs w:val="20"/>
                <w:color w:val="auto"/>
              </w:rPr>
            </w:pPr>
            <w:r>
              <w:rPr>
                <w:rFonts w:ascii="Times New Roman" w:cs="Times New Roman" w:eastAsia="Times New Roman" w:hAnsi="Times New Roman"/>
                <w:sz w:val="12"/>
                <w:szCs w:val="12"/>
                <w:color w:val="auto"/>
              </w:rPr>
              <w:t>(0.9)</w:t>
            </w:r>
          </w:p>
        </w:tc>
        <w:tc>
          <w:tcPr>
            <w:tcW w:w="80" w:type="dxa"/>
            <w:vAlign w:val="bottom"/>
          </w:tcPr>
          <w:p>
            <w:pPr>
              <w:spacing w:after="0"/>
              <w:rPr>
                <w:sz w:val="14"/>
                <w:szCs w:val="14"/>
                <w:color w:val="auto"/>
              </w:rPr>
            </w:pPr>
          </w:p>
        </w:tc>
      </w:tr>
      <w:tr>
        <w:trPr>
          <w:trHeight w:val="160"/>
        </w:trPr>
        <w:tc>
          <w:tcPr>
            <w:tcW w:w="64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ceding commission revenue</w:t>
            </w:r>
          </w:p>
        </w:tc>
        <w:tc>
          <w:tcPr>
            <w:tcW w:w="106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(14.7)</w:t>
            </w:r>
          </w:p>
        </w:tc>
        <w:tc>
          <w:tcPr>
            <w:tcW w:w="8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bottom w:val="single" w:sz="8" w:color="auto"/>
            </w:tcBorders>
            <w:shd w:val="clear" w:color="auto" w:fill="CCEEFF"/>
          </w:tcPr>
          <w:p>
            <w:pPr>
              <w:jc w:val="center"/>
              <w:ind w:left="1160"/>
              <w:spacing w:after="0"/>
              <w:rPr>
                <w:sz w:val="20"/>
                <w:szCs w:val="20"/>
                <w:color w:val="auto"/>
              </w:rPr>
            </w:pPr>
            <w:r>
              <w:rPr>
                <w:rFonts w:ascii="Times New Roman" w:cs="Times New Roman" w:eastAsia="Times New Roman" w:hAnsi="Times New Roman"/>
                <w:sz w:val="12"/>
                <w:szCs w:val="12"/>
                <w:color w:val="auto"/>
                <w:w w:val="93"/>
              </w:rPr>
              <w:t>6.4</w:t>
            </w:r>
          </w:p>
        </w:tc>
        <w:tc>
          <w:tcPr>
            <w:tcW w:w="80" w:type="dxa"/>
            <w:vAlign w:val="bottom"/>
            <w:tcBorders>
              <w:top w:val="single" w:sz="8" w:color="CCEEFF"/>
            </w:tcBorders>
            <w:shd w:val="clear" w:color="auto" w:fill="CCEEFF"/>
          </w:tcPr>
          <w:p>
            <w:pPr>
              <w:spacing w:after="0"/>
              <w:rPr>
                <w:sz w:val="13"/>
                <w:szCs w:val="13"/>
                <w:color w:val="auto"/>
              </w:rPr>
            </w:pPr>
          </w:p>
        </w:tc>
      </w:tr>
      <w:tr>
        <w:trPr>
          <w:trHeight w:val="165"/>
        </w:trPr>
        <w:tc>
          <w:tcPr>
            <w:tcW w:w="6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5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center"/>
              <w:ind w:left="1160"/>
              <w:spacing w:after="0"/>
              <w:rPr>
                <w:sz w:val="20"/>
                <w:szCs w:val="20"/>
                <w:color w:val="auto"/>
              </w:rPr>
            </w:pPr>
            <w:r>
              <w:rPr>
                <w:rFonts w:ascii="Times New Roman" w:cs="Times New Roman" w:eastAsia="Times New Roman" w:hAnsi="Times New Roman"/>
                <w:sz w:val="12"/>
                <w:szCs w:val="12"/>
                <w:color w:val="auto"/>
                <w:w w:val="93"/>
              </w:rPr>
              <w:t>0.1</w:t>
            </w:r>
          </w:p>
        </w:tc>
        <w:tc>
          <w:tcPr>
            <w:tcW w:w="80" w:type="dxa"/>
            <w:vAlign w:val="bottom"/>
            <w:shd w:val="clear" w:color="auto" w:fill="CCEEFF"/>
          </w:tcPr>
          <w:p>
            <w:pPr>
              <w:spacing w:after="0"/>
              <w:rPr>
                <w:sz w:val="14"/>
                <w:szCs w:val="14"/>
                <w:color w:val="auto"/>
              </w:rPr>
            </w:pPr>
          </w:p>
        </w:tc>
      </w:tr>
      <w:tr>
        <w:trPr>
          <w:trHeight w:val="164"/>
        </w:trPr>
        <w:tc>
          <w:tcPr>
            <w:tcW w:w="64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10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ind w:left="1140"/>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Borders>
              <w:bottom w:val="single" w:sz="8" w:color="CCEEFF"/>
            </w:tcBorders>
            <w:shd w:val="clear" w:color="auto" w:fill="CCEEFF"/>
          </w:tcPr>
          <w:p>
            <w:pPr>
              <w:spacing w:after="0"/>
              <w:rPr>
                <w:sz w:val="16"/>
                <w:szCs w:val="16"/>
                <w:color w:val="auto"/>
              </w:rPr>
            </w:pPr>
          </w:p>
        </w:tc>
      </w:tr>
      <w:tr>
        <w:trPr>
          <w:trHeight w:val="288"/>
        </w:trPr>
        <w:tc>
          <w:tcPr>
            <w:tcW w:w="7520" w:type="dxa"/>
            <w:vAlign w:val="bottom"/>
            <w:gridSpan w:val="2"/>
          </w:tcPr>
          <w:p>
            <w:pPr>
              <w:ind w:left="4380"/>
              <w:spacing w:after="0"/>
              <w:rPr>
                <w:sz w:val="20"/>
                <w:szCs w:val="20"/>
                <w:color w:val="auto"/>
              </w:rPr>
            </w:pPr>
            <w:r>
              <w:rPr>
                <w:rFonts w:ascii="Times New Roman" w:cs="Times New Roman" w:eastAsia="Times New Roman" w:hAnsi="Times New Roman"/>
                <w:sz w:val="12"/>
                <w:szCs w:val="12"/>
                <w:i w:val="1"/>
                <w:iCs w:val="1"/>
                <w:color w:val="auto"/>
              </w:rPr>
              <w:t>(Components may not sum to totals due to rounding)</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0"/>
        </w:trPr>
        <w:tc>
          <w:tcPr>
            <w:tcW w:w="646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40</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2"/>
        </w:trPr>
        <w:tc>
          <w:tcPr>
            <w:tcW w:w="64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Other operating expenses were $4,105,000 for the Year Ended 2025 compared to $3,635,000 for the Year Ended 2024. The following table shows a breakdown of the significant components of other operating expenses for the periods indicated:</w:t>
      </w:r>
    </w:p>
    <w:p>
      <w:pPr>
        <w:spacing w:after="0" w:line="1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1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Pr>
          <w:p>
            <w:pPr>
              <w:spacing w:after="0"/>
              <w:rPr>
                <w:sz w:val="15"/>
                <w:szCs w:val="15"/>
                <w:color w:val="auto"/>
              </w:rPr>
            </w:pPr>
          </w:p>
        </w:tc>
        <w:tc>
          <w:tcPr>
            <w:tcW w:w="15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Percent</w:t>
            </w:r>
          </w:p>
        </w:tc>
        <w:tc>
          <w:tcPr>
            <w:tcW w:w="80" w:type="dxa"/>
            <w:vAlign w:val="bottom"/>
          </w:tcPr>
          <w:p>
            <w:pPr>
              <w:spacing w:after="0"/>
              <w:rPr>
                <w:sz w:val="15"/>
                <w:szCs w:val="15"/>
                <w:color w:val="auto"/>
              </w:rPr>
            </w:pPr>
          </w:p>
        </w:tc>
      </w:tr>
      <w:tr>
        <w:trPr>
          <w:trHeight w:val="331"/>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operating expenses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Employment costs</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(28.6)%</w:t>
            </w:r>
          </w:p>
        </w:tc>
        <w:tc>
          <w:tcPr>
            <w:tcW w:w="80" w:type="dxa"/>
            <w:vAlign w:val="bottom"/>
            <w:shd w:val="clear" w:color="auto" w:fill="CCEEFF"/>
          </w:tcPr>
          <w:p>
            <w:pPr>
              <w:spacing w:after="0"/>
              <w:rPr>
                <w:sz w:val="15"/>
                <w:szCs w:val="15"/>
                <w:color w:val="auto"/>
              </w:rPr>
            </w:pPr>
          </w:p>
        </w:tc>
      </w:tr>
      <w:tr>
        <w:trPr>
          <w:trHeight w:val="166"/>
        </w:trPr>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Executive bonus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Pr>
          <w:p>
            <w:pPr>
              <w:spacing w:after="0"/>
              <w:rPr>
                <w:sz w:val="14"/>
                <w:szCs w:val="14"/>
                <w:color w:val="auto"/>
              </w:rPr>
            </w:pPr>
          </w:p>
        </w:tc>
        <w:tc>
          <w:tcPr>
            <w:tcW w:w="15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38.0</w:t>
            </w:r>
          </w:p>
        </w:tc>
        <w:tc>
          <w:tcPr>
            <w:tcW w:w="80" w:type="dxa"/>
            <w:vAlign w:val="bottom"/>
          </w:tcPr>
          <w:p>
            <w:pPr>
              <w:spacing w:after="0"/>
              <w:rPr>
                <w:sz w:val="14"/>
                <w:szCs w:val="14"/>
                <w:color w:val="auto"/>
              </w:rPr>
            </w:pPr>
          </w:p>
        </w:tc>
      </w:tr>
      <w:tr>
        <w:trPr>
          <w:trHeight w:val="176"/>
        </w:trPr>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Equity compensation</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5"/>
                <w:szCs w:val="15"/>
                <w:color w:val="auto"/>
              </w:rPr>
            </w:pPr>
          </w:p>
        </w:tc>
      </w:tr>
      <w:tr>
        <w:trPr>
          <w:trHeight w:val="167"/>
        </w:trPr>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Professional</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80" w:type="dxa"/>
            <w:vAlign w:val="bottom"/>
          </w:tcPr>
          <w:p>
            <w:pPr>
              <w:spacing w:after="0"/>
              <w:rPr>
                <w:sz w:val="14"/>
                <w:szCs w:val="14"/>
                <w:color w:val="auto"/>
              </w:rPr>
            </w:pPr>
          </w:p>
        </w:tc>
        <w:tc>
          <w:tcPr>
            <w:tcW w:w="15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76.6</w:t>
            </w:r>
          </w:p>
        </w:tc>
        <w:tc>
          <w:tcPr>
            <w:tcW w:w="80" w:type="dxa"/>
            <w:vAlign w:val="bottom"/>
          </w:tcPr>
          <w:p>
            <w:pPr>
              <w:spacing w:after="0"/>
              <w:rPr>
                <w:sz w:val="14"/>
                <w:szCs w:val="14"/>
                <w:color w:val="auto"/>
              </w:rPr>
            </w:pPr>
          </w:p>
        </w:tc>
      </w:tr>
      <w:tr>
        <w:trPr>
          <w:trHeight w:val="175"/>
        </w:trPr>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Directors fees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shd w:val="clear" w:color="auto" w:fill="CCEEFF"/>
          </w:tcPr>
          <w:p>
            <w:pPr>
              <w:spacing w:after="0"/>
              <w:rPr>
                <w:sz w:val="15"/>
                <w:szCs w:val="15"/>
                <w:color w:val="auto"/>
              </w:rPr>
            </w:pPr>
          </w:p>
        </w:tc>
      </w:tr>
      <w:tr>
        <w:trPr>
          <w:trHeight w:val="167"/>
        </w:trPr>
        <w:tc>
          <w:tcPr>
            <w:tcW w:w="49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Insurance</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4"/>
                <w:szCs w:val="14"/>
                <w:color w:val="auto"/>
              </w:rPr>
            </w:pPr>
          </w:p>
        </w:tc>
        <w:tc>
          <w:tcPr>
            <w:tcW w:w="1580" w:type="dxa"/>
            <w:vAlign w:val="bottom"/>
          </w:tcPr>
          <w:p>
            <w:pPr>
              <w:ind w:left="1160"/>
              <w:spacing w:after="0"/>
              <w:rPr>
                <w:sz w:val="20"/>
                <w:szCs w:val="20"/>
                <w:color w:val="auto"/>
              </w:rPr>
            </w:pPr>
            <w:r>
              <w:rPr>
                <w:rFonts w:ascii="Times New Roman" w:cs="Times New Roman" w:eastAsia="Times New Roman" w:hAnsi="Times New Roman"/>
                <w:sz w:val="12"/>
                <w:szCs w:val="12"/>
                <w:color w:val="auto"/>
              </w:rPr>
              <w:t>(21.9)</w:t>
            </w:r>
          </w:p>
        </w:tc>
        <w:tc>
          <w:tcPr>
            <w:tcW w:w="80" w:type="dxa"/>
            <w:vAlign w:val="bottom"/>
          </w:tcPr>
          <w:p>
            <w:pPr>
              <w:spacing w:after="0"/>
              <w:rPr>
                <w:sz w:val="14"/>
                <w:szCs w:val="14"/>
                <w:color w:val="auto"/>
              </w:rPr>
            </w:pPr>
          </w:p>
        </w:tc>
      </w:tr>
      <w:tr>
        <w:trPr>
          <w:trHeight w:val="175"/>
        </w:trPr>
        <w:tc>
          <w:tcPr>
            <w:tcW w:w="4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2"/>
                <w:szCs w:val="12"/>
                <w:color w:val="auto"/>
              </w:rPr>
              <w:t>(41.1)</w:t>
            </w:r>
          </w:p>
        </w:tc>
        <w:tc>
          <w:tcPr>
            <w:tcW w:w="80" w:type="dxa"/>
            <w:vAlign w:val="bottom"/>
            <w:shd w:val="clear" w:color="auto" w:fill="CCEEFF"/>
          </w:tcPr>
          <w:p>
            <w:pPr>
              <w:spacing w:after="0"/>
              <w:rPr>
                <w:sz w:val="15"/>
                <w:szCs w:val="15"/>
                <w:color w:val="auto"/>
              </w:rPr>
            </w:pPr>
          </w:p>
        </w:tc>
      </w:tr>
      <w:tr>
        <w:trPr>
          <w:trHeight w:val="167"/>
        </w:trPr>
        <w:tc>
          <w:tcPr>
            <w:tcW w:w="49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2"/>
                <w:szCs w:val="12"/>
                <w:color w:val="auto"/>
              </w:rPr>
              <w:t>Other expenses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627</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33.2</w:t>
            </w:r>
          </w:p>
        </w:tc>
        <w:tc>
          <w:tcPr>
            <w:tcW w:w="80" w:type="dxa"/>
            <w:vAlign w:val="bottom"/>
            <w:tcBorders>
              <w:bottom w:val="single" w:sz="8" w:color="CCEEFF"/>
            </w:tcBorders>
          </w:tcPr>
          <w:p>
            <w:pPr>
              <w:spacing w:after="0"/>
              <w:rPr>
                <w:sz w:val="14"/>
                <w:szCs w:val="14"/>
                <w:color w:val="auto"/>
              </w:rPr>
            </w:pPr>
          </w:p>
        </w:tc>
      </w:tr>
      <w:tr>
        <w:trPr>
          <w:trHeight w:val="181"/>
        </w:trPr>
        <w:tc>
          <w:tcPr>
            <w:tcW w:w="49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other operating expenses</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4,105</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12.9 %</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(Components may not sum to totals due to rounding)</w:t>
      </w:r>
    </w:p>
    <w:p>
      <w:pPr>
        <w:spacing w:after="0" w:line="14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2"/>
          <w:szCs w:val="12"/>
          <w:color w:val="auto"/>
        </w:rPr>
        <w:t>The increase in the Year Ended 2025 of $470,000, or 12.9%, as compared to the Year Ended 2024 was primarily due to an increase in professional fees, other expenses and equity compensation, partially offset by a decrease in employment costs and loss on extinguishment of debt. The increase in equity compensation is due to additional restricted stock awards granted to our senior leadership team as of December 31, 2025 pursuant to our employee bonus plan. The increase in professional fees is due to incurring additional expenses related to our upcoming requirement for the audit of our internal controls over financial reporting. The increase in other expenses in the Year Ended 2025 of $208,000 represents $219,000 of warrant costs following the exercise of the warrants in December 2025, compared to $0 in the Year Ended 2024. The loss on extinguishment of debt is due to the balance of unamortized debt issue costs upon the prepayment of the 2024 Notes in the Year Ended 2025 and Year Ended 2024 as disclosed in Note 9 to the consolidated financial statements. The decrease in employment costs was due to fluctuations in deferred compensation liability in the Year Ended 2024 related to changes in the underlying invested portfolio. The deferred compensation plan was terminated in the Year Ended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Depreciation and Amortization</w:t>
      </w:r>
    </w:p>
    <w:p>
      <w:pPr>
        <w:spacing w:after="0" w:line="14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was $2,560,000 in the Year Ended 2025 compared to $2,449,000 in the Year Ended 2024. The increase of $111,000, or 4.5%, in depreciation and amortization was primarily due to the difference between additional depreciation on software acquired compared to software being fully depreciated.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Interest Expense</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Interest expense in the Year Ended 2025 was $445,000 compared to $3,514,000 in the Year Ended 2024, a decrease of $3,069,000 or 87.3%. In the Year Ended 2025 and the Year Ended 2024, as disclosed in Note 9 to the consolidated financial statements, we incurred interest expense in connection with the 2024 Notes and the 12.00% Senior Notes due 2024 (the "2022 Notes"), respectively. The 2022 Notes provided for interest at the rate of 12% per annum. In September 2024, in accordance with the 2024 Exchange Agreement, we paid $5,000,000 of principal on the 2022 Notes, reducing the principal balance to $14,950,000 from $19,950,000. Under the 2024 Exchange Agreement, the balance of the 2022 Notes were exchanged for the 2024 Notes, which provided for interest at the rate of 13.75% per annum. Beginning in the third quarter of 2024 through February 2025, we paid optional principal amounts, reducing the balance of the 2024 Notes, and completely satisfying the obligation on February 24, 2025. In addition, we also incurred interest expense on the 2022 equipment financing.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Income Tax Expense</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Income tax expense in the Year Ended 2025 was $10,279,000, which resulted in an effective tax rate of 20.1%. Income tax expense in the Year Ended 2024 was $4,930,000, which resulted in an effective tax rate of 21.2%. The difference in effective tax rate is due to the effect of permanent differences in the Year Ended 2025 compared to the Year Ended 2024. In the Year Ended 2025, the vesting of restricted stock awards resulted in an income tax benefit, due to the increase in the stock price on the vesting date as compared to the grant date, which had the effect of reducing the effective tax rate. In the Year Ended 2024, the vesting of restricted stock awards resulted in additional income tax, due to the decrease in the stock price on the vesting date as compared to the grant date, which had the effect of increasing the effective tax rate</w:t>
      </w:r>
      <w:r>
        <w:rPr>
          <w:rFonts w:ascii="Times New Roman" w:cs="Times New Roman" w:eastAsia="Times New Roman" w:hAnsi="Times New Roman"/>
          <w:sz w:val="10"/>
          <w:szCs w:val="10"/>
          <w:color w:val="auto"/>
        </w:rPr>
        <w:t>.</w:t>
      </w:r>
    </w:p>
    <w:p>
      <w:pPr>
        <w:spacing w:after="0" w:line="1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Net income was $40,767,000 in the Year Ended 2025 compared to net income of $18,358,000 in the Year Ended 2024. The increase in net income of $22,409,000 was due to the items described above.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2" w:name="page43"/>
    <w:bookmarkEnd w:id="42"/>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Additional Financial Information</w:t>
      </w:r>
    </w:p>
    <w:p>
      <w:pPr>
        <w:spacing w:after="0" w:line="145" w:lineRule="exact"/>
        <w:rPr>
          <w:sz w:val="20"/>
          <w:szCs w:val="20"/>
          <w:color w:val="auto"/>
        </w:rPr>
      </w:pPr>
    </w:p>
    <w:p>
      <w:pPr>
        <w:ind w:left="8" w:firstLine="405"/>
        <w:spacing w:after="0" w:line="279" w:lineRule="auto"/>
        <w:rPr>
          <w:sz w:val="20"/>
          <w:szCs w:val="20"/>
          <w:color w:val="auto"/>
        </w:rPr>
      </w:pPr>
      <w:r>
        <w:rPr>
          <w:rFonts w:ascii="Times New Roman" w:cs="Times New Roman" w:eastAsia="Times New Roman" w:hAnsi="Times New Roman"/>
          <w:sz w:val="12"/>
          <w:szCs w:val="12"/>
          <w:color w:val="auto"/>
        </w:rPr>
        <w:t>We operate our business as one segment, property and casualty insurance. Within this segment, we offer an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spacing w:after="0" w:line="134" w:lineRule="exact"/>
        <w:rPr>
          <w:sz w:val="20"/>
          <w:szCs w:val="20"/>
          <w:color w:val="auto"/>
        </w:rPr>
      </w:pPr>
    </w:p>
    <w:p>
      <w:pPr>
        <w:ind w:left="9148"/>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13" w:lineRule="exact"/>
        <w:rPr>
          <w:sz w:val="20"/>
          <w:szCs w:val="20"/>
          <w:color w:val="auto"/>
        </w:rPr>
      </w:pPr>
    </w:p>
    <w:p>
      <w:pPr>
        <w:ind w:left="9128"/>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8"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r>
      <w:tr>
        <w:trPr>
          <w:trHeight w:val="156"/>
        </w:trPr>
        <w:tc>
          <w:tcPr>
            <w:tcW w:w="7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Direct written premiums(1):</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263,187,529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227,642,802</w:t>
            </w:r>
          </w:p>
        </w:tc>
        <w:tc>
          <w:tcPr>
            <w:tcW w:w="80" w:type="dxa"/>
            <w:vAlign w:val="bottom"/>
            <w:shd w:val="clear" w:color="auto" w:fill="CCEEFF"/>
          </w:tcPr>
          <w:p>
            <w:pPr>
              <w:spacing w:after="0"/>
              <w:rPr>
                <w:sz w:val="15"/>
                <w:szCs w:val="15"/>
                <w:color w:val="auto"/>
              </w:rPr>
            </w:pPr>
          </w:p>
        </w:tc>
      </w:tr>
      <w:tr>
        <w:trPr>
          <w:trHeight w:val="166"/>
        </w:trPr>
        <w:tc>
          <w:tcPr>
            <w:tcW w:w="7720" w:type="dxa"/>
            <w:vAlign w:val="bottom"/>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400" w:type="dxa"/>
            <w:vAlign w:val="bottom"/>
          </w:tcPr>
          <w:p>
            <w:pPr>
              <w:spacing w:after="0"/>
              <w:rPr>
                <w:sz w:val="14"/>
                <w:szCs w:val="14"/>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14,549,889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14,248,462</w:t>
            </w:r>
          </w:p>
        </w:tc>
        <w:tc>
          <w:tcPr>
            <w:tcW w:w="80" w:type="dxa"/>
            <w:vAlign w:val="bottom"/>
          </w:tcPr>
          <w:p>
            <w:pPr>
              <w:spacing w:after="0"/>
              <w:rPr>
                <w:sz w:val="14"/>
                <w:szCs w:val="14"/>
                <w:color w:val="auto"/>
              </w:rPr>
            </w:pPr>
          </w:p>
        </w:tc>
      </w:tr>
      <w:tr>
        <w:trPr>
          <w:trHeight w:val="17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Other(1)</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63,212</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88,673</w:t>
            </w:r>
          </w:p>
        </w:tc>
        <w:tc>
          <w:tcPr>
            <w:tcW w:w="80" w:type="dxa"/>
            <w:vAlign w:val="bottom"/>
            <w:shd w:val="clear" w:color="auto" w:fill="CCEEFF"/>
          </w:tcPr>
          <w:p>
            <w:pPr>
              <w:spacing w:after="0"/>
              <w:rPr>
                <w:sz w:val="15"/>
                <w:szCs w:val="15"/>
                <w:color w:val="auto"/>
              </w:rPr>
            </w:pPr>
          </w:p>
        </w:tc>
      </w:tr>
      <w:tr>
        <w:trPr>
          <w:trHeight w:val="178"/>
        </w:trPr>
        <w:tc>
          <w:tcPr>
            <w:tcW w:w="7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Total direct written premiums(1)</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277,800,630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241,979,937</w:t>
            </w:r>
          </w:p>
        </w:tc>
        <w:tc>
          <w:tcPr>
            <w:tcW w:w="80" w:type="dxa"/>
            <w:vAlign w:val="bottom"/>
            <w:tcBorders>
              <w:bottom w:val="single" w:sz="8" w:color="CCEEFF"/>
            </w:tcBorders>
          </w:tcPr>
          <w:p>
            <w:pPr>
              <w:spacing w:after="0"/>
              <w:rPr>
                <w:sz w:val="15"/>
                <w:szCs w:val="15"/>
                <w:color w:val="auto"/>
              </w:rPr>
            </w:pPr>
          </w:p>
        </w:tc>
      </w:tr>
      <w:tr>
        <w:trPr>
          <w:trHeight w:val="160"/>
        </w:trPr>
        <w:tc>
          <w:tcPr>
            <w:tcW w:w="7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7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premiums written(1):</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199,111,560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139,914,970</w:t>
            </w:r>
          </w:p>
        </w:tc>
        <w:tc>
          <w:tcPr>
            <w:tcW w:w="80" w:type="dxa"/>
            <w:vAlign w:val="bottom"/>
            <w:shd w:val="clear" w:color="auto" w:fill="CCEEFF"/>
          </w:tcPr>
          <w:p>
            <w:pPr>
              <w:spacing w:after="0"/>
              <w:rPr>
                <w:sz w:val="15"/>
                <w:szCs w:val="15"/>
                <w:color w:val="auto"/>
              </w:rPr>
            </w:pPr>
          </w:p>
        </w:tc>
      </w:tr>
      <w:tr>
        <w:trPr>
          <w:trHeight w:val="166"/>
        </w:trPr>
        <w:tc>
          <w:tcPr>
            <w:tcW w:w="7720" w:type="dxa"/>
            <w:vAlign w:val="bottom"/>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400" w:type="dxa"/>
            <w:vAlign w:val="bottom"/>
          </w:tcPr>
          <w:p>
            <w:pPr>
              <w:spacing w:after="0"/>
              <w:rPr>
                <w:sz w:val="14"/>
                <w:szCs w:val="14"/>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14,549,889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14,248,462</w:t>
            </w:r>
          </w:p>
        </w:tc>
        <w:tc>
          <w:tcPr>
            <w:tcW w:w="80" w:type="dxa"/>
            <w:vAlign w:val="bottom"/>
          </w:tcPr>
          <w:p>
            <w:pPr>
              <w:spacing w:after="0"/>
              <w:rPr>
                <w:sz w:val="14"/>
                <w:szCs w:val="14"/>
                <w:color w:val="auto"/>
              </w:rPr>
            </w:pPr>
          </w:p>
        </w:tc>
      </w:tr>
      <w:tr>
        <w:trPr>
          <w:trHeight w:val="17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Other(2)</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57,617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66,433</w:t>
            </w:r>
          </w:p>
        </w:tc>
        <w:tc>
          <w:tcPr>
            <w:tcW w:w="80" w:type="dxa"/>
            <w:vAlign w:val="bottom"/>
            <w:shd w:val="clear" w:color="auto" w:fill="CCEEFF"/>
          </w:tcPr>
          <w:p>
            <w:pPr>
              <w:spacing w:after="0"/>
              <w:rPr>
                <w:sz w:val="15"/>
                <w:szCs w:val="15"/>
                <w:color w:val="auto"/>
              </w:rPr>
            </w:pPr>
          </w:p>
        </w:tc>
      </w:tr>
      <w:tr>
        <w:trPr>
          <w:trHeight w:val="178"/>
        </w:trPr>
        <w:tc>
          <w:tcPr>
            <w:tcW w:w="7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Total net premiums written</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213,719,066</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154,229,865</w:t>
            </w:r>
          </w:p>
        </w:tc>
        <w:tc>
          <w:tcPr>
            <w:tcW w:w="80" w:type="dxa"/>
            <w:vAlign w:val="bottom"/>
            <w:tcBorders>
              <w:bottom w:val="single" w:sz="8" w:color="CCEEFF"/>
            </w:tcBorders>
          </w:tcPr>
          <w:p>
            <w:pPr>
              <w:spacing w:after="0"/>
              <w:rPr>
                <w:sz w:val="15"/>
                <w:szCs w:val="15"/>
                <w:color w:val="auto"/>
              </w:rPr>
            </w:pPr>
          </w:p>
        </w:tc>
      </w:tr>
      <w:tr>
        <w:trPr>
          <w:trHeight w:val="160"/>
        </w:trPr>
        <w:tc>
          <w:tcPr>
            <w:tcW w:w="7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7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premiums earned:</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172,418,801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113,876,043</w:t>
            </w:r>
          </w:p>
        </w:tc>
        <w:tc>
          <w:tcPr>
            <w:tcW w:w="80" w:type="dxa"/>
            <w:vAlign w:val="bottom"/>
            <w:shd w:val="clear" w:color="auto" w:fill="CCEEFF"/>
          </w:tcPr>
          <w:p>
            <w:pPr>
              <w:spacing w:after="0"/>
              <w:rPr>
                <w:sz w:val="15"/>
                <w:szCs w:val="15"/>
                <w:color w:val="auto"/>
              </w:rPr>
            </w:pPr>
          </w:p>
        </w:tc>
      </w:tr>
      <w:tr>
        <w:trPr>
          <w:trHeight w:val="166"/>
        </w:trPr>
        <w:tc>
          <w:tcPr>
            <w:tcW w:w="7720" w:type="dxa"/>
            <w:vAlign w:val="bottom"/>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400" w:type="dxa"/>
            <w:vAlign w:val="bottom"/>
          </w:tcPr>
          <w:p>
            <w:pPr>
              <w:spacing w:after="0"/>
              <w:rPr>
                <w:sz w:val="14"/>
                <w:szCs w:val="14"/>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14,643,437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14,550,160</w:t>
            </w:r>
          </w:p>
        </w:tc>
        <w:tc>
          <w:tcPr>
            <w:tcW w:w="80" w:type="dxa"/>
            <w:vAlign w:val="bottom"/>
          </w:tcPr>
          <w:p>
            <w:pPr>
              <w:spacing w:after="0"/>
              <w:rPr>
                <w:sz w:val="14"/>
                <w:szCs w:val="14"/>
                <w:color w:val="auto"/>
              </w:rPr>
            </w:pPr>
          </w:p>
        </w:tc>
      </w:tr>
      <w:tr>
        <w:trPr>
          <w:trHeight w:val="17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Other(2)</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64,484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71,717</w:t>
            </w:r>
          </w:p>
        </w:tc>
        <w:tc>
          <w:tcPr>
            <w:tcW w:w="80" w:type="dxa"/>
            <w:vAlign w:val="bottom"/>
            <w:shd w:val="clear" w:color="auto" w:fill="CCEEFF"/>
          </w:tcPr>
          <w:p>
            <w:pPr>
              <w:spacing w:after="0"/>
              <w:rPr>
                <w:sz w:val="15"/>
                <w:szCs w:val="15"/>
                <w:color w:val="auto"/>
              </w:rPr>
            </w:pPr>
          </w:p>
        </w:tc>
      </w:tr>
      <w:tr>
        <w:trPr>
          <w:trHeight w:val="178"/>
        </w:trPr>
        <w:tc>
          <w:tcPr>
            <w:tcW w:w="7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Total net premiums earned</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187,126,722</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128,497,920</w:t>
            </w:r>
          </w:p>
        </w:tc>
        <w:tc>
          <w:tcPr>
            <w:tcW w:w="80" w:type="dxa"/>
            <w:vAlign w:val="bottom"/>
            <w:tcBorders>
              <w:bottom w:val="single" w:sz="8" w:color="CCEEFF"/>
            </w:tcBorders>
          </w:tcPr>
          <w:p>
            <w:pPr>
              <w:spacing w:after="0"/>
              <w:rPr>
                <w:sz w:val="15"/>
                <w:szCs w:val="15"/>
                <w:color w:val="auto"/>
              </w:rPr>
            </w:pPr>
          </w:p>
        </w:tc>
      </w:tr>
      <w:tr>
        <w:trPr>
          <w:trHeight w:val="160"/>
        </w:trPr>
        <w:tc>
          <w:tcPr>
            <w:tcW w:w="7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7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loss and loss adjustment expenses(4):</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70,481,180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49,268,714</w:t>
            </w:r>
          </w:p>
        </w:tc>
        <w:tc>
          <w:tcPr>
            <w:tcW w:w="80" w:type="dxa"/>
            <w:vAlign w:val="bottom"/>
            <w:shd w:val="clear" w:color="auto" w:fill="CCEEFF"/>
          </w:tcPr>
          <w:p>
            <w:pPr>
              <w:spacing w:after="0"/>
              <w:rPr>
                <w:sz w:val="15"/>
                <w:szCs w:val="15"/>
                <w:color w:val="auto"/>
              </w:rPr>
            </w:pPr>
          </w:p>
        </w:tc>
      </w:tr>
      <w:tr>
        <w:trPr>
          <w:trHeight w:val="167"/>
        </w:trPr>
        <w:tc>
          <w:tcPr>
            <w:tcW w:w="7720" w:type="dxa"/>
            <w:vAlign w:val="bottom"/>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400" w:type="dxa"/>
            <w:vAlign w:val="bottom"/>
          </w:tcPr>
          <w:p>
            <w:pPr>
              <w:spacing w:after="0"/>
              <w:rPr>
                <w:sz w:val="14"/>
                <w:szCs w:val="14"/>
                <w:color w:val="auto"/>
              </w:rPr>
            </w:pPr>
          </w:p>
        </w:tc>
        <w:tc>
          <w:tcPr>
            <w:tcW w:w="13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5,617,684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6,158,197</w:t>
            </w:r>
          </w:p>
        </w:tc>
        <w:tc>
          <w:tcPr>
            <w:tcW w:w="80" w:type="dxa"/>
            <w:vAlign w:val="bottom"/>
          </w:tcPr>
          <w:p>
            <w:pPr>
              <w:spacing w:after="0"/>
              <w:rPr>
                <w:sz w:val="14"/>
                <w:szCs w:val="14"/>
                <w:color w:val="auto"/>
              </w:rPr>
            </w:pPr>
          </w:p>
        </w:tc>
      </w:tr>
      <w:tr>
        <w:trPr>
          <w:trHeight w:val="175"/>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Other(2)</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(34,237)</w:t>
            </w:r>
          </w:p>
        </w:tc>
        <w:tc>
          <w:tcPr>
            <w:tcW w:w="80" w:type="dxa"/>
            <w:vAlign w:val="bottom"/>
            <w:shd w:val="clear" w:color="auto" w:fill="CCEEFF"/>
          </w:tcPr>
          <w:p>
            <w:pPr>
              <w:spacing w:after="0"/>
              <w:rPr>
                <w:sz w:val="15"/>
                <w:szCs w:val="15"/>
                <w:color w:val="auto"/>
              </w:rPr>
            </w:pPr>
          </w:p>
        </w:tc>
      </w:tr>
      <w:tr>
        <w:trPr>
          <w:trHeight w:val="167"/>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Unallocated loss adjustment expenses</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5,986,975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4,926,243</w:t>
            </w:r>
          </w:p>
        </w:tc>
        <w:tc>
          <w:tcPr>
            <w:tcW w:w="80" w:type="dxa"/>
            <w:vAlign w:val="bottom"/>
            <w:tcBorders>
              <w:bottom w:val="single" w:sz="8" w:color="CCEEFF"/>
            </w:tcBorders>
          </w:tcPr>
          <w:p>
            <w:pPr>
              <w:spacing w:after="0"/>
              <w:rPr>
                <w:sz w:val="14"/>
                <w:szCs w:val="14"/>
                <w:color w:val="auto"/>
              </w:rPr>
            </w:pPr>
          </w:p>
        </w:tc>
      </w:tr>
      <w:tr>
        <w:trPr>
          <w:trHeight w:val="164"/>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without commercial lines</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82,085,711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60,318,917</w:t>
            </w:r>
          </w:p>
        </w:tc>
        <w:tc>
          <w:tcPr>
            <w:tcW w:w="80" w:type="dxa"/>
            <w:vAlign w:val="bottom"/>
            <w:shd w:val="clear" w:color="auto" w:fill="CCEEFF"/>
          </w:tcPr>
          <w:p>
            <w:pPr>
              <w:spacing w:after="0"/>
              <w:rPr>
                <w:sz w:val="14"/>
                <w:szCs w:val="14"/>
                <w:color w:val="auto"/>
              </w:rPr>
            </w:pPr>
          </w:p>
        </w:tc>
      </w:tr>
      <w:tr>
        <w:trPr>
          <w:trHeight w:val="166"/>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Commercial lines (in run-off effective July 2019)(2)</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2,180,011</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rPr>
              <w:t>2,315,799</w:t>
            </w:r>
          </w:p>
        </w:tc>
        <w:tc>
          <w:tcPr>
            <w:tcW w:w="80" w:type="dxa"/>
            <w:vAlign w:val="bottom"/>
            <w:tcBorders>
              <w:bottom w:val="single" w:sz="8" w:color="CCEEFF"/>
            </w:tcBorders>
          </w:tcPr>
          <w:p>
            <w:pPr>
              <w:spacing w:after="0"/>
              <w:rPr>
                <w:sz w:val="14"/>
                <w:szCs w:val="14"/>
                <w:color w:val="auto"/>
              </w:rPr>
            </w:pPr>
          </w:p>
        </w:tc>
      </w:tr>
      <w:tr>
        <w:trPr>
          <w:trHeight w:val="181"/>
        </w:trPr>
        <w:tc>
          <w:tcPr>
            <w:tcW w:w="77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net loss and loss adjustment expenses</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84,265,722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62,634,716</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71"/>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ratio(4):</w:t>
            </w:r>
          </w:p>
        </w:tc>
        <w:tc>
          <w:tcPr>
            <w:tcW w:w="4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6"/>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4340" w:type="dxa"/>
            <w:vAlign w:val="bottom"/>
          </w:tcPr>
          <w:p>
            <w:pPr>
              <w:jc w:val="right"/>
              <w:ind w:right="680"/>
              <w:spacing w:after="0"/>
              <w:rPr>
                <w:sz w:val="20"/>
                <w:szCs w:val="20"/>
                <w:color w:val="auto"/>
              </w:rPr>
            </w:pPr>
            <w:r>
              <w:rPr>
                <w:rFonts w:ascii="Times New Roman" w:cs="Times New Roman" w:eastAsia="Times New Roman" w:hAnsi="Times New Roman"/>
                <w:sz w:val="12"/>
                <w:szCs w:val="12"/>
                <w:color w:val="auto"/>
              </w:rPr>
              <w:t>40.9%</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43.3%</w:t>
            </w:r>
          </w:p>
        </w:tc>
      </w:tr>
      <w:tr>
        <w:trPr>
          <w:trHeight w:val="17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Livery physical damage</w:t>
            </w:r>
          </w:p>
        </w:tc>
        <w:tc>
          <w:tcPr>
            <w:tcW w:w="43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38.4%</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42.3%</w:t>
            </w:r>
          </w:p>
        </w:tc>
      </w:tr>
      <w:tr>
        <w:trPr>
          <w:trHeight w:val="166"/>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Other(1)</w:t>
            </w:r>
          </w:p>
        </w:tc>
        <w:tc>
          <w:tcPr>
            <w:tcW w:w="434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(0.2%)</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(47.7%)</w:t>
            </w:r>
          </w:p>
        </w:tc>
      </w:tr>
      <w:tr>
        <w:trPr>
          <w:trHeight w:val="17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without commercial lines</w:t>
            </w:r>
          </w:p>
        </w:tc>
        <w:tc>
          <w:tcPr>
            <w:tcW w:w="43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43.9%</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46.9%</w:t>
            </w:r>
          </w:p>
        </w:tc>
      </w:tr>
      <w:tr>
        <w:trPr>
          <w:trHeight w:val="166"/>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Commercial lines (in run-off effective July 2019)(2)</w:t>
            </w:r>
          </w:p>
        </w:tc>
        <w:tc>
          <w:tcPr>
            <w:tcW w:w="4340" w:type="dxa"/>
            <w:vAlign w:val="bottom"/>
          </w:tcPr>
          <w:p>
            <w:pPr>
              <w:jc w:val="right"/>
              <w:ind w:right="640"/>
              <w:spacing w:after="0"/>
              <w:rPr>
                <w:sz w:val="20"/>
                <w:szCs w:val="20"/>
                <w:color w:val="auto"/>
              </w:rPr>
            </w:pPr>
            <w:r>
              <w:rPr>
                <w:rFonts w:ascii="Times New Roman" w:cs="Times New Roman" w:eastAsia="Times New Roman" w:hAnsi="Times New Roman"/>
                <w:sz w:val="12"/>
                <w:szCs w:val="12"/>
                <w:color w:val="auto"/>
              </w:rPr>
              <w:t>na</w:t>
            </w: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na</w:t>
            </w:r>
          </w:p>
        </w:tc>
      </w:tr>
      <w:tr>
        <w:trPr>
          <w:trHeight w:val="175"/>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43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color w:val="auto"/>
              </w:rPr>
              <w:t>45.0%</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48.7%</w:t>
            </w:r>
          </w:p>
        </w:tc>
      </w:tr>
    </w:tbl>
    <w:p>
      <w:pPr>
        <w:spacing w:after="0" w:line="133" w:lineRule="exact"/>
        <w:rPr>
          <w:sz w:val="20"/>
          <w:szCs w:val="20"/>
          <w:color w:val="auto"/>
        </w:rPr>
      </w:pPr>
    </w:p>
    <w:p>
      <w:pPr>
        <w:ind w:left="708" w:hanging="708"/>
        <w:spacing w:after="0" w:line="264" w:lineRule="auto"/>
        <w:tabs>
          <w:tab w:leader="none" w:pos="704"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written premiums and net written premiums are non-GAAP measures, defined above under "Key GAAP and Non-GAAP Measures". See "Non-GAAP Financial Measures" below for the reconciliation of direct written premiums, and net written premiums to the GAAP measure of net premiums earned.</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43" w:name="page44"/>
    <w:bookmarkEnd w:id="43"/>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708" w:hanging="708"/>
        <w:spacing w:after="0" w:line="253" w:lineRule="auto"/>
        <w:tabs>
          <w:tab w:leader="none" w:pos="704"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includes, among other things, premiums and loss and loss adjustment expenses from our participation in a mandatory state joint underwriting association and loss and loss adjustment expenses from commercial auto.</w:t>
      </w:r>
    </w:p>
    <w:p>
      <w:pPr>
        <w:ind w:left="688" w:hanging="688"/>
        <w:spacing w:after="0" w:line="234" w:lineRule="auto"/>
        <w:tabs>
          <w:tab w:leader="none" w:pos="68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July 2019, we stopped underwriting Commercial Liability risks. See discussions above regarding the discontinuation of this line of business.</w:t>
      </w:r>
    </w:p>
    <w:p>
      <w:pPr>
        <w:ind w:left="688" w:hanging="688"/>
        <w:spacing w:after="0"/>
        <w:tabs>
          <w:tab w:leader="none" w:pos="688"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discussions above with regard to “Net Loss and LAE”, as to catastrophe losses in the years ended December 31, 2025 and 2024.</w:t>
      </w:r>
    </w:p>
    <w:p>
      <w:pPr>
        <w:spacing w:after="0" w:line="3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 Underwriting Business on a Standalone Basis(1)</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Our insurance underwriting business reported on a standalone basis(1) for the years ended December 31, 2025 and 2024 follows:</w:t>
      </w:r>
    </w:p>
    <w:p>
      <w:pPr>
        <w:spacing w:after="0" w:line="182"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13"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35"/>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3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premiums earned</w:t>
            </w:r>
          </w:p>
        </w:tc>
        <w:tc>
          <w:tcPr>
            <w:tcW w:w="3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187,126,722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128,497,920</w:t>
            </w:r>
          </w:p>
        </w:tc>
      </w:tr>
      <w:tr>
        <w:trPr>
          <w:trHeight w:val="166"/>
        </w:trPr>
        <w:tc>
          <w:tcPr>
            <w:tcW w:w="4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Ceding commission revenue</w:t>
            </w: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15,674,971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18,837,946</w:t>
            </w:r>
          </w:p>
        </w:tc>
      </w:tr>
      <w:tr>
        <w:trPr>
          <w:trHeight w:val="17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investment income</w:t>
            </w:r>
          </w:p>
        </w:tc>
        <w:tc>
          <w:tcPr>
            <w:tcW w:w="3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9,798,764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6,823,590</w:t>
            </w:r>
          </w:p>
        </w:tc>
      </w:tr>
      <w:tr>
        <w:trPr>
          <w:trHeight w:val="167"/>
        </w:trPr>
        <w:tc>
          <w:tcPr>
            <w:tcW w:w="4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(losses) gains on investments</w:t>
            </w: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(309,994)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359,490</w:t>
            </w:r>
          </w:p>
        </w:tc>
      </w:tr>
      <w:tr>
        <w:trPr>
          <w:trHeight w:val="17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Gain on sale of real estate</w:t>
            </w:r>
          </w:p>
        </w:tc>
        <w:tc>
          <w:tcPr>
            <w:tcW w:w="3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1,965,989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 income</w:t>
            </w:r>
          </w:p>
        </w:tc>
        <w:tc>
          <w:tcPr>
            <w:tcW w:w="3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610,212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549,967</w:t>
            </w:r>
          </w:p>
        </w:tc>
      </w:tr>
      <w:tr>
        <w:trPr>
          <w:trHeight w:val="16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revenues</w:t>
            </w:r>
          </w:p>
        </w:tc>
        <w:tc>
          <w:tcPr>
            <w:tcW w:w="31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214,866,664</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155,068,913</w:t>
            </w:r>
          </w:p>
        </w:tc>
      </w:tr>
      <w:tr>
        <w:trPr>
          <w:trHeight w:val="164"/>
        </w:trPr>
        <w:tc>
          <w:tcPr>
            <w:tcW w:w="4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3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7"/>
        </w:trPr>
        <w:tc>
          <w:tcPr>
            <w:tcW w:w="4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84,265,722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62,634,716</w:t>
            </w:r>
          </w:p>
        </w:tc>
      </w:tr>
      <w:tr>
        <w:trPr>
          <w:trHeight w:val="17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Commission expense</w:t>
            </w:r>
          </w:p>
        </w:tc>
        <w:tc>
          <w:tcPr>
            <w:tcW w:w="3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40,726,801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33,929,333</w:t>
            </w:r>
          </w:p>
        </w:tc>
      </w:tr>
      <w:tr>
        <w:trPr>
          <w:trHeight w:val="166"/>
        </w:trPr>
        <w:tc>
          <w:tcPr>
            <w:tcW w:w="4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31,718,770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25,692,727</w:t>
            </w:r>
          </w:p>
        </w:tc>
      </w:tr>
      <w:tr>
        <w:trPr>
          <w:trHeight w:val="17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2,559,835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2,448,932</w:t>
            </w:r>
          </w:p>
        </w:tc>
      </w:tr>
      <w:tr>
        <w:trPr>
          <w:trHeight w:val="16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Interest expense</w:t>
            </w:r>
          </w:p>
        </w:tc>
        <w:tc>
          <w:tcPr>
            <w:tcW w:w="3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299,235</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368,664</w:t>
            </w:r>
          </w:p>
        </w:tc>
      </w:tr>
      <w:tr>
        <w:trPr>
          <w:trHeight w:val="16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expenses</w:t>
            </w:r>
          </w:p>
        </w:tc>
        <w:tc>
          <w:tcPr>
            <w:tcW w:w="31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159,570,363</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125,074,372</w:t>
            </w:r>
          </w:p>
        </w:tc>
      </w:tr>
      <w:tr>
        <w:trPr>
          <w:trHeight w:val="165"/>
        </w:trPr>
        <w:tc>
          <w:tcPr>
            <w:tcW w:w="47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Income from operations</w:t>
            </w:r>
          </w:p>
        </w:tc>
        <w:tc>
          <w:tcPr>
            <w:tcW w:w="3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55,296,301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29,994,541</w:t>
            </w:r>
          </w:p>
        </w:tc>
      </w:tr>
      <w:tr>
        <w:trPr>
          <w:trHeight w:val="167"/>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Income tax expense</w:t>
            </w:r>
          </w:p>
        </w:tc>
        <w:tc>
          <w:tcPr>
            <w:tcW w:w="3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11,460,903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6,412,686</w:t>
            </w:r>
          </w:p>
        </w:tc>
      </w:tr>
      <w:tr>
        <w:trPr>
          <w:trHeight w:val="18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from insurance underwriting business on a standalone basis(1)</w:t>
            </w:r>
          </w:p>
        </w:tc>
        <w:tc>
          <w:tcPr>
            <w:tcW w:w="3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43,835,398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23,581,855</w:t>
            </w:r>
          </w:p>
        </w:tc>
      </w:tr>
      <w:tr>
        <w:trPr>
          <w:trHeight w:val="162"/>
        </w:trPr>
        <w:tc>
          <w:tcPr>
            <w:tcW w:w="4700" w:type="dxa"/>
            <w:vAlign w:val="bottom"/>
            <w:tcBorders>
              <w:top w:val="single" w:sz="8" w:color="CCEEFF"/>
            </w:tcBorders>
          </w:tcPr>
          <w:p>
            <w:pPr>
              <w:spacing w:after="0"/>
              <w:rPr>
                <w:sz w:val="14"/>
                <w:szCs w:val="14"/>
                <w:color w:val="auto"/>
              </w:rPr>
            </w:pPr>
          </w:p>
        </w:tc>
        <w:tc>
          <w:tcPr>
            <w:tcW w:w="316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17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Key Measures:</w:t>
            </w:r>
          </w:p>
        </w:tc>
        <w:tc>
          <w:tcPr>
            <w:tcW w:w="3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66"/>
        </w:trPr>
        <w:tc>
          <w:tcPr>
            <w:tcW w:w="4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loss ratio</w:t>
            </w: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w:t>
            </w:r>
          </w:p>
        </w:tc>
      </w:tr>
      <w:tr>
        <w:trPr>
          <w:trHeight w:val="17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316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r>
      <w:tr>
        <w:trPr>
          <w:trHeight w:val="178"/>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Net combined ratio</w:t>
            </w:r>
          </w:p>
        </w:tc>
        <w:tc>
          <w:tcPr>
            <w:tcW w:w="316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80.0%</w:t>
            </w:r>
          </w:p>
        </w:tc>
      </w:tr>
      <w:tr>
        <w:trPr>
          <w:trHeight w:val="160"/>
        </w:trPr>
        <w:tc>
          <w:tcPr>
            <w:tcW w:w="470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7"/>
        </w:trPr>
        <w:tc>
          <w:tcPr>
            <w:tcW w:w="47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Reconciliation of net underwriting expense ratio:</w:t>
            </w: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Acquisition costs and other</w:t>
            </w:r>
          </w:p>
        </w:tc>
        <w:tc>
          <w:tcPr>
            <w:tcW w:w="3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7"/>
        </w:trPr>
        <w:tc>
          <w:tcPr>
            <w:tcW w:w="470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underwriting expenses</w:t>
            </w:r>
          </w:p>
        </w:tc>
        <w:tc>
          <w:tcPr>
            <w:tcW w:w="35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72,445,571</w:t>
            </w:r>
          </w:p>
        </w:tc>
        <w:tc>
          <w:tcPr>
            <w:tcW w:w="8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59,622,060</w:t>
            </w:r>
          </w:p>
        </w:tc>
      </w:tr>
      <w:tr>
        <w:trPr>
          <w:trHeight w:val="175"/>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Less: Ceding commission revenue</w:t>
            </w:r>
          </w:p>
        </w:tc>
        <w:tc>
          <w:tcPr>
            <w:tcW w:w="3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(15,674,971)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(18,837,946)</w:t>
            </w:r>
          </w:p>
        </w:tc>
      </w:tr>
      <w:tr>
        <w:trPr>
          <w:trHeight w:val="166"/>
        </w:trPr>
        <w:tc>
          <w:tcPr>
            <w:tcW w:w="4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Less: Other income</w:t>
            </w:r>
          </w:p>
        </w:tc>
        <w:tc>
          <w:tcPr>
            <w:tcW w:w="31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(610,212)</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(549,967)</w:t>
            </w:r>
          </w:p>
        </w:tc>
      </w:tr>
      <w:tr>
        <w:trPr>
          <w:trHeight w:val="181"/>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underwriting expenses</w:t>
            </w:r>
          </w:p>
        </w:tc>
        <w:tc>
          <w:tcPr>
            <w:tcW w:w="3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56,160,388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40,234,147</w:t>
            </w:r>
          </w:p>
        </w:tc>
      </w:tr>
      <w:tr>
        <w:trPr>
          <w:trHeight w:val="162"/>
        </w:trPr>
        <w:tc>
          <w:tcPr>
            <w:tcW w:w="4700" w:type="dxa"/>
            <w:vAlign w:val="bottom"/>
            <w:tcBorders>
              <w:top w:val="single" w:sz="8" w:color="CCEEFF"/>
            </w:tcBorders>
          </w:tcPr>
          <w:p>
            <w:pPr>
              <w:spacing w:after="0"/>
              <w:rPr>
                <w:sz w:val="14"/>
                <w:szCs w:val="14"/>
                <w:color w:val="auto"/>
              </w:rPr>
            </w:pPr>
          </w:p>
        </w:tc>
        <w:tc>
          <w:tcPr>
            <w:tcW w:w="316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187"/>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premiums earned</w:t>
            </w:r>
          </w:p>
        </w:tc>
        <w:tc>
          <w:tcPr>
            <w:tcW w:w="3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187,126,722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128,497,920</w:t>
            </w:r>
          </w:p>
        </w:tc>
      </w:tr>
      <w:tr>
        <w:trPr>
          <w:trHeight w:val="162"/>
        </w:trPr>
        <w:tc>
          <w:tcPr>
            <w:tcW w:w="4700" w:type="dxa"/>
            <w:vAlign w:val="bottom"/>
            <w:tcBorders>
              <w:top w:val="single" w:sz="8" w:color="CCEEFF"/>
            </w:tcBorders>
          </w:tcPr>
          <w:p>
            <w:pPr>
              <w:spacing w:after="0"/>
              <w:rPr>
                <w:sz w:val="14"/>
                <w:szCs w:val="14"/>
                <w:color w:val="auto"/>
              </w:rPr>
            </w:pPr>
          </w:p>
        </w:tc>
        <w:tc>
          <w:tcPr>
            <w:tcW w:w="316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189"/>
        </w:trPr>
        <w:tc>
          <w:tcPr>
            <w:tcW w:w="4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31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r>
      <w:tr>
        <w:trPr>
          <w:trHeight w:val="907"/>
        </w:trPr>
        <w:tc>
          <w:tcPr>
            <w:tcW w:w="4700" w:type="dxa"/>
            <w:vAlign w:val="bottom"/>
          </w:tcPr>
          <w:p>
            <w:pPr>
              <w:spacing w:after="0"/>
              <w:rPr>
                <w:sz w:val="24"/>
                <w:szCs w:val="24"/>
                <w:color w:val="auto"/>
              </w:rPr>
            </w:pPr>
          </w:p>
        </w:tc>
        <w:tc>
          <w:tcPr>
            <w:tcW w:w="3160" w:type="dxa"/>
            <w:vAlign w:val="bottom"/>
          </w:tcPr>
          <w:p>
            <w:pPr>
              <w:jc w:val="right"/>
              <w:ind w:right="2100"/>
              <w:spacing w:after="0"/>
              <w:rPr>
                <w:sz w:val="20"/>
                <w:szCs w:val="20"/>
                <w:color w:val="auto"/>
              </w:rPr>
            </w:pPr>
            <w:r>
              <w:rPr>
                <w:rFonts w:ascii="Times New Roman" w:cs="Times New Roman" w:eastAsia="Times New Roman" w:hAnsi="Times New Roman"/>
                <w:sz w:val="12"/>
                <w:szCs w:val="12"/>
                <w:color w:val="auto"/>
              </w:rPr>
              <w:t>45</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3"/>
        </w:trPr>
        <w:tc>
          <w:tcPr>
            <w:tcW w:w="4700" w:type="dxa"/>
            <w:vAlign w:val="bottom"/>
            <w:tcBorders>
              <w:bottom w:val="single" w:sz="8" w:color="9A9A9A"/>
            </w:tcBorders>
          </w:tcPr>
          <w:p>
            <w:pPr>
              <w:spacing w:after="0"/>
              <w:rPr>
                <w:sz w:val="5"/>
                <w:szCs w:val="5"/>
                <w:color w:val="auto"/>
              </w:rPr>
            </w:pPr>
          </w:p>
        </w:tc>
        <w:tc>
          <w:tcPr>
            <w:tcW w:w="31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firstLine="397"/>
        <w:spacing w:after="0" w:line="248" w:lineRule="auto"/>
        <w:tabs>
          <w:tab w:leader="none" w:pos="575"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from insurance underwriting business on a standalone basis is a non-GAAP measure, which is computed as GAAP net income without the effect of holding company operations on GAAP net income. See "Non-GAAP Financial Measures" for the reconciliation of net income from insurance underwriting business on a standalone basis to the GAAP measure of net income.</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An analysis of our direct, assumed and ceded earned premiums, loss and loss adjustment expenses, and loss ratios is shown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Direct</w:t>
            </w:r>
          </w:p>
        </w:tc>
        <w:tc>
          <w:tcPr>
            <w:tcW w:w="36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Assumed</w:t>
            </w:r>
          </w:p>
        </w:tc>
        <w:tc>
          <w:tcPr>
            <w:tcW w:w="380" w:type="dxa"/>
            <w:vAlign w:val="bottom"/>
          </w:tcPr>
          <w:p>
            <w:pPr>
              <w:spacing w:after="0"/>
              <w:rPr>
                <w:sz w:val="13"/>
                <w:szCs w:val="13"/>
                <w:color w:val="auto"/>
              </w:rPr>
            </w:pP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Ceded</w:t>
            </w:r>
          </w:p>
        </w:tc>
        <w:tc>
          <w:tcPr>
            <w:tcW w:w="420" w:type="dxa"/>
            <w:vAlign w:val="bottom"/>
          </w:tcPr>
          <w:p>
            <w:pPr>
              <w:spacing w:after="0"/>
              <w:rPr>
                <w:sz w:val="13"/>
                <w:szCs w:val="13"/>
                <w:color w:val="auto"/>
              </w:rPr>
            </w:pPr>
          </w:p>
        </w:tc>
        <w:tc>
          <w:tcPr>
            <w:tcW w:w="1340" w:type="dxa"/>
            <w:vAlign w:val="bottom"/>
          </w:tcPr>
          <w:p>
            <w:pPr>
              <w:jc w:val="right"/>
              <w:ind w:right="740"/>
              <w:spacing w:after="0"/>
              <w:rPr>
                <w:sz w:val="20"/>
                <w:szCs w:val="20"/>
                <w:color w:val="auto"/>
              </w:rPr>
            </w:pPr>
            <w:r>
              <w:rPr>
                <w:rFonts w:ascii="Times New Roman" w:cs="Times New Roman" w:eastAsia="Times New Roman" w:hAnsi="Times New Roman"/>
                <w:sz w:val="12"/>
                <w:szCs w:val="12"/>
                <w:b w:val="1"/>
                <w:bCs w:val="1"/>
                <w:color w:val="auto"/>
              </w:rPr>
              <w:t>Net</w:t>
            </w:r>
          </w:p>
        </w:tc>
      </w:tr>
      <w:tr>
        <w:trPr>
          <w:trHeight w:val="147"/>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 2025</w:t>
            </w:r>
          </w:p>
        </w:tc>
        <w:tc>
          <w:tcPr>
            <w:tcW w:w="3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r>
      <w:tr>
        <w:trPr>
          <w:trHeight w:val="17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Written premiums</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277,800,630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(64,081,564)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213,719,066</w:t>
            </w:r>
          </w:p>
        </w:tc>
      </w:tr>
      <w:tr>
        <w:trPr>
          <w:trHeight w:val="166"/>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(19,326,339)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(7,266,005)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(26,592,344)</w:t>
            </w:r>
          </w:p>
        </w:tc>
      </w:tr>
      <w:tr>
        <w:trPr>
          <w:trHeight w:val="181"/>
        </w:trPr>
        <w:tc>
          <w:tcPr>
            <w:tcW w:w="4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Earned premiums</w:t>
            </w: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258,474,291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(71,347,569)</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187,126,722</w:t>
            </w:r>
          </w:p>
        </w:tc>
      </w:tr>
      <w:tr>
        <w:trPr>
          <w:trHeight w:val="162"/>
        </w:trPr>
        <w:tc>
          <w:tcPr>
            <w:tcW w:w="4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 excluding</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66"/>
        </w:trPr>
        <w:tc>
          <w:tcPr>
            <w:tcW w:w="40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the effect of catastrophes</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100,707,653</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(18,614,871)</w:t>
            </w:r>
          </w:p>
        </w:tc>
        <w:tc>
          <w:tcPr>
            <w:tcW w:w="80" w:type="dxa"/>
            <w:vAlign w:val="bottom"/>
          </w:tcPr>
          <w:p>
            <w:pPr>
              <w:spacing w:after="0"/>
              <w:rPr>
                <w:sz w:val="14"/>
                <w:szCs w:val="14"/>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82,092,782</w:t>
            </w:r>
          </w:p>
        </w:tc>
      </w:tr>
      <w:tr>
        <w:trPr>
          <w:trHeight w:val="17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Catastrophe loss</w:t>
            </w: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2,577,920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(404,980)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2,172,940</w:t>
            </w:r>
          </w:p>
        </w:tc>
      </w:tr>
      <w:tr>
        <w:trPr>
          <w:trHeight w:val="178"/>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103,285,573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(19,019,851)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84,265,722</w:t>
            </w:r>
          </w:p>
        </w:tc>
      </w:tr>
      <w:tr>
        <w:trPr>
          <w:trHeight w:val="160"/>
        </w:trPr>
        <w:tc>
          <w:tcPr>
            <w:tcW w:w="40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66"/>
        </w:trPr>
        <w:tc>
          <w:tcPr>
            <w:tcW w:w="4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ratio excluding the effect of catastrophes(2)</w:t>
            </w: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r>
      <w:tr>
        <w:trPr>
          <w:trHeight w:val="17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Catastrophe loss</w:t>
            </w: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0.6 %</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78"/>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Loss ratio</w:t>
            </w: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26.7 %</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w:t>
            </w:r>
          </w:p>
        </w:tc>
      </w:tr>
      <w:tr>
        <w:trPr>
          <w:trHeight w:val="160"/>
        </w:trPr>
        <w:tc>
          <w:tcPr>
            <w:tcW w:w="40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66"/>
        </w:trPr>
        <w:tc>
          <w:tcPr>
            <w:tcW w:w="4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Written premiums</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241,979,937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(87,750,072)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154,229,865</w:t>
            </w:r>
          </w:p>
        </w:tc>
      </w:tr>
      <w:tr>
        <w:trPr>
          <w:trHeight w:val="166"/>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(29,080,195)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3,348,250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(25,731,945)</w:t>
            </w:r>
          </w:p>
        </w:tc>
      </w:tr>
      <w:tr>
        <w:trPr>
          <w:trHeight w:val="181"/>
        </w:trPr>
        <w:tc>
          <w:tcPr>
            <w:tcW w:w="4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Earned premiums</w:t>
            </w: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212,899,742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(84,401,822)</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128,497,920</w:t>
            </w:r>
          </w:p>
        </w:tc>
      </w:tr>
      <w:tr>
        <w:trPr>
          <w:trHeight w:val="162"/>
        </w:trPr>
        <w:tc>
          <w:tcPr>
            <w:tcW w:w="4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 excluding</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66"/>
        </w:trPr>
        <w:tc>
          <w:tcPr>
            <w:tcW w:w="40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the effect of catastrophes</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79,477,309</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(19,296,752)</w:t>
            </w:r>
          </w:p>
        </w:tc>
        <w:tc>
          <w:tcPr>
            <w:tcW w:w="80" w:type="dxa"/>
            <w:vAlign w:val="bottom"/>
          </w:tcPr>
          <w:p>
            <w:pPr>
              <w:spacing w:after="0"/>
              <w:rPr>
                <w:sz w:val="14"/>
                <w:szCs w:val="14"/>
                <w:color w:val="auto"/>
              </w:rPr>
            </w:pP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60,180,557</w:t>
            </w:r>
          </w:p>
        </w:tc>
      </w:tr>
      <w:tr>
        <w:trPr>
          <w:trHeight w:val="17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Catastrophe loss</w:t>
            </w: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3,388,937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(934,778)</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2,454,159</w:t>
            </w:r>
          </w:p>
        </w:tc>
      </w:tr>
      <w:tr>
        <w:trPr>
          <w:trHeight w:val="178"/>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82,866,246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(20,231,530)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62,634,716</w:t>
            </w:r>
          </w:p>
        </w:tc>
      </w:tr>
      <w:tr>
        <w:trPr>
          <w:trHeight w:val="160"/>
        </w:trPr>
        <w:tc>
          <w:tcPr>
            <w:tcW w:w="40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66"/>
        </w:trPr>
        <w:tc>
          <w:tcPr>
            <w:tcW w:w="4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ratio excluding the effect of catastrophes(2)</w:t>
            </w: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w:t>
            </w:r>
          </w:p>
        </w:tc>
      </w:tr>
      <w:tr>
        <w:trPr>
          <w:trHeight w:val="17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Catastrophe loss</w:t>
            </w: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56"/>
        </w:trPr>
        <w:tc>
          <w:tcPr>
            <w:tcW w:w="4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Loss ratio</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38.9%</w:t>
            </w: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48.7%</w:t>
            </w:r>
          </w:p>
        </w:tc>
      </w:tr>
      <w:tr>
        <w:trPr>
          <w:trHeight w:val="20"/>
        </w:trPr>
        <w:tc>
          <w:tcPr>
            <w:tcW w:w="4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(Percentage components may not sum to totals due to rounding)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6" w:name="page47"/>
    <w:bookmarkEnd w:id="46"/>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color w:val="auto"/>
        </w:rPr>
        <w:t>The key measures for our insurance underwriting business for the years ended December 31, 2025 and 2024 are as follows:</w:t>
      </w:r>
    </w:p>
    <w:p>
      <w:pPr>
        <w:spacing w:after="0" w:line="173" w:lineRule="exact"/>
        <w:rPr>
          <w:sz w:val="20"/>
          <w:szCs w:val="20"/>
          <w:color w:val="auto"/>
        </w:rPr>
      </w:pPr>
    </w:p>
    <w:p>
      <w:pPr>
        <w:ind w:left="9088"/>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21" w:lineRule="exact"/>
        <w:rPr>
          <w:sz w:val="20"/>
          <w:szCs w:val="20"/>
          <w:color w:val="auto"/>
        </w:rPr>
      </w:pPr>
    </w:p>
    <w:p>
      <w:pPr>
        <w:ind w:left="9048"/>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756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7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r>
      <w:tr>
        <w:trPr>
          <w:trHeight w:val="165"/>
        </w:trPr>
        <w:tc>
          <w:tcPr>
            <w:tcW w:w="7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102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187,126,722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128,497,920</w:t>
            </w:r>
          </w:p>
        </w:tc>
        <w:tc>
          <w:tcPr>
            <w:tcW w:w="80" w:type="dxa"/>
            <w:vAlign w:val="bottom"/>
            <w:shd w:val="clear" w:color="auto" w:fill="CCEEFF"/>
          </w:tcPr>
          <w:p>
            <w:pPr>
              <w:spacing w:after="0"/>
              <w:rPr>
                <w:sz w:val="14"/>
                <w:szCs w:val="14"/>
                <w:color w:val="auto"/>
              </w:rPr>
            </w:pPr>
          </w:p>
        </w:tc>
      </w:tr>
      <w:tr>
        <w:trPr>
          <w:trHeight w:val="166"/>
        </w:trPr>
        <w:tc>
          <w:tcPr>
            <w:tcW w:w="7560" w:type="dxa"/>
            <w:vAlign w:val="bottom"/>
          </w:tcPr>
          <w:p>
            <w:pPr>
              <w:spacing w:after="0"/>
              <w:rPr>
                <w:sz w:val="20"/>
                <w:szCs w:val="20"/>
                <w:color w:val="auto"/>
              </w:rPr>
            </w:pPr>
            <w:r>
              <w:rPr>
                <w:rFonts w:ascii="Times New Roman" w:cs="Times New Roman" w:eastAsia="Times New Roman" w:hAnsi="Times New Roman"/>
                <w:sz w:val="12"/>
                <w:szCs w:val="12"/>
                <w:color w:val="auto"/>
              </w:rPr>
              <w:t>Ceding commission revenue</w:t>
            </w:r>
          </w:p>
        </w:tc>
        <w:tc>
          <w:tcPr>
            <w:tcW w:w="1020" w:type="dxa"/>
            <w:vAlign w:val="bottom"/>
          </w:tcPr>
          <w:p>
            <w:pPr>
              <w:spacing w:after="0"/>
              <w:rPr>
                <w:sz w:val="14"/>
                <w:szCs w:val="14"/>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15,674,971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18,837,946</w:t>
            </w:r>
          </w:p>
        </w:tc>
        <w:tc>
          <w:tcPr>
            <w:tcW w:w="80" w:type="dxa"/>
            <w:vAlign w:val="bottom"/>
          </w:tcPr>
          <w:p>
            <w:pPr>
              <w:spacing w:after="0"/>
              <w:rPr>
                <w:sz w:val="14"/>
                <w:szCs w:val="14"/>
                <w:color w:val="auto"/>
              </w:rPr>
            </w:pPr>
          </w:p>
        </w:tc>
      </w:tr>
      <w:tr>
        <w:trPr>
          <w:trHeight w:val="17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10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610,212</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549,967</w:t>
            </w:r>
          </w:p>
        </w:tc>
        <w:tc>
          <w:tcPr>
            <w:tcW w:w="80" w:type="dxa"/>
            <w:vAlign w:val="bottom"/>
            <w:shd w:val="clear" w:color="auto" w:fill="CCEEFF"/>
          </w:tcPr>
          <w:p>
            <w:pPr>
              <w:spacing w:after="0"/>
              <w:rPr>
                <w:sz w:val="15"/>
                <w:szCs w:val="15"/>
                <w:color w:val="auto"/>
              </w:rPr>
            </w:pPr>
          </w:p>
        </w:tc>
      </w:tr>
      <w:tr>
        <w:trPr>
          <w:trHeight w:val="108"/>
        </w:trPr>
        <w:tc>
          <w:tcPr>
            <w:tcW w:w="7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71"/>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and loss adjustment expenses (1)</w:t>
            </w:r>
          </w:p>
        </w:tc>
        <w:tc>
          <w:tcPr>
            <w:tcW w:w="10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84,265,722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62,634,716</w:t>
            </w:r>
          </w:p>
        </w:tc>
        <w:tc>
          <w:tcPr>
            <w:tcW w:w="80" w:type="dxa"/>
            <w:vAlign w:val="bottom"/>
            <w:shd w:val="clear" w:color="auto" w:fill="CCEEFF"/>
          </w:tcPr>
          <w:p>
            <w:pPr>
              <w:spacing w:after="0"/>
              <w:rPr>
                <w:sz w:val="14"/>
                <w:szCs w:val="14"/>
                <w:color w:val="auto"/>
              </w:rPr>
            </w:pPr>
          </w:p>
        </w:tc>
      </w:tr>
      <w:tr>
        <w:trPr>
          <w:trHeight w:val="108"/>
        </w:trPr>
        <w:tc>
          <w:tcPr>
            <w:tcW w:w="7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71"/>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Acquisition costs and other underwriting expenses:</w:t>
            </w:r>
          </w:p>
        </w:tc>
        <w:tc>
          <w:tcPr>
            <w:tcW w:w="10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7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Commission expense</w:t>
            </w:r>
          </w:p>
        </w:tc>
        <w:tc>
          <w:tcPr>
            <w:tcW w:w="1020" w:type="dxa"/>
            <w:vAlign w:val="bottom"/>
          </w:tcPr>
          <w:p>
            <w:pPr>
              <w:spacing w:after="0"/>
              <w:rPr>
                <w:sz w:val="14"/>
                <w:szCs w:val="14"/>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40,726,801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33,929,333</w:t>
            </w:r>
          </w:p>
        </w:tc>
        <w:tc>
          <w:tcPr>
            <w:tcW w:w="80" w:type="dxa"/>
            <w:vAlign w:val="bottom"/>
          </w:tcPr>
          <w:p>
            <w:pPr>
              <w:spacing w:after="0"/>
              <w:rPr>
                <w:sz w:val="14"/>
                <w:szCs w:val="14"/>
                <w:color w:val="auto"/>
              </w:rPr>
            </w:pPr>
          </w:p>
        </w:tc>
      </w:tr>
      <w:tr>
        <w:trPr>
          <w:trHeight w:val="176"/>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10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31,718,770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25,692,727</w:t>
            </w:r>
          </w:p>
        </w:tc>
        <w:tc>
          <w:tcPr>
            <w:tcW w:w="80" w:type="dxa"/>
            <w:vAlign w:val="bottom"/>
            <w:shd w:val="clear" w:color="auto" w:fill="CCEEFF"/>
          </w:tcPr>
          <w:p>
            <w:pPr>
              <w:spacing w:after="0"/>
              <w:rPr>
                <w:sz w:val="15"/>
                <w:szCs w:val="15"/>
                <w:color w:val="auto"/>
              </w:rPr>
            </w:pPr>
          </w:p>
        </w:tc>
      </w:tr>
      <w:tr>
        <w:trPr>
          <w:trHeight w:val="156"/>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Total acquisition costs and other underwriting expenses</w:t>
            </w:r>
          </w:p>
        </w:tc>
        <w:tc>
          <w:tcPr>
            <w:tcW w:w="10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72,445,571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59,622,060</w:t>
            </w:r>
          </w:p>
        </w:tc>
        <w:tc>
          <w:tcPr>
            <w:tcW w:w="80" w:type="dxa"/>
            <w:vAlign w:val="bottom"/>
            <w:tcBorders>
              <w:bottom w:val="single" w:sz="8" w:color="CCEEFF"/>
            </w:tcBorders>
          </w:tcPr>
          <w:p>
            <w:pPr>
              <w:spacing w:after="0"/>
              <w:rPr>
                <w:sz w:val="13"/>
                <w:szCs w:val="13"/>
                <w:color w:val="auto"/>
              </w:rPr>
            </w:pPr>
          </w:p>
        </w:tc>
      </w:tr>
      <w:tr>
        <w:trPr>
          <w:trHeight w:val="93"/>
        </w:trPr>
        <w:tc>
          <w:tcPr>
            <w:tcW w:w="75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r>
      <w:tr>
        <w:trPr>
          <w:trHeight w:val="189"/>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Underwriting income</w:t>
            </w:r>
          </w:p>
        </w:tc>
        <w:tc>
          <w:tcPr>
            <w:tcW w:w="102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46,700,612</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25,629,057</w:t>
            </w:r>
          </w:p>
        </w:tc>
        <w:tc>
          <w:tcPr>
            <w:tcW w:w="80" w:type="dxa"/>
            <w:vAlign w:val="bottom"/>
            <w:tcBorders>
              <w:bottom w:val="single" w:sz="8" w:color="CCEEFF"/>
            </w:tcBorders>
          </w:tcPr>
          <w:p>
            <w:pPr>
              <w:spacing w:after="0"/>
              <w:rPr>
                <w:sz w:val="16"/>
                <w:szCs w:val="16"/>
                <w:color w:val="auto"/>
              </w:rPr>
            </w:pPr>
          </w:p>
        </w:tc>
      </w:tr>
      <w:tr>
        <w:trPr>
          <w:trHeight w:val="88"/>
        </w:trPr>
        <w:tc>
          <w:tcPr>
            <w:tcW w:w="75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bl>
    <w:p>
      <w:pPr>
        <w:spacing w:after="0" w:line="7"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560" w:type="dxa"/>
            <w:vAlign w:val="bottom"/>
          </w:tcPr>
          <w:p>
            <w:pPr>
              <w:spacing w:after="0"/>
              <w:rPr>
                <w:sz w:val="20"/>
                <w:szCs w:val="20"/>
                <w:color w:val="auto"/>
              </w:rPr>
            </w:pPr>
            <w:r>
              <w:rPr>
                <w:rFonts w:ascii="Times New Roman" w:cs="Times New Roman" w:eastAsia="Times New Roman" w:hAnsi="Times New Roman"/>
                <w:sz w:val="12"/>
                <w:szCs w:val="12"/>
                <w:color w:val="auto"/>
              </w:rPr>
              <w:t>Key Measures:</w:t>
            </w:r>
          </w:p>
        </w:tc>
        <w:tc>
          <w:tcPr>
            <w:tcW w:w="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6"/>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 ratio excluding the effect of catastrophes(2)</w:t>
            </w: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w:t>
            </w:r>
          </w:p>
        </w:tc>
        <w:tc>
          <w:tcPr>
            <w:tcW w:w="80" w:type="dxa"/>
            <w:vAlign w:val="bottom"/>
            <w:shd w:val="clear" w:color="auto" w:fill="CCEEFF"/>
          </w:tcPr>
          <w:p>
            <w:pPr>
              <w:spacing w:after="0"/>
              <w:rPr>
                <w:sz w:val="15"/>
                <w:szCs w:val="15"/>
                <w:color w:val="auto"/>
              </w:rPr>
            </w:pPr>
          </w:p>
        </w:tc>
      </w:tr>
      <w:tr>
        <w:trPr>
          <w:trHeight w:val="167"/>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Effect of catastrophe loss on net loss ratio (1)(2)</w:t>
            </w: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Borders>
              <w:bottom w:val="single" w:sz="8" w:color="CCEEFF"/>
            </w:tcBorders>
          </w:tcPr>
          <w:p>
            <w:pPr>
              <w:spacing w:after="0"/>
              <w:rPr>
                <w:sz w:val="14"/>
                <w:szCs w:val="14"/>
                <w:color w:val="auto"/>
              </w:rPr>
            </w:pPr>
          </w:p>
        </w:tc>
      </w:tr>
      <w:tr>
        <w:trPr>
          <w:trHeight w:val="16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loss ratio</w:t>
            </w:r>
          </w:p>
        </w:tc>
        <w:tc>
          <w:tcPr>
            <w:tcW w:w="5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w:t>
            </w:r>
          </w:p>
        </w:tc>
        <w:tc>
          <w:tcPr>
            <w:tcW w:w="80" w:type="dxa"/>
            <w:vAlign w:val="bottom"/>
            <w:shd w:val="clear" w:color="auto" w:fill="CCEEFF"/>
          </w:tcPr>
          <w:p>
            <w:pPr>
              <w:spacing w:after="0"/>
              <w:rPr>
                <w:sz w:val="13"/>
                <w:szCs w:val="13"/>
                <w:color w:val="auto"/>
              </w:rPr>
            </w:pPr>
          </w:p>
        </w:tc>
      </w:tr>
      <w:tr>
        <w:trPr>
          <w:trHeight w:val="92"/>
        </w:trPr>
        <w:tc>
          <w:tcPr>
            <w:tcW w:w="7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71"/>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underwriting expense ratio excluding the effect of catastrophes(2)</w:t>
            </w: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shd w:val="clear" w:color="auto" w:fill="CCEEFF"/>
          </w:tcPr>
          <w:p>
            <w:pPr>
              <w:spacing w:after="0"/>
              <w:rPr>
                <w:sz w:val="14"/>
                <w:szCs w:val="14"/>
                <w:color w:val="auto"/>
              </w:rPr>
            </w:pPr>
          </w:p>
        </w:tc>
      </w:tr>
      <w:tr>
        <w:trPr>
          <w:trHeight w:val="167"/>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Effect of catastrophe loss on net underwriting expense ratio(2)</w:t>
            </w: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Borders>
              <w:bottom w:val="single" w:sz="8" w:color="CCEEFF"/>
            </w:tcBorders>
          </w:tcPr>
          <w:p>
            <w:pPr>
              <w:spacing w:after="0"/>
              <w:rPr>
                <w:sz w:val="14"/>
                <w:szCs w:val="14"/>
                <w:color w:val="auto"/>
              </w:rPr>
            </w:pPr>
          </w:p>
        </w:tc>
      </w:tr>
      <w:tr>
        <w:trPr>
          <w:trHeight w:val="160"/>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5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shd w:val="clear" w:color="auto" w:fill="CCEEFF"/>
          </w:tcPr>
          <w:p>
            <w:pPr>
              <w:spacing w:after="0"/>
              <w:rPr>
                <w:sz w:val="13"/>
                <w:szCs w:val="13"/>
                <w:color w:val="auto"/>
              </w:rPr>
            </w:pPr>
          </w:p>
        </w:tc>
      </w:tr>
      <w:tr>
        <w:trPr>
          <w:trHeight w:val="92"/>
        </w:trPr>
        <w:tc>
          <w:tcPr>
            <w:tcW w:w="7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71"/>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combined ratio excluding the effect of catastrophes(2)</w:t>
            </w: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w:t>
            </w:r>
          </w:p>
        </w:tc>
        <w:tc>
          <w:tcPr>
            <w:tcW w:w="80" w:type="dxa"/>
            <w:vAlign w:val="bottom"/>
            <w:shd w:val="clear" w:color="auto" w:fill="CCEEFF"/>
          </w:tcPr>
          <w:p>
            <w:pPr>
              <w:spacing w:after="0"/>
              <w:rPr>
                <w:sz w:val="14"/>
                <w:szCs w:val="14"/>
                <w:color w:val="auto"/>
              </w:rPr>
            </w:pPr>
          </w:p>
        </w:tc>
      </w:tr>
      <w:tr>
        <w:trPr>
          <w:trHeight w:val="167"/>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Effect of catastrophe loss on net combined ratio (1)(2)</w:t>
            </w: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80" w:type="dxa"/>
            <w:vAlign w:val="bottom"/>
            <w:tcBorders>
              <w:bottom w:val="single" w:sz="8" w:color="CCEEFF"/>
            </w:tcBorders>
          </w:tcPr>
          <w:p>
            <w:pPr>
              <w:spacing w:after="0"/>
              <w:rPr>
                <w:sz w:val="14"/>
                <w:szCs w:val="14"/>
                <w:color w:val="auto"/>
              </w:rPr>
            </w:pPr>
          </w:p>
        </w:tc>
      </w:tr>
      <w:tr>
        <w:trPr>
          <w:trHeight w:val="180"/>
        </w:trPr>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combined ratio</w:t>
            </w:r>
          </w:p>
        </w:tc>
        <w:tc>
          <w:tcPr>
            <w:tcW w:w="5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80" w:type="dxa"/>
            <w:vAlign w:val="bottom"/>
            <w:tcBorders>
              <w:bottom w:val="single" w:sz="8" w:color="CCEEFF"/>
            </w:tcBorders>
            <w:shd w:val="clear" w:color="auto" w:fill="CCEEFF"/>
          </w:tcPr>
          <w:p>
            <w:pPr>
              <w:spacing w:after="0"/>
              <w:rPr>
                <w:sz w:val="15"/>
                <w:szCs w:val="15"/>
                <w:color w:val="auto"/>
              </w:rPr>
            </w:pPr>
          </w:p>
        </w:tc>
      </w:tr>
      <w:tr>
        <w:trPr>
          <w:trHeight w:val="90"/>
        </w:trPr>
        <w:tc>
          <w:tcPr>
            <w:tcW w:w="7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71"/>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Reconciliation of net underwriting expense ratio:</w:t>
            </w: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75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Acquisition costs and other underwriting expenses</w:t>
            </w:r>
          </w:p>
        </w:tc>
        <w:tc>
          <w:tcPr>
            <w:tcW w:w="56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72,445,571</w:t>
            </w:r>
          </w:p>
        </w:tc>
        <w:tc>
          <w:tcPr>
            <w:tcW w:w="80" w:type="dxa"/>
            <w:vAlign w:val="bottom"/>
          </w:tcPr>
          <w:p>
            <w:pPr>
              <w:spacing w:after="0"/>
              <w:rPr>
                <w:sz w:val="14"/>
                <w:szCs w:val="14"/>
                <w:color w:val="auto"/>
              </w:rPr>
            </w:pPr>
          </w:p>
        </w:tc>
        <w:tc>
          <w:tcPr>
            <w:tcW w:w="56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59,622,060</w:t>
            </w:r>
          </w:p>
        </w:tc>
        <w:tc>
          <w:tcPr>
            <w:tcW w:w="80" w:type="dxa"/>
            <w:vAlign w:val="bottom"/>
          </w:tcPr>
          <w:p>
            <w:pPr>
              <w:spacing w:after="0"/>
              <w:rPr>
                <w:sz w:val="14"/>
                <w:szCs w:val="14"/>
                <w:color w:val="auto"/>
              </w:rPr>
            </w:pPr>
          </w:p>
        </w:tc>
      </w:tr>
      <w:tr>
        <w:trPr>
          <w:trHeight w:val="176"/>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Less: Ceding commission revenue</w:t>
            </w:r>
          </w:p>
        </w:tc>
        <w:tc>
          <w:tcPr>
            <w:tcW w:w="56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(15,674,971)</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(18,837,946)</w:t>
            </w:r>
          </w:p>
        </w:tc>
        <w:tc>
          <w:tcPr>
            <w:tcW w:w="80" w:type="dxa"/>
            <w:vAlign w:val="bottom"/>
            <w:shd w:val="clear" w:color="auto" w:fill="CCEEFF"/>
          </w:tcPr>
          <w:p>
            <w:pPr>
              <w:spacing w:after="0"/>
              <w:rPr>
                <w:sz w:val="15"/>
                <w:szCs w:val="15"/>
                <w:color w:val="auto"/>
              </w:rPr>
            </w:pPr>
          </w:p>
        </w:tc>
      </w:tr>
      <w:tr>
        <w:trPr>
          <w:trHeight w:val="167"/>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Less: Other income</w:t>
            </w: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(610,212)</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(549,967)</w:t>
            </w:r>
          </w:p>
        </w:tc>
        <w:tc>
          <w:tcPr>
            <w:tcW w:w="80" w:type="dxa"/>
            <w:vAlign w:val="bottom"/>
            <w:tcBorders>
              <w:bottom w:val="single" w:sz="8" w:color="CCEEFF"/>
            </w:tcBorders>
          </w:tcPr>
          <w:p>
            <w:pPr>
              <w:spacing w:after="0"/>
              <w:rPr>
                <w:sz w:val="14"/>
                <w:szCs w:val="14"/>
                <w:color w:val="auto"/>
              </w:rPr>
            </w:pPr>
          </w:p>
        </w:tc>
      </w:tr>
      <w:tr>
        <w:trPr>
          <w:trHeight w:val="180"/>
        </w:trPr>
        <w:tc>
          <w:tcPr>
            <w:tcW w:w="75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56,160,388</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40,234,147</w:t>
            </w:r>
          </w:p>
        </w:tc>
        <w:tc>
          <w:tcPr>
            <w:tcW w:w="80" w:type="dxa"/>
            <w:vAlign w:val="bottom"/>
            <w:tcBorders>
              <w:bottom w:val="single" w:sz="8" w:color="CCEEFF"/>
            </w:tcBorders>
            <w:shd w:val="clear" w:color="auto" w:fill="CCEEFF"/>
          </w:tcPr>
          <w:p>
            <w:pPr>
              <w:spacing w:after="0"/>
              <w:rPr>
                <w:sz w:val="15"/>
                <w:szCs w:val="15"/>
                <w:color w:val="auto"/>
              </w:rPr>
            </w:pPr>
          </w:p>
        </w:tc>
      </w:tr>
      <w:tr>
        <w:trPr>
          <w:trHeight w:val="90"/>
        </w:trPr>
        <w:tc>
          <w:tcPr>
            <w:tcW w:w="7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87"/>
        </w:trPr>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earned premium</w:t>
            </w: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187,126,722</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128,497,920</w:t>
            </w:r>
          </w:p>
        </w:tc>
        <w:tc>
          <w:tcPr>
            <w:tcW w:w="80" w:type="dxa"/>
            <w:vAlign w:val="bottom"/>
            <w:tcBorders>
              <w:bottom w:val="single" w:sz="8" w:color="CCEEFF"/>
            </w:tcBorders>
            <w:shd w:val="clear" w:color="auto" w:fill="CCEEFF"/>
          </w:tcPr>
          <w:p>
            <w:pPr>
              <w:spacing w:after="0"/>
              <w:rPr>
                <w:sz w:val="16"/>
                <w:szCs w:val="16"/>
                <w:color w:val="auto"/>
              </w:rPr>
            </w:pPr>
          </w:p>
        </w:tc>
      </w:tr>
      <w:tr>
        <w:trPr>
          <w:trHeight w:val="90"/>
        </w:trPr>
        <w:tc>
          <w:tcPr>
            <w:tcW w:w="7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87"/>
        </w:trPr>
        <w:tc>
          <w:tcPr>
            <w:tcW w:w="7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5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w:t>
            </w:r>
          </w:p>
        </w:tc>
        <w:tc>
          <w:tcPr>
            <w:tcW w:w="80" w:type="dxa"/>
            <w:vAlign w:val="bottom"/>
            <w:tcBorders>
              <w:bottom w:val="single" w:sz="8" w:color="CCEEFF"/>
            </w:tcBorders>
            <w:shd w:val="clear" w:color="auto" w:fill="CCEEFF"/>
          </w:tcPr>
          <w:p>
            <w:pPr>
              <w:spacing w:after="0"/>
              <w:rPr>
                <w:sz w:val="16"/>
                <w:szCs w:val="16"/>
                <w:color w:val="auto"/>
              </w:rPr>
            </w:pPr>
          </w:p>
        </w:tc>
      </w:tr>
    </w:tbl>
    <w:p>
      <w:pPr>
        <w:spacing w:after="0" w:line="133" w:lineRule="exact"/>
        <w:rPr>
          <w:sz w:val="20"/>
          <w:szCs w:val="20"/>
          <w:color w:val="auto"/>
        </w:rPr>
      </w:pPr>
    </w:p>
    <w:p>
      <w:pPr>
        <w:ind w:left="688" w:hanging="688"/>
        <w:spacing w:after="0"/>
        <w:tabs>
          <w:tab w:leader="none" w:pos="68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years ended December 31, 2025 and 2024, includes the sum of net catastrophe losses and loss adjustment expenses of $2,172,940 and $2,454,159, respectively.</w:t>
      </w:r>
    </w:p>
    <w:p>
      <w:pPr>
        <w:spacing w:after="0" w:line="87" w:lineRule="exact"/>
        <w:rPr>
          <w:rFonts w:ascii="Times New Roman" w:cs="Times New Roman" w:eastAsia="Times New Roman" w:hAnsi="Times New Roman"/>
          <w:sz w:val="12"/>
          <w:szCs w:val="12"/>
          <w:color w:val="auto"/>
        </w:rPr>
      </w:pPr>
    </w:p>
    <w:p>
      <w:pPr>
        <w:jc w:val="both"/>
        <w:ind w:left="708" w:hanging="708"/>
        <w:spacing w:after="0" w:line="249" w:lineRule="auto"/>
        <w:tabs>
          <w:tab w:leader="none" w:pos="704"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loss ratio excluding the effect of catastrophes is a non-GAAP ratio, which is computed as the difference between the GAAP net loss ratio and the effect of catastrophes on the net loss ratio. See "Non-GAAP Financial Measures" for the reconciliation of net loss ratio excluding the effect of catastrophes to the GAAP measure of net loss ratio. Net underwriting expense ratio excluding the effect of catastrophes is also a non-GAAP ratio, which is computed as the difference between the GAAP net underwriting expense ratio and the effect of catastrophes on the net underwriting expense ratio. See "Non-GAAP Financial Measures" for the reconciliation of net underwriting expense ratio excluding the effect of catastrophes to the GAAP measure of net underwriting expense ratio. Net combined ratio excluding the effect of catastrophes is also a non-GAAP</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700"/>
        <w:spacing w:after="0" w:line="279" w:lineRule="auto"/>
        <w:rPr>
          <w:sz w:val="20"/>
          <w:szCs w:val="20"/>
          <w:color w:val="auto"/>
        </w:rPr>
      </w:pPr>
      <w:r>
        <w:rPr>
          <w:rFonts w:ascii="Times New Roman" w:cs="Times New Roman" w:eastAsia="Times New Roman" w:hAnsi="Times New Roman"/>
          <w:sz w:val="12"/>
          <w:szCs w:val="12"/>
          <w:color w:val="auto"/>
        </w:rPr>
        <w:t>ratio, which is computed as the difference between the GAAP net combined ratio and the effect of catastrophes on the net combined ratio. See "Non-GAAP Financial Measures" for the reconciliation of net combined ratio excluding the effect of catastrophes to the GAAP measure of net combined ratio.</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Investments</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Portfolio Summary</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presents a breakdown of the amortized cost, estimated fair value, and unrealized gains and losses of our investments in fixed-maturity securities classified as available-for-sale as of December 31, 2025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0" w:type="dxa"/>
            <w:vAlign w:val="bottom"/>
          </w:tcPr>
          <w:p>
            <w:pPr>
              <w:spacing w:after="0"/>
              <w:rPr>
                <w:sz w:val="12"/>
                <w:szCs w:val="12"/>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Available-for-Sale Securities</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322"/>
        </w:trPr>
        <w:tc>
          <w:tcPr>
            <w:tcW w:w="40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331"/>
        </w:trPr>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Cost or</w:t>
            </w:r>
          </w:p>
        </w:tc>
        <w:tc>
          <w:tcPr>
            <w:tcW w:w="220" w:type="dxa"/>
            <w:vAlign w:val="bottom"/>
          </w:tcPr>
          <w:p>
            <w:pPr>
              <w:spacing w:after="0"/>
              <w:rPr>
                <w:sz w:val="24"/>
                <w:szCs w:val="24"/>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14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 of</w:t>
            </w:r>
          </w:p>
        </w:tc>
      </w:tr>
      <w:tr>
        <w:trPr>
          <w:trHeight w:val="127"/>
        </w:trPr>
        <w:tc>
          <w:tcPr>
            <w:tcW w:w="4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220" w:type="dxa"/>
            <w:vAlign w:val="bottom"/>
          </w:tcPr>
          <w:p>
            <w:pPr>
              <w:spacing w:after="0"/>
              <w:rPr>
                <w:sz w:val="11"/>
                <w:szCs w:val="11"/>
                <w:color w:val="auto"/>
              </w:rPr>
            </w:pPr>
          </w:p>
        </w:tc>
        <w:tc>
          <w:tcPr>
            <w:tcW w:w="120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40" w:type="dxa"/>
            <w:vAlign w:val="bottom"/>
          </w:tcPr>
          <w:p>
            <w:pPr>
              <w:spacing w:after="0"/>
              <w:rPr>
                <w:sz w:val="11"/>
                <w:szCs w:val="11"/>
                <w:color w:val="auto"/>
              </w:rPr>
            </w:pPr>
          </w:p>
        </w:tc>
        <w:tc>
          <w:tcPr>
            <w:tcW w:w="120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240" w:type="dxa"/>
            <w:vAlign w:val="bottom"/>
          </w:tcPr>
          <w:p>
            <w:pPr>
              <w:spacing w:after="0"/>
              <w:rPr>
                <w:sz w:val="11"/>
                <w:szCs w:val="11"/>
                <w:color w:val="auto"/>
              </w:rPr>
            </w:pPr>
          </w:p>
        </w:tc>
        <w:tc>
          <w:tcPr>
            <w:tcW w:w="120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240" w:type="dxa"/>
            <w:vAlign w:val="bottom"/>
          </w:tcPr>
          <w:p>
            <w:pPr>
              <w:spacing w:after="0"/>
              <w:rPr>
                <w:sz w:val="11"/>
                <w:szCs w:val="11"/>
                <w:color w:val="auto"/>
              </w:rPr>
            </w:pPr>
          </w:p>
        </w:tc>
        <w:tc>
          <w:tcPr>
            <w:tcW w:w="122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460" w:type="dxa"/>
            <w:vAlign w:val="bottom"/>
          </w:tcPr>
          <w:p>
            <w:pPr>
              <w:ind w:left="460"/>
              <w:spacing w:after="0" w:line="128" w:lineRule="exact"/>
              <w:rPr>
                <w:sz w:val="20"/>
                <w:szCs w:val="20"/>
                <w:color w:val="auto"/>
              </w:rPr>
            </w:pPr>
            <w:r>
              <w:rPr>
                <w:rFonts w:ascii="Times New Roman" w:cs="Times New Roman" w:eastAsia="Times New Roman" w:hAnsi="Times New Roman"/>
                <w:sz w:val="12"/>
                <w:szCs w:val="12"/>
                <w:b w:val="1"/>
                <w:bCs w:val="1"/>
                <w:color w:val="auto"/>
              </w:rPr>
              <w:t>Estimated</w:t>
            </w:r>
          </w:p>
        </w:tc>
      </w:tr>
      <w:tr>
        <w:trPr>
          <w:trHeight w:val="172"/>
        </w:trPr>
        <w:tc>
          <w:tcPr>
            <w:tcW w:w="26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220" w:type="dxa"/>
            <w:vAlign w:val="bottom"/>
          </w:tcPr>
          <w:p>
            <w:pPr>
              <w:spacing w:after="0"/>
              <w:rPr>
                <w:sz w:val="14"/>
                <w:szCs w:val="14"/>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20" w:type="dxa"/>
            <w:vAlign w:val="bottom"/>
          </w:tcPr>
          <w:p>
            <w:pPr>
              <w:spacing w:after="0"/>
              <w:rPr>
                <w:sz w:val="14"/>
                <w:szCs w:val="14"/>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2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24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240" w:type="dxa"/>
            <w:vAlign w:val="bottom"/>
          </w:tcPr>
          <w:p>
            <w:pPr>
              <w:spacing w:after="0"/>
              <w:rPr>
                <w:sz w:val="14"/>
                <w:szCs w:val="14"/>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46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64"/>
        </w:trPr>
        <w:tc>
          <w:tcPr>
            <w:tcW w:w="4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r>
      <w:tr>
        <w:trPr>
          <w:trHeight w:val="142"/>
        </w:trPr>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64"/>
        </w:trPr>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government corporations and agencies (1)</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997,124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1,007,190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2"/>
        </w:trPr>
        <w:tc>
          <w:tcPr>
            <w:tcW w:w="2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Political subdivisions of States, Territories and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59"/>
        </w:trPr>
        <w:tc>
          <w:tcPr>
            <w:tcW w:w="2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Possessions</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24,125,578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182,580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(2,534,725)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21,773,433</w:t>
            </w: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47"/>
        </w:trPr>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 Industrial and</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64"/>
        </w:trPr>
        <w:tc>
          <w:tcPr>
            <w:tcW w:w="2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miscellaneous</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131,958,643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567,410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(118,901)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(2,540,470)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129,866,682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r>
      <w:tr>
        <w:trPr>
          <w:trHeight w:val="142"/>
        </w:trPr>
        <w:tc>
          <w:tcPr>
            <w:tcW w:w="26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Residential mortgage and other asset backed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59"/>
        </w:trPr>
        <w:tc>
          <w:tcPr>
            <w:tcW w:w="2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2"/>
                <w:szCs w:val="12"/>
                <w:color w:val="auto"/>
              </w:rPr>
              <w:t>securities (1) (2)</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139,656,710</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1,273,816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(62,968)</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(4,477,673)</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136,389,885</w:t>
            </w:r>
          </w:p>
        </w:tc>
        <w:tc>
          <w:tcPr>
            <w:tcW w:w="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47.2%</w:t>
            </w:r>
          </w:p>
        </w:tc>
      </w:tr>
      <w:tr>
        <w:trPr>
          <w:trHeight w:val="181"/>
        </w:trPr>
        <w:tc>
          <w:tcPr>
            <w:tcW w:w="262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 fixed-maturity securities</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296,738,055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2,033,872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(181,869)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(9,552,868)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289,037,190</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38"/>
        </w:trPr>
        <w:tc>
          <w:tcPr>
            <w:tcW w:w="25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5"/>
        </w:trPr>
        <w:tc>
          <w:tcPr>
            <w:tcW w:w="84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Cost or</w:t>
            </w:r>
          </w:p>
        </w:tc>
        <w:tc>
          <w:tcPr>
            <w:tcW w:w="220" w:type="dxa"/>
            <w:vAlign w:val="bottom"/>
          </w:tcPr>
          <w:p>
            <w:pPr>
              <w:spacing w:after="0"/>
              <w:rPr>
                <w:sz w:val="24"/>
                <w:szCs w:val="24"/>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14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 of</w:t>
            </w:r>
          </w:p>
        </w:tc>
        <w:tc>
          <w:tcPr>
            <w:tcW w:w="0" w:type="dxa"/>
            <w:vAlign w:val="bottom"/>
          </w:tcPr>
          <w:p>
            <w:pPr>
              <w:spacing w:after="0"/>
              <w:rPr>
                <w:sz w:val="1"/>
                <w:szCs w:val="1"/>
                <w:color w:val="auto"/>
              </w:rPr>
            </w:pPr>
          </w:p>
        </w:tc>
      </w:tr>
      <w:tr>
        <w:trPr>
          <w:trHeight w:val="136"/>
        </w:trPr>
        <w:tc>
          <w:tcPr>
            <w:tcW w:w="8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220" w:type="dxa"/>
            <w:vAlign w:val="bottom"/>
          </w:tcPr>
          <w:p>
            <w:pPr>
              <w:spacing w:after="0"/>
              <w:rPr>
                <w:sz w:val="11"/>
                <w:szCs w:val="11"/>
                <w:color w:val="auto"/>
              </w:rPr>
            </w:pPr>
          </w:p>
        </w:tc>
        <w:tc>
          <w:tcPr>
            <w:tcW w:w="120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240" w:type="dxa"/>
            <w:vAlign w:val="bottom"/>
          </w:tcPr>
          <w:p>
            <w:pPr>
              <w:spacing w:after="0"/>
              <w:rPr>
                <w:sz w:val="11"/>
                <w:szCs w:val="11"/>
                <w:color w:val="auto"/>
              </w:rPr>
            </w:pPr>
          </w:p>
        </w:tc>
        <w:tc>
          <w:tcPr>
            <w:tcW w:w="120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220" w:type="dxa"/>
            <w:vAlign w:val="bottom"/>
          </w:tcPr>
          <w:p>
            <w:pPr>
              <w:spacing w:after="0"/>
              <w:rPr>
                <w:sz w:val="11"/>
                <w:szCs w:val="11"/>
                <w:color w:val="auto"/>
              </w:rPr>
            </w:pPr>
          </w:p>
        </w:tc>
        <w:tc>
          <w:tcPr>
            <w:tcW w:w="122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460" w:type="dxa"/>
            <w:vAlign w:val="bottom"/>
          </w:tcPr>
          <w:p>
            <w:pPr>
              <w:ind w:left="460"/>
              <w:spacing w:after="0" w:line="136"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0" w:type="dxa"/>
            <w:vAlign w:val="bottom"/>
          </w:tcPr>
          <w:p>
            <w:pPr>
              <w:spacing w:after="0"/>
              <w:rPr>
                <w:sz w:val="1"/>
                <w:szCs w:val="1"/>
                <w:color w:val="auto"/>
              </w:rPr>
            </w:pPr>
          </w:p>
        </w:tc>
      </w:tr>
      <w:tr>
        <w:trPr>
          <w:trHeight w:val="163"/>
        </w:trPr>
        <w:tc>
          <w:tcPr>
            <w:tcW w:w="25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240" w:type="dxa"/>
            <w:vAlign w:val="bottom"/>
          </w:tcPr>
          <w:p>
            <w:pPr>
              <w:spacing w:after="0"/>
              <w:rPr>
                <w:sz w:val="14"/>
                <w:szCs w:val="14"/>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20" w:type="dxa"/>
            <w:vAlign w:val="bottom"/>
          </w:tcPr>
          <w:p>
            <w:pPr>
              <w:spacing w:after="0"/>
              <w:rPr>
                <w:sz w:val="14"/>
                <w:szCs w:val="14"/>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24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22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24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46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65"/>
        </w:trPr>
        <w:tc>
          <w:tcPr>
            <w:tcW w:w="8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Political subdivisions of States, Territories and</w:t>
            </w: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24,271,177</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(73,589)</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(3,324,491)</w:t>
            </w:r>
          </w:p>
        </w:tc>
        <w:tc>
          <w:tcPr>
            <w:tcW w:w="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20,873,097</w:t>
            </w:r>
          </w:p>
        </w:tc>
        <w:tc>
          <w:tcPr>
            <w:tcW w:w="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0" w:type="dxa"/>
            <w:vAlign w:val="bottom"/>
          </w:tcPr>
          <w:p>
            <w:pPr>
              <w:spacing w:after="0"/>
              <w:rPr>
                <w:sz w:val="1"/>
                <w:szCs w:val="1"/>
                <w:color w:val="auto"/>
              </w:rPr>
            </w:pPr>
          </w:p>
        </w:tc>
      </w:tr>
      <w:tr>
        <w:trPr>
          <w:trHeight w:val="155"/>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Possessions</w:t>
            </w:r>
          </w:p>
        </w:tc>
        <w:tc>
          <w:tcPr>
            <w:tcW w:w="240" w:type="dxa"/>
            <w:vAlign w:val="bottom"/>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Corporate and other bonds Industrial and</w:t>
            </w:r>
          </w:p>
        </w:tc>
        <w:tc>
          <w:tcPr>
            <w:tcW w:w="2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112,507,436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(1,024,461)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(4,690,597)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106,792,378</w:t>
            </w:r>
          </w:p>
        </w:tc>
        <w:tc>
          <w:tcPr>
            <w:tcW w:w="8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57.1%</w:t>
            </w:r>
          </w:p>
        </w:tc>
        <w:tc>
          <w:tcPr>
            <w:tcW w:w="0" w:type="dxa"/>
            <w:vAlign w:val="bottom"/>
          </w:tcPr>
          <w:p>
            <w:pPr>
              <w:spacing w:after="0"/>
              <w:rPr>
                <w:sz w:val="1"/>
                <w:szCs w:val="1"/>
                <w:color w:val="auto"/>
              </w:rPr>
            </w:pPr>
          </w:p>
        </w:tc>
      </w:tr>
      <w:tr>
        <w:trPr>
          <w:trHeight w:val="155"/>
        </w:trPr>
        <w:tc>
          <w:tcPr>
            <w:tcW w:w="2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miscellaneous</w:t>
            </w:r>
          </w:p>
        </w:tc>
        <w:tc>
          <w:tcPr>
            <w:tcW w:w="2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 mortgage and other asset backed</w:t>
            </w: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65,529,545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119,647</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(209,890)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(6,211,339)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59,227,963</w:t>
            </w:r>
          </w:p>
        </w:tc>
        <w:tc>
          <w:tcPr>
            <w:tcW w:w="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0" w:type="dxa"/>
            <w:vAlign w:val="bottom"/>
          </w:tcPr>
          <w:p>
            <w:pPr>
              <w:spacing w:after="0"/>
              <w:rPr>
                <w:sz w:val="1"/>
                <w:szCs w:val="1"/>
                <w:color w:val="auto"/>
              </w:rPr>
            </w:pPr>
          </w:p>
        </w:tc>
      </w:tr>
      <w:tr>
        <w:trPr>
          <w:trHeight w:val="155"/>
        </w:trPr>
        <w:tc>
          <w:tcPr>
            <w:tcW w:w="2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 (1) (2)</w:t>
            </w:r>
          </w:p>
        </w:tc>
        <w:tc>
          <w:tcPr>
            <w:tcW w:w="2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6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Total fixed-maturity securities</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202,308,158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119,647</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(1,307,940)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(14,226,427)</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186,893,438</w:t>
            </w:r>
          </w:p>
        </w:tc>
        <w:tc>
          <w:tcPr>
            <w:tcW w:w="80" w:type="dxa"/>
            <w:vAlign w:val="bottom"/>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left="1340" w:right="20" w:hanging="700"/>
        <w:spacing w:after="0" w:line="243" w:lineRule="auto"/>
        <w:tabs>
          <w:tab w:leader="none" w:pos="1336"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October 2022, KICO placed certain U.S. Treasury securities to fulfill the required collateral for a sale leaseback transaction in a designated custodian account (see Note 7 – Debt - “Equipment Financing”). As of December 31, 2024. KICO had sold its U.S. Treasury securities and replaced a portion of its other fixed-maturity securities in the designated custodian account. As of December 31, 2025 and December 31, 2024, the amount of required collateral was approximately $3,616,000 and $5,308,000, respectively. As of December 31, 2025 and December 31, 2024, the estimated fair value of the eligible collateral was approximately $3,616,000 and $5,308,000 respectively.</w:t>
      </w:r>
    </w:p>
    <w:p>
      <w:pPr>
        <w:spacing w:after="0" w:line="2" w:lineRule="exact"/>
        <w:rPr>
          <w:rFonts w:ascii="Times New Roman" w:cs="Times New Roman" w:eastAsia="Times New Roman" w:hAnsi="Times New Roman"/>
          <w:sz w:val="12"/>
          <w:szCs w:val="12"/>
          <w:color w:val="auto"/>
        </w:rPr>
      </w:pPr>
    </w:p>
    <w:p>
      <w:pPr>
        <w:jc w:val="both"/>
        <w:ind w:left="1340" w:hanging="706"/>
        <w:spacing w:after="0" w:line="253" w:lineRule="auto"/>
        <w:tabs>
          <w:tab w:leader="none" w:pos="133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KICO has placed certain residential mortgage backed securities as eligible collateral in a designated custodian account related to its membership in the Federal Home Loan Bank of New York ("FHLBNY") (see Note 9 – Debt – “Federal Home Loan Bank”). The eligible collateral would be pledged to FHLBNY if KICO draws an advance from the FHLBNY credit line. As of December 31, 2025, the estimated fair value of the eligible investments was approximately $9,598,000. KICO will retain all rights regarding all securities if pledged as collateral. As of December 31, 2025 and December 31, 2024 there was no outstanding balance on the FHLBNY credit line.</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Equity Securities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presents a breakdown of the cost and estimated fair value of, and gross gains and losses on, investments in equity securities as of December 31,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27"/>
        </w:trPr>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5"/>
              </w:rPr>
              <w:t>% of</w:t>
            </w:r>
          </w:p>
        </w:tc>
      </w:tr>
      <w:tr>
        <w:trPr>
          <w:trHeight w:val="135"/>
        </w:trPr>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162"/>
              <w:spacing w:after="0" w:line="135" w:lineRule="exact"/>
              <w:rPr>
                <w:sz w:val="20"/>
                <w:szCs w:val="20"/>
                <w:color w:val="auto"/>
              </w:rPr>
            </w:pPr>
            <w:r>
              <w:rPr>
                <w:rFonts w:ascii="Times New Roman" w:cs="Times New Roman" w:eastAsia="Times New Roman" w:hAnsi="Times New Roman"/>
                <w:sz w:val="12"/>
                <w:szCs w:val="12"/>
                <w:b w:val="1"/>
                <w:bCs w:val="1"/>
                <w:color w:val="auto"/>
              </w:rPr>
              <w:t>Gross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ind w:left="400"/>
              <w:spacing w:after="0" w:line="135" w:lineRule="exact"/>
              <w:rPr>
                <w:sz w:val="20"/>
                <w:szCs w:val="20"/>
                <w:color w:val="auto"/>
              </w:rPr>
            </w:pPr>
            <w:r>
              <w:rPr>
                <w:rFonts w:ascii="Times New Roman" w:cs="Times New Roman" w:eastAsia="Times New Roman" w:hAnsi="Times New Roman"/>
                <w:sz w:val="12"/>
                <w:szCs w:val="12"/>
                <w:b w:val="1"/>
                <w:bCs w:val="1"/>
                <w:color w:val="auto"/>
              </w:rPr>
              <w:t>Gross</w:t>
            </w:r>
          </w:p>
        </w:tc>
        <w:tc>
          <w:tcPr>
            <w:tcW w:w="260" w:type="dxa"/>
            <w:vAlign w:val="bottom"/>
          </w:tcPr>
          <w:p>
            <w:pPr>
              <w:spacing w:after="0"/>
              <w:rPr>
                <w:sz w:val="11"/>
                <w:szCs w:val="11"/>
                <w:color w:val="auto"/>
              </w:rPr>
            </w:pPr>
          </w:p>
        </w:tc>
        <w:tc>
          <w:tcPr>
            <w:tcW w:w="128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Estimated</w:t>
            </w:r>
          </w:p>
        </w:tc>
      </w:tr>
      <w:tr>
        <w:trPr>
          <w:trHeight w:val="172"/>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Cost</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Gains</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r>
      <w:tr>
        <w:trPr>
          <w:trHeight w:val="331"/>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stocks</w:t>
            </w:r>
          </w:p>
        </w:tc>
        <w:tc>
          <w:tcPr>
            <w:tcW w:w="86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9,750,322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(2,765,627)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6,984,695</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69.5%</w:t>
            </w:r>
          </w:p>
        </w:tc>
      </w:tr>
      <w:tr>
        <w:trPr>
          <w:trHeight w:val="166"/>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Fixed income exchange traded funds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3,711,232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(724,432)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2,986,800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r>
      <w:tr>
        <w:trPr>
          <w:trHeight w:val="176"/>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FHLBNY common stock</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85,100</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85,100</w:t>
            </w:r>
          </w:p>
        </w:tc>
        <w:tc>
          <w:tcPr>
            <w:tcW w:w="8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55"/>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860" w:type="dxa"/>
            <w:vAlign w:val="bottom"/>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13,546,654</w:t>
            </w:r>
          </w:p>
        </w:tc>
        <w:tc>
          <w:tcPr>
            <w:tcW w:w="100" w:type="dxa"/>
            <w:vAlign w:val="bottom"/>
          </w:tcPr>
          <w:p>
            <w:pPr>
              <w:spacing w:after="0"/>
              <w:rPr>
                <w:sz w:val="13"/>
                <w:szCs w:val="13"/>
                <w:color w:val="auto"/>
              </w:rPr>
            </w:pPr>
          </w:p>
        </w:tc>
        <w:tc>
          <w:tcPr>
            <w:tcW w:w="1060" w:type="dxa"/>
            <w:vAlign w:val="bottom"/>
          </w:tcPr>
          <w:p>
            <w:pPr>
              <w:jc w:val="right"/>
              <w:ind w:right="9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(3,490,059)</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10,056,595</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20"/>
        </w:trPr>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583"/>
        </w:trPr>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49</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2"/>
        </w:trPr>
        <w:tc>
          <w:tcPr>
            <w:tcW w:w="3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38"/>
        </w:trPr>
        <w:tc>
          <w:tcPr>
            <w:tcW w:w="360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5"/>
        </w:trPr>
        <w:tc>
          <w:tcPr>
            <w:tcW w:w="84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8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5"/>
              </w:rPr>
              <w:t>% of</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163"/>
              <w:spacing w:after="0" w:line="135" w:lineRule="exact"/>
              <w:rPr>
                <w:sz w:val="20"/>
                <w:szCs w:val="20"/>
                <w:color w:val="auto"/>
              </w:rPr>
            </w:pPr>
            <w:r>
              <w:rPr>
                <w:rFonts w:ascii="Times New Roman" w:cs="Times New Roman" w:eastAsia="Times New Roman" w:hAnsi="Times New Roman"/>
                <w:sz w:val="12"/>
                <w:szCs w:val="12"/>
                <w:b w:val="1"/>
                <w:bCs w:val="1"/>
                <w:color w:val="auto"/>
              </w:rPr>
              <w:t>Gross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Estimated</w:t>
            </w:r>
          </w:p>
        </w:tc>
        <w:tc>
          <w:tcPr>
            <w:tcW w:w="0" w:type="dxa"/>
            <w:vAlign w:val="bottom"/>
          </w:tcPr>
          <w:p>
            <w:pPr>
              <w:spacing w:after="0"/>
              <w:rPr>
                <w:sz w:val="1"/>
                <w:szCs w:val="1"/>
                <w:color w:val="auto"/>
              </w:rPr>
            </w:pPr>
          </w:p>
        </w:tc>
      </w:tr>
      <w:tr>
        <w:trPr>
          <w:trHeight w:val="168"/>
        </w:trPr>
        <w:tc>
          <w:tcPr>
            <w:tcW w:w="3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Cost</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Gains</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327"/>
        </w:trPr>
        <w:tc>
          <w:tcPr>
            <w:tcW w:w="36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stocks</w:t>
            </w:r>
          </w:p>
        </w:tc>
        <w:tc>
          <w:tcPr>
            <w:tcW w:w="86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9,750,322</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(2,422,617)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7,327,705</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0" w:type="dxa"/>
            <w:vAlign w:val="bottom"/>
          </w:tcPr>
          <w:p>
            <w:pPr>
              <w:spacing w:after="0"/>
              <w:rPr>
                <w:sz w:val="1"/>
                <w:szCs w:val="1"/>
                <w:color w:val="auto"/>
              </w:rPr>
            </w:pPr>
          </w:p>
        </w:tc>
      </w:tr>
      <w:tr>
        <w:trPr>
          <w:trHeight w:val="167"/>
        </w:trPr>
        <w:tc>
          <w:tcPr>
            <w:tcW w:w="3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Fixed income exchange traded funds</w:t>
            </w:r>
          </w:p>
        </w:tc>
        <w:tc>
          <w:tcPr>
            <w:tcW w:w="8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3,711,232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(808,432)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2,902,800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0" w:type="dxa"/>
            <w:vAlign w:val="bottom"/>
          </w:tcPr>
          <w:p>
            <w:pPr>
              <w:spacing w:after="0"/>
              <w:rPr>
                <w:sz w:val="1"/>
                <w:szCs w:val="1"/>
                <w:color w:val="auto"/>
              </w:rPr>
            </w:pPr>
          </w:p>
        </w:tc>
      </w:tr>
      <w:tr>
        <w:trPr>
          <w:trHeight w:val="175"/>
        </w:trPr>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FHLBNY common stock</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66,000</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66,000</w:t>
            </w:r>
          </w:p>
        </w:tc>
        <w:tc>
          <w:tcPr>
            <w:tcW w:w="8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55"/>
        </w:trPr>
        <w:tc>
          <w:tcPr>
            <w:tcW w:w="3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Total</w:t>
            </w:r>
          </w:p>
        </w:tc>
        <w:tc>
          <w:tcPr>
            <w:tcW w:w="860" w:type="dxa"/>
            <w:vAlign w:val="bottom"/>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13,527,554</w:t>
            </w:r>
          </w:p>
        </w:tc>
        <w:tc>
          <w:tcPr>
            <w:tcW w:w="100" w:type="dxa"/>
            <w:vAlign w:val="bottom"/>
          </w:tcPr>
          <w:p>
            <w:pPr>
              <w:spacing w:after="0"/>
              <w:rPr>
                <w:sz w:val="13"/>
                <w:szCs w:val="13"/>
                <w:color w:val="auto"/>
              </w:rPr>
            </w:pPr>
          </w:p>
        </w:tc>
        <w:tc>
          <w:tcPr>
            <w:tcW w:w="1060" w:type="dxa"/>
            <w:vAlign w:val="bottom"/>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(3,231,049)</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10,296,505</w:t>
            </w:r>
          </w:p>
        </w:tc>
        <w:tc>
          <w:tcPr>
            <w:tcW w:w="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u w:val="single" w:color="auto"/>
          <w:color w:val="auto"/>
        </w:rPr>
        <w:t>Other Investments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presents a breakdown of the cost and estimated fair value of, and gross gains on, our other investments as of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December 31, 2025</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32"/>
        </w:trPr>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260" w:type="dxa"/>
            <w:vAlign w:val="bottom"/>
          </w:tcPr>
          <w:p>
            <w:pPr>
              <w:spacing w:after="0"/>
              <w:rPr>
                <w:sz w:val="11"/>
                <w:szCs w:val="11"/>
                <w:color w:val="auto"/>
              </w:rPr>
            </w:pPr>
          </w:p>
        </w:tc>
        <w:tc>
          <w:tcPr>
            <w:tcW w:w="130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260" w:type="dxa"/>
            <w:vAlign w:val="bottom"/>
          </w:tcPr>
          <w:p>
            <w:pPr>
              <w:spacing w:after="0"/>
              <w:rPr>
                <w:sz w:val="11"/>
                <w:szCs w:val="11"/>
                <w:color w:val="auto"/>
              </w:rPr>
            </w:pPr>
          </w:p>
        </w:tc>
        <w:tc>
          <w:tcPr>
            <w:tcW w:w="1220" w:type="dxa"/>
            <w:vAlign w:val="bottom"/>
          </w:tcPr>
          <w:p>
            <w:pPr>
              <w:ind w:left="200"/>
              <w:spacing w:after="0" w:line="132" w:lineRule="exact"/>
              <w:rPr>
                <w:sz w:val="20"/>
                <w:szCs w:val="20"/>
                <w:color w:val="auto"/>
              </w:rPr>
            </w:pPr>
            <w:r>
              <w:rPr>
                <w:rFonts w:ascii="Times New Roman" w:cs="Times New Roman" w:eastAsia="Times New Roman" w:hAnsi="Times New Roman"/>
                <w:sz w:val="12"/>
                <w:szCs w:val="12"/>
                <w:b w:val="1"/>
                <w:bCs w:val="1"/>
                <w:color w:val="auto"/>
              </w:rPr>
              <w:t>Estimated</w:t>
            </w:r>
          </w:p>
        </w:tc>
      </w:tr>
      <w:tr>
        <w:trPr>
          <w:trHeight w:val="163"/>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331"/>
        </w:trPr>
        <w:tc>
          <w:tcPr>
            <w:tcW w:w="2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Investments: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2"/>
        </w:trPr>
        <w:tc>
          <w:tcPr>
            <w:tcW w:w="2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Hedge fund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1,987,040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2,565,338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4,552,378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1,987,040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2,393,616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4,380,656</w:t>
            </w:r>
          </w:p>
        </w:tc>
      </w:tr>
    </w:tbl>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u w:val="single" w:color="auto"/>
          <w:color w:val="auto"/>
        </w:rPr>
        <w:t>Held-to-Maturity Securities</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presents a breakdown of the amortized cost and estimated fair value of, and gross unrealized gains and losses on, investments in held-to-maturity securities as of December 31, 2025 and 2024: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331"/>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Cost or</w:t>
            </w:r>
          </w:p>
        </w:tc>
        <w:tc>
          <w:tcPr>
            <w:tcW w:w="2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13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of</w:t>
            </w:r>
          </w:p>
        </w:tc>
      </w:tr>
      <w:tr>
        <w:trPr>
          <w:trHeight w:val="127"/>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220" w:type="dxa"/>
            <w:vAlign w:val="bottom"/>
          </w:tcPr>
          <w:p>
            <w:pPr>
              <w:spacing w:after="0"/>
              <w:rPr>
                <w:sz w:val="11"/>
                <w:szCs w:val="11"/>
                <w:color w:val="auto"/>
              </w:rPr>
            </w:pPr>
          </w:p>
        </w:tc>
        <w:tc>
          <w:tcPr>
            <w:tcW w:w="110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200" w:type="dxa"/>
            <w:vAlign w:val="bottom"/>
          </w:tcPr>
          <w:p>
            <w:pPr>
              <w:spacing w:after="0"/>
              <w:rPr>
                <w:sz w:val="11"/>
                <w:szCs w:val="11"/>
                <w:color w:val="auto"/>
              </w:rPr>
            </w:pPr>
          </w:p>
        </w:tc>
        <w:tc>
          <w:tcPr>
            <w:tcW w:w="112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200" w:type="dxa"/>
            <w:vAlign w:val="bottom"/>
          </w:tcPr>
          <w:p>
            <w:pPr>
              <w:spacing w:after="0"/>
              <w:rPr>
                <w:sz w:val="11"/>
                <w:szCs w:val="11"/>
                <w:color w:val="auto"/>
              </w:rPr>
            </w:pPr>
          </w:p>
        </w:tc>
        <w:tc>
          <w:tcPr>
            <w:tcW w:w="112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3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w w:val="99"/>
              </w:rPr>
              <w:t>Estimated</w:t>
            </w:r>
          </w:p>
        </w:tc>
      </w:tr>
      <w:tr>
        <w:trPr>
          <w:trHeight w:val="172"/>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r>
      <w:tr>
        <w:trPr>
          <w:trHeight w:val="331"/>
        </w:trPr>
        <w:tc>
          <w:tcPr>
            <w:tcW w:w="3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Held-to-Maturity Securities: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1,229,490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(22,083)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1,204,337</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w:t>
            </w:r>
          </w:p>
        </w:tc>
      </w:tr>
      <w:tr>
        <w:trPr>
          <w:trHeight w:val="167"/>
        </w:trPr>
        <w:tc>
          <w:tcPr>
            <w:tcW w:w="3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traded debt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304,111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242,000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75"/>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66"/>
        </w:trPr>
        <w:tc>
          <w:tcPr>
            <w:tcW w:w="3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4,508,747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(817,817)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3,690,930</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w:t>
            </w:r>
          </w:p>
        </w:tc>
      </w:tr>
      <w:tr>
        <w:trPr>
          <w:trHeight w:val="180"/>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6,042,348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(902,011)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5,137,267</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603"/>
        </w:trPr>
        <w:tc>
          <w:tcPr>
            <w:tcW w:w="32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63"/>
        </w:trPr>
        <w:tc>
          <w:tcPr>
            <w:tcW w:w="32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38"/>
        </w:trPr>
        <w:tc>
          <w:tcPr>
            <w:tcW w:w="3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655"/>
        </w:trPr>
        <w:tc>
          <w:tcPr>
            <w:tcW w:w="84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331"/>
        </w:trPr>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Cost or</w:t>
            </w:r>
          </w:p>
        </w:tc>
        <w:tc>
          <w:tcPr>
            <w:tcW w:w="20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1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of</w:t>
            </w:r>
          </w:p>
        </w:tc>
      </w:tr>
      <w:tr>
        <w:trPr>
          <w:trHeight w:val="136"/>
        </w:trPr>
        <w:tc>
          <w:tcPr>
            <w:tcW w:w="8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200" w:type="dxa"/>
            <w:vAlign w:val="bottom"/>
          </w:tcPr>
          <w:p>
            <w:pPr>
              <w:spacing w:after="0"/>
              <w:rPr>
                <w:sz w:val="11"/>
                <w:szCs w:val="11"/>
                <w:color w:val="auto"/>
              </w:rPr>
            </w:pPr>
          </w:p>
        </w:tc>
        <w:tc>
          <w:tcPr>
            <w:tcW w:w="1120" w:type="dxa"/>
            <w:vAlign w:val="bottom"/>
            <w:gridSpan w:val="2"/>
          </w:tcPr>
          <w:p>
            <w:pPr>
              <w:jc w:val="center"/>
              <w:ind w:right="320"/>
              <w:spacing w:after="0" w:line="136"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200" w:type="dxa"/>
            <w:vAlign w:val="bottom"/>
          </w:tcPr>
          <w:p>
            <w:pPr>
              <w:spacing w:after="0"/>
              <w:rPr>
                <w:sz w:val="11"/>
                <w:szCs w:val="11"/>
                <w:color w:val="auto"/>
              </w:rPr>
            </w:pPr>
          </w:p>
        </w:tc>
        <w:tc>
          <w:tcPr>
            <w:tcW w:w="110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220" w:type="dxa"/>
            <w:vAlign w:val="bottom"/>
          </w:tcPr>
          <w:p>
            <w:pPr>
              <w:spacing w:after="0"/>
              <w:rPr>
                <w:sz w:val="11"/>
                <w:szCs w:val="11"/>
                <w:color w:val="auto"/>
              </w:rPr>
            </w:pPr>
          </w:p>
        </w:tc>
        <w:tc>
          <w:tcPr>
            <w:tcW w:w="112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200" w:type="dxa"/>
            <w:vAlign w:val="bottom"/>
          </w:tcPr>
          <w:p>
            <w:pPr>
              <w:spacing w:after="0"/>
              <w:rPr>
                <w:sz w:val="11"/>
                <w:szCs w:val="11"/>
                <w:color w:val="auto"/>
              </w:rPr>
            </w:pPr>
          </w:p>
        </w:tc>
        <w:tc>
          <w:tcPr>
            <w:tcW w:w="112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34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9"/>
              </w:rPr>
              <w:t>Estimated</w:t>
            </w:r>
          </w:p>
        </w:tc>
      </w:tr>
      <w:tr>
        <w:trPr>
          <w:trHeight w:val="163"/>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Value</w:t>
            </w:r>
          </w:p>
        </w:tc>
        <w:tc>
          <w:tcPr>
            <w:tcW w:w="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r>
      <w:tr>
        <w:trPr>
          <w:trHeight w:val="331"/>
        </w:trPr>
        <w:tc>
          <w:tcPr>
            <w:tcW w:w="33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Held-to-Maturity Securities: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5"/>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1,229,170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(39,630)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(15,990)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1,173,550</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r>
      <w:tr>
        <w:trPr>
          <w:trHeight w:val="167"/>
        </w:trPr>
        <w:tc>
          <w:tcPr>
            <w:tcW w:w="3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6"/>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499,719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499,065</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r>
      <w:tr>
        <w:trPr>
          <w:trHeight w:val="166"/>
        </w:trPr>
        <w:tc>
          <w:tcPr>
            <w:tcW w:w="3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Exchange traded debt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304,111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248,500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76"/>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66"/>
        </w:trPr>
        <w:tc>
          <w:tcPr>
            <w:tcW w:w="33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5,014,342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(976,192)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4,038,150</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67.8%</w:t>
            </w:r>
          </w:p>
        </w:tc>
      </w:tr>
      <w:tr>
        <w:trPr>
          <w:trHeight w:val="181"/>
        </w:trPr>
        <w:tc>
          <w:tcPr>
            <w:tcW w:w="33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7,047,342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(40,284)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(1,047,793)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5,959,265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bl>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Held-to-maturity U.S. Treasury securities are held in trust pursuant to various states’ minimum fund requirements.</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A summary of the amortized cost and estimated fair value of our investments in held-to-maturity securities by contractual maturity as of December 31, 2025 and 2024 is shown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20" w:type="dxa"/>
            <w:vAlign w:val="bottom"/>
            <w:tcBorders>
              <w:bottom w:val="single" w:sz="8" w:color="auto"/>
            </w:tcBorders>
          </w:tcPr>
          <w:p>
            <w:pPr>
              <w:spacing w:after="0"/>
              <w:rPr>
                <w:sz w:val="14"/>
                <w:szCs w:val="14"/>
                <w:color w:val="auto"/>
              </w:rPr>
            </w:pPr>
          </w:p>
        </w:tc>
      </w:tr>
      <w:tr>
        <w:trPr>
          <w:trHeight w:val="132"/>
        </w:trPr>
        <w:tc>
          <w:tcPr>
            <w:tcW w:w="3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gridSpan w:val="2"/>
          </w:tcPr>
          <w:p>
            <w:pPr>
              <w:jc w:val="center"/>
              <w:ind w:right="4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560" w:type="dxa"/>
            <w:vAlign w:val="bottom"/>
          </w:tcPr>
          <w:p>
            <w:pPr>
              <w:spacing w:after="0"/>
              <w:rPr>
                <w:sz w:val="11"/>
                <w:szCs w:val="11"/>
                <w:color w:val="auto"/>
              </w:rPr>
            </w:pPr>
          </w:p>
        </w:tc>
        <w:tc>
          <w:tcPr>
            <w:tcW w:w="144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340" w:type="dxa"/>
            <w:vAlign w:val="bottom"/>
          </w:tcPr>
          <w:p>
            <w:pPr>
              <w:spacing w:after="0"/>
              <w:rPr>
                <w:sz w:val="11"/>
                <w:szCs w:val="11"/>
                <w:color w:val="auto"/>
              </w:rPr>
            </w:pPr>
          </w:p>
        </w:tc>
        <w:tc>
          <w:tcPr>
            <w:tcW w:w="1460" w:type="dxa"/>
            <w:vAlign w:val="bottom"/>
            <w:gridSpan w:val="2"/>
          </w:tcPr>
          <w:p>
            <w:pPr>
              <w:jc w:val="center"/>
              <w:ind w:right="400"/>
              <w:spacing w:after="0" w:line="132"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520" w:type="dxa"/>
            <w:vAlign w:val="bottom"/>
          </w:tcPr>
          <w:p>
            <w:pPr>
              <w:spacing w:after="0"/>
              <w:rPr>
                <w:sz w:val="11"/>
                <w:szCs w:val="11"/>
                <w:color w:val="auto"/>
              </w:rPr>
            </w:pPr>
          </w:p>
        </w:tc>
        <w:tc>
          <w:tcPr>
            <w:tcW w:w="1220" w:type="dxa"/>
            <w:vAlign w:val="bottom"/>
          </w:tcPr>
          <w:p>
            <w:pPr>
              <w:jc w:val="right"/>
              <w:ind w:right="540"/>
              <w:spacing w:after="0" w:line="132" w:lineRule="exact"/>
              <w:rPr>
                <w:sz w:val="20"/>
                <w:szCs w:val="20"/>
                <w:color w:val="auto"/>
              </w:rPr>
            </w:pPr>
            <w:r>
              <w:rPr>
                <w:rFonts w:ascii="Times New Roman" w:cs="Times New Roman" w:eastAsia="Times New Roman" w:hAnsi="Times New Roman"/>
                <w:sz w:val="12"/>
                <w:szCs w:val="12"/>
                <w:b w:val="1"/>
                <w:bCs w:val="1"/>
                <w:color w:val="auto"/>
              </w:rPr>
              <w:t>Estimated</w:t>
            </w:r>
          </w:p>
        </w:tc>
      </w:tr>
      <w:tr>
        <w:trPr>
          <w:trHeight w:val="163"/>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Remaining Time to Maturity</w:t>
            </w:r>
          </w:p>
        </w:tc>
        <w:tc>
          <w:tcPr>
            <w:tcW w:w="38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56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3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520" w:type="dxa"/>
            <w:vAlign w:val="bottom"/>
          </w:tcPr>
          <w:p>
            <w:pPr>
              <w:spacing w:after="0"/>
              <w:rPr>
                <w:sz w:val="14"/>
                <w:szCs w:val="14"/>
                <w:color w:val="auto"/>
              </w:rPr>
            </w:pPr>
          </w:p>
        </w:tc>
        <w:tc>
          <w:tcPr>
            <w:tcW w:w="1220" w:type="dxa"/>
            <w:vAlign w:val="bottom"/>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64"/>
        </w:trPr>
        <w:tc>
          <w:tcPr>
            <w:tcW w:w="3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171"/>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than one year</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499,719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499,065</w:t>
            </w:r>
          </w:p>
        </w:tc>
      </w:tr>
      <w:tr>
        <w:trPr>
          <w:trHeight w:val="167"/>
        </w:trPr>
        <w:tc>
          <w:tcPr>
            <w:tcW w:w="3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One to five years</w:t>
            </w:r>
          </w:p>
        </w:tc>
        <w:tc>
          <w:tcPr>
            <w:tcW w:w="3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2,063,366</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2,029,462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622,375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600,288</w:t>
            </w:r>
          </w:p>
        </w:tc>
      </w:tr>
      <w:tr>
        <w:trPr>
          <w:trHeight w:val="17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Five to ten years</w:t>
            </w:r>
          </w:p>
        </w:tc>
        <w:tc>
          <w:tcPr>
            <w:tcW w:w="38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1,427,579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1,323,600</w:t>
            </w:r>
          </w:p>
        </w:tc>
      </w:tr>
      <w:tr>
        <w:trPr>
          <w:trHeight w:val="166"/>
        </w:trPr>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More than 10 years</w:t>
            </w:r>
          </w:p>
        </w:tc>
        <w:tc>
          <w:tcPr>
            <w:tcW w:w="3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3,978,982</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3,107,805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4,497,669</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3,536,312</w:t>
            </w:r>
          </w:p>
        </w:tc>
      </w:tr>
      <w:tr>
        <w:trPr>
          <w:trHeight w:val="181"/>
        </w:trPr>
        <w:tc>
          <w:tcPr>
            <w:tcW w:w="3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6,042,348</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5,137,267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7,047,342</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5,959,265</w:t>
            </w:r>
          </w:p>
        </w:tc>
      </w:tr>
      <w:tr>
        <w:trPr>
          <w:trHeight w:val="603"/>
        </w:trPr>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51</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2"/>
        </w:trPr>
        <w:tc>
          <w:tcPr>
            <w:tcW w:w="36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Credit Rating of Fixed-Maturity Securities</w:t>
      </w:r>
    </w:p>
    <w:p>
      <w:pPr>
        <w:spacing w:after="0" w:line="154" w:lineRule="exact"/>
        <w:rPr>
          <w:sz w:val="20"/>
          <w:szCs w:val="20"/>
          <w:color w:val="auto"/>
        </w:rPr>
      </w:pPr>
    </w:p>
    <w:p>
      <w:pPr>
        <w:ind w:right="20" w:firstLine="405"/>
        <w:spacing w:after="0" w:line="264" w:lineRule="auto"/>
        <w:rPr>
          <w:sz w:val="20"/>
          <w:szCs w:val="20"/>
          <w:color w:val="auto"/>
        </w:rPr>
      </w:pPr>
      <w:r>
        <w:rPr>
          <w:rFonts w:ascii="Times New Roman" w:cs="Times New Roman" w:eastAsia="Times New Roman" w:hAnsi="Times New Roman"/>
          <w:sz w:val="12"/>
          <w:szCs w:val="12"/>
          <w:color w:val="auto"/>
        </w:rPr>
        <w:t>The table below summarizes the credit quality of our available-for-sale fixed-maturity securities as of December 31, 2025 and 2024 as rated by Standard and Poor’s (or, if unavailable from Standard and Poor’s, then Moody’s, Fitch, or Kroll):</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3"/>
          </w:tcPr>
          <w:p>
            <w:pPr>
              <w:jc w:val="right"/>
              <w:ind w:right="102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6"/>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180"/>
              <w:spacing w:after="0" w:line="136"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1140" w:type="dxa"/>
            <w:vAlign w:val="bottom"/>
          </w:tcPr>
          <w:p>
            <w:pPr>
              <w:jc w:val="center"/>
              <w:ind w:left="320"/>
              <w:spacing w:after="0" w:line="136" w:lineRule="exact"/>
              <w:rPr>
                <w:sz w:val="20"/>
                <w:szCs w:val="20"/>
                <w:color w:val="auto"/>
              </w:rPr>
            </w:pPr>
            <w:r>
              <w:rPr>
                <w:rFonts w:ascii="Times New Roman" w:cs="Times New Roman" w:eastAsia="Times New Roman" w:hAnsi="Times New Roman"/>
                <w:sz w:val="12"/>
                <w:szCs w:val="12"/>
                <w:b w:val="1"/>
                <w:bCs w:val="1"/>
                <w:color w:val="auto"/>
                <w:w w:val="97"/>
              </w:rPr>
              <w:t>Percentage of</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2"/>
                <w:szCs w:val="12"/>
                <w:b w:val="1"/>
                <w:bCs w:val="1"/>
                <w:color w:val="auto"/>
                <w:w w:val="99"/>
              </w:rPr>
              <w:t>Estimated</w:t>
            </w:r>
          </w:p>
        </w:tc>
        <w:tc>
          <w:tcPr>
            <w:tcW w:w="1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b w:val="1"/>
                <w:bCs w:val="1"/>
                <w:color w:val="auto"/>
                <w:w w:val="97"/>
              </w:rPr>
              <w:t>Percentage of</w:t>
            </w:r>
          </w:p>
        </w:tc>
      </w:tr>
      <w:tr>
        <w:trPr>
          <w:trHeight w:val="135"/>
        </w:trPr>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34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1140" w:type="dxa"/>
            <w:vAlign w:val="bottom"/>
          </w:tcPr>
          <w:p>
            <w:pPr>
              <w:jc w:val="center"/>
              <w:ind w:left="3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Estimated</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15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Estimated</w:t>
            </w:r>
          </w:p>
        </w:tc>
      </w:tr>
      <w:tr>
        <w:trPr>
          <w:trHeight w:val="163"/>
        </w:trPr>
        <w:tc>
          <w:tcPr>
            <w:tcW w:w="4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3"/>
              </w:rPr>
              <w:t>Value</w:t>
            </w:r>
          </w:p>
        </w:tc>
        <w:tc>
          <w:tcPr>
            <w:tcW w:w="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Fair Value</w:t>
            </w:r>
          </w:p>
        </w:tc>
      </w:tr>
      <w:tr>
        <w:trPr>
          <w:trHeight w:val="331"/>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Rating</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1"/>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1,007,198</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64"/>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r>
      <w:tr>
        <w:trPr>
          <w:trHeight w:val="171"/>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municipal bonds</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7"/>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AAA</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3,388,595</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3,232,352</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75"/>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AA</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18,728,005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22,844,557</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67"/>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72,631,685</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61,528,377</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r>
      <w:tr>
        <w:trPr>
          <w:trHeight w:val="176"/>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BBB+</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29,128,976</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20,827,660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r>
      <w:tr>
        <w:trPr>
          <w:trHeight w:val="16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BBB</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24,203,080</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13,933,733</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76"/>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BBB-</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1,958,225</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1,953,596</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6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BB</w:t>
            </w:r>
          </w:p>
        </w:tc>
        <w:tc>
          <w:tcPr>
            <w:tcW w:w="2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991,550</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0.5 %</w:t>
            </w:r>
          </w:p>
        </w:tc>
      </w:tr>
      <w:tr>
        <w:trPr>
          <w:trHeight w:val="160"/>
        </w:trPr>
        <w:tc>
          <w:tcPr>
            <w:tcW w:w="498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corporate and municipal bonds</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150,038,566</w:t>
            </w:r>
          </w:p>
        </w:tc>
        <w:tc>
          <w:tcPr>
            <w:tcW w:w="8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125,311,825</w:t>
            </w: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w:t>
            </w:r>
          </w:p>
        </w:tc>
      </w:tr>
      <w:tr>
        <w:trPr>
          <w:trHeight w:val="165"/>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1"/>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 mortgage backed, asset backed, and other collateralized obligations</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66"/>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AAA</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50,779,398</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15,961,257</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r>
      <w:tr>
        <w:trPr>
          <w:trHeight w:val="176"/>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AA</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64,073,127</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34,893,057</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r>
      <w:tr>
        <w:trPr>
          <w:trHeight w:val="167"/>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A</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22,403,831</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9,927,371</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r>
      <w:tr>
        <w:trPr>
          <w:trHeight w:val="175"/>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CCC</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422,903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372,787</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67"/>
        </w:trPr>
        <w:tc>
          <w:tcPr>
            <w:tcW w:w="49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CC</w:t>
            </w:r>
          </w:p>
        </w:tc>
        <w:tc>
          <w:tcPr>
            <w:tcW w:w="28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82,696</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75"/>
        </w:trPr>
        <w:tc>
          <w:tcPr>
            <w:tcW w:w="4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Non rated</w:t>
            </w: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312,167</w:t>
            </w:r>
          </w:p>
        </w:tc>
        <w:tc>
          <w:tcPr>
            <w:tcW w:w="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344,445</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7"/>
        </w:trPr>
        <w:tc>
          <w:tcPr>
            <w:tcW w:w="498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Total residential mortgage backed, asset backed,</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71"/>
        </w:trPr>
        <w:tc>
          <w:tcPr>
            <w:tcW w:w="4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and other collateralized obligations</w:t>
            </w:r>
          </w:p>
        </w:tc>
        <w:tc>
          <w:tcPr>
            <w:tcW w:w="2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137,991,426</w:t>
            </w:r>
          </w:p>
        </w:tc>
        <w:tc>
          <w:tcPr>
            <w:tcW w:w="8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61,581,613</w:t>
            </w:r>
          </w:p>
        </w:tc>
        <w:tc>
          <w:tcPr>
            <w:tcW w:w="8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w:t>
            </w:r>
          </w:p>
        </w:tc>
      </w:tr>
      <w:tr>
        <w:trPr>
          <w:trHeight w:val="164"/>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7"/>
        </w:trPr>
        <w:tc>
          <w:tcPr>
            <w:tcW w:w="49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289,037,190</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186,893,438</w:t>
            </w:r>
          </w:p>
        </w:tc>
        <w:tc>
          <w:tcPr>
            <w:tcW w:w="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612"/>
        </w:trPr>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3"/>
        </w:trPr>
        <w:tc>
          <w:tcPr>
            <w:tcW w:w="49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5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i w:val="1"/>
                <w:iCs w:val="1"/>
                <w:color w:val="0000FF"/>
                <w:w w:val="96"/>
              </w:rPr>
              <w:t>Table of Contents</w:t>
            </w:r>
          </w:p>
        </w:tc>
        <w:tc>
          <w:tcPr>
            <w:tcW w:w="7160" w:type="dxa"/>
            <w:vAlign w:val="bottom"/>
            <w:gridSpan w:val="2"/>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628"/>
        </w:trPr>
        <w:tc>
          <w:tcPr>
            <w:tcW w:w="8000" w:type="dxa"/>
            <w:vAlign w:val="bottom"/>
            <w:gridSpan w:val="3"/>
          </w:tcPr>
          <w:p>
            <w:pPr>
              <w:ind w:left="400"/>
              <w:spacing w:after="0"/>
              <w:rPr>
                <w:sz w:val="20"/>
                <w:szCs w:val="20"/>
                <w:color w:val="auto"/>
              </w:rPr>
            </w:pPr>
            <w:r>
              <w:rPr>
                <w:rFonts w:ascii="Times New Roman" w:cs="Times New Roman" w:eastAsia="Times New Roman" w:hAnsi="Times New Roman"/>
                <w:sz w:val="12"/>
                <w:szCs w:val="12"/>
                <w:color w:val="auto"/>
              </w:rPr>
              <w:t>The table below details the average yield by type of fixed-maturity security as of December 31, 2025 and 2024:</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3"/>
        </w:trPr>
        <w:tc>
          <w:tcPr>
            <w:tcW w:w="7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8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80" w:type="dxa"/>
            <w:vAlign w:val="bottom"/>
            <w:tcBorders>
              <w:bottom w:val="single" w:sz="8" w:color="CCEEFF"/>
            </w:tcBorders>
          </w:tcPr>
          <w:p>
            <w:pPr>
              <w:spacing w:after="0"/>
              <w:rPr>
                <w:sz w:val="24"/>
                <w:szCs w:val="24"/>
                <w:color w:val="auto"/>
              </w:rPr>
            </w:pPr>
          </w:p>
        </w:tc>
      </w:tr>
      <w:tr>
        <w:trPr>
          <w:trHeight w:val="16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 government corporations and agencies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80" w:type="dxa"/>
            <w:vAlign w:val="bottom"/>
            <w:shd w:val="clear" w:color="auto" w:fill="CCEEFF"/>
          </w:tcPr>
          <w:p>
            <w:pPr>
              <w:spacing w:after="0"/>
              <w:rPr>
                <w:sz w:val="13"/>
                <w:szCs w:val="13"/>
                <w:color w:val="auto"/>
              </w:rPr>
            </w:pPr>
          </w:p>
        </w:tc>
      </w:tr>
      <w:tr>
        <w:trPr>
          <w:trHeight w:val="180"/>
        </w:trPr>
        <w:tc>
          <w:tcPr>
            <w:tcW w:w="79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Political subdivisions of States, Territories and Possessions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shd w:val="clear" w:color="auto" w:fill="CCEEFF"/>
          </w:tcPr>
          <w:p>
            <w:pPr>
              <w:spacing w:after="0"/>
              <w:rPr>
                <w:sz w:val="14"/>
                <w:szCs w:val="14"/>
                <w:color w:val="auto"/>
              </w:rPr>
            </w:pPr>
          </w:p>
        </w:tc>
      </w:tr>
      <w:tr>
        <w:trPr>
          <w:trHeight w:val="180"/>
        </w:trPr>
        <w:tc>
          <w:tcPr>
            <w:tcW w:w="79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 Industrial and miscellaneous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w:t>
            </w:r>
          </w:p>
        </w:tc>
        <w:tc>
          <w:tcPr>
            <w:tcW w:w="80" w:type="dxa"/>
            <w:vAlign w:val="bottom"/>
            <w:shd w:val="clear" w:color="auto" w:fill="CCEEFF"/>
          </w:tcPr>
          <w:p>
            <w:pPr>
              <w:spacing w:after="0"/>
              <w:rPr>
                <w:sz w:val="14"/>
                <w:szCs w:val="14"/>
                <w:color w:val="auto"/>
              </w:rPr>
            </w:pPr>
          </w:p>
        </w:tc>
      </w:tr>
      <w:tr>
        <w:trPr>
          <w:trHeight w:val="180"/>
        </w:trPr>
        <w:tc>
          <w:tcPr>
            <w:tcW w:w="79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 mortgage backed securities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w:t>
            </w:r>
          </w:p>
        </w:tc>
        <w:tc>
          <w:tcPr>
            <w:tcW w:w="80" w:type="dxa"/>
            <w:vAlign w:val="bottom"/>
            <w:shd w:val="clear" w:color="auto" w:fill="CCEEFF"/>
          </w:tcPr>
          <w:p>
            <w:pPr>
              <w:spacing w:after="0"/>
              <w:rPr>
                <w:sz w:val="14"/>
                <w:szCs w:val="14"/>
                <w:color w:val="auto"/>
              </w:rPr>
            </w:pPr>
          </w:p>
        </w:tc>
      </w:tr>
      <w:tr>
        <w:trPr>
          <w:trHeight w:val="180"/>
        </w:trPr>
        <w:tc>
          <w:tcPr>
            <w:tcW w:w="79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80" w:type="dxa"/>
            <w:vAlign w:val="bottom"/>
            <w:shd w:val="clear" w:color="auto" w:fill="CCEEFF"/>
          </w:tcPr>
          <w:p>
            <w:pPr>
              <w:spacing w:after="0"/>
              <w:rPr>
                <w:sz w:val="14"/>
                <w:szCs w:val="14"/>
                <w:color w:val="auto"/>
              </w:rPr>
            </w:pPr>
          </w:p>
        </w:tc>
      </w:tr>
    </w:tbl>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4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The table below lists the weighted average maturity and effective duration in years on our fixed-maturity securities as of December 31, 2025 and 2024: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20"/>
        </w:trPr>
        <w:tc>
          <w:tcPr>
            <w:tcW w:w="816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w w:val="98"/>
              </w:rPr>
              <w:t>December 31, 2025</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64"/>
        </w:trPr>
        <w:tc>
          <w:tcPr>
            <w:tcW w:w="8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effective maturity</w:t>
            </w:r>
          </w:p>
        </w:tc>
        <w:tc>
          <w:tcPr>
            <w:tcW w:w="12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8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80" w:type="dxa"/>
            <w:vAlign w:val="bottom"/>
            <w:tcBorders>
              <w:top w:val="single" w:sz="8" w:color="CCEEFF"/>
            </w:tcBorders>
            <w:shd w:val="clear" w:color="auto" w:fill="CCEEFF"/>
          </w:tcPr>
          <w:p>
            <w:pPr>
              <w:spacing w:after="0"/>
              <w:rPr>
                <w:sz w:val="14"/>
                <w:szCs w:val="14"/>
                <w:color w:val="auto"/>
              </w:rPr>
            </w:pPr>
          </w:p>
        </w:tc>
      </w:tr>
      <w:tr>
        <w:trPr>
          <w:trHeight w:val="180"/>
        </w:trPr>
        <w:tc>
          <w:tcPr>
            <w:tcW w:w="8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final maturity</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shd w:val="clear" w:color="auto" w:fill="CCEEFF"/>
          </w:tcPr>
          <w:p>
            <w:pPr>
              <w:spacing w:after="0"/>
              <w:rPr>
                <w:sz w:val="14"/>
                <w:szCs w:val="14"/>
                <w:color w:val="auto"/>
              </w:rPr>
            </w:pPr>
          </w:p>
        </w:tc>
      </w:tr>
      <w:tr>
        <w:trPr>
          <w:trHeight w:val="180"/>
        </w:trPr>
        <w:tc>
          <w:tcPr>
            <w:tcW w:w="8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duration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80" w:type="dxa"/>
            <w:vAlign w:val="bottom"/>
            <w:shd w:val="clear" w:color="auto" w:fill="CCEEFF"/>
          </w:tcPr>
          <w:p>
            <w:pPr>
              <w:spacing w:after="0"/>
              <w:rPr>
                <w:sz w:val="14"/>
                <w:szCs w:val="14"/>
                <w:color w:val="auto"/>
              </w:rPr>
            </w:pPr>
          </w:p>
        </w:tc>
      </w:tr>
    </w:tbl>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Fair Value Consideration</w:t>
      </w:r>
    </w:p>
    <w:p>
      <w:pPr>
        <w:spacing w:after="0" w:line="14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As disclosed in Note 4 to the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2025 and 2024, 47% and 59%, respectively, of the investment portfolio recorded at fair value was priced based upon quoted market prices.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primary source of cash flow for the Holding Company are dividends and distributions received from KICO, which are subject to statutory restrictions. For the Year Ended 2025, KICO paid dividends of $7,950,000 to the Holding Company. As of December 31, 2025, the maximum dividends that KICO can pay to us is restricted to the lesser of 10% of statutory surplus as shown by its last statement on file with DFS, or 100% of net investment income of the preceding 36</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months reduced by dividends paid during such period. As of December 31, 2025, the maximum allowable dividend that KICO may pay to KINS was $1,969,796 without DFS approval.</w:t>
      </w:r>
    </w:p>
    <w:p>
      <w:pPr>
        <w:spacing w:after="0" w:line="15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1"/>
          <w:szCs w:val="11"/>
          <w:color w:val="auto"/>
        </w:rPr>
        <w:t>KICO is a member of the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3 – Investments to our consolidated financial statements for eligible collateral held in a designated custodian account available for future advances. Advances are limited to 5% of KICO’s net admitted assets as of the end of the previous quarter, which is September 30, 2025.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The maximum allowable advance as of December 31, 2025, based on the net admitted assets as of September 30, 2025, was approximately $16,873,000. Available collateral as of December 31, 2025 was approximately $9,598,000. Effective April 15, 2025, advances are limited to 91% of the amount of available collateral. Prior to April 15, 2025, advances were limited to 85% of the amount of available collateral. There were no borrowings under this facility during the years ended December 31, 2025 and 2024.</w:t>
      </w:r>
    </w:p>
    <w:p>
      <w:pPr>
        <w:spacing w:after="0" w:line="11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April 5, 2024, we filed a shelf registration (the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19" w:lineRule="exact"/>
        <w:rPr>
          <w:sz w:val="20"/>
          <w:szCs w:val="20"/>
          <w:color w:val="auto"/>
        </w:rPr>
      </w:pPr>
    </w:p>
    <w:p>
      <w:pPr>
        <w:jc w:val="both"/>
        <w:ind w:firstLine="432"/>
        <w:spacing w:after="0" w:line="291" w:lineRule="auto"/>
        <w:rPr>
          <w:sz w:val="20"/>
          <w:szCs w:val="20"/>
          <w:color w:val="auto"/>
        </w:rPr>
      </w:pPr>
      <w:r>
        <w:rPr>
          <w:rFonts w:ascii="Times New Roman" w:cs="Times New Roman" w:eastAsia="Times New Roman" w:hAnsi="Times New Roman"/>
          <w:sz w:val="11"/>
          <w:szCs w:val="11"/>
          <w:color w:val="auto"/>
        </w:rPr>
        <w:t>In May 2024, we entered into a Sales Agreement with Janney Montgomery Scott LLC (the “Sales Agent”) under which we initially had the ability to issue and sell shares of our Common Stock, from time to time, through the Sales Agent, pursuant to the Shelf Registration Statement, up to an aggregate offering price of approximately $16,400,000 in what is commonly referred to as an “at-the-market” (“ATM”) program. On January 7, 2025, we filed a prospectus supplement providing for a going forward aggregate offering price for the ATM program of $25,000,000. During the year ended December 31, 2025, we sold 612,999 shares of our Common Stock at a weighted average price of $16.00 per share and raised $9,464,323 in net proceeds under the ATM program. As of December 31, 2025, we had remaining capacity to sell up to an additional $15,945,937 of our Common Stock under the ATM program.</w:t>
      </w:r>
    </w:p>
    <w:p>
      <w:pPr>
        <w:spacing w:after="0" w:line="10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September 12, 2024, we issued the 2024 Notes in the aggregate principal amount of $14,950,000 pursuant to the 2024 Exchange Agreement. Beginning in the third quarter of 2024 through the first quarter of 2025, we paid optional principal amounts, reducing the balance of the 2024 Notes, and completely satisfying the obligation on February 24, 2025.</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the aforementioned sources of cash flow currently available are insufficient to cover our Holding Company cash requirements, we will seek to obtain additional financing.</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Cash flow and liquidity are categorized into three sources: (1) operating activities; (2) investing activities; and (3) financing activities, which are shown in the following table: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Years ended December 31,</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r>
      <w:tr>
        <w:trPr>
          <w:trHeight w:val="331"/>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flows provided by (used in):</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Operating activities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75,859,517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57,947,771</w:t>
            </w:r>
          </w:p>
        </w:tc>
        <w:tc>
          <w:tcPr>
            <w:tcW w:w="80" w:type="dxa"/>
            <w:vAlign w:val="bottom"/>
            <w:shd w:val="clear" w:color="auto" w:fill="CCEEFF"/>
          </w:tcPr>
          <w:p>
            <w:pPr>
              <w:spacing w:after="0"/>
              <w:rPr>
                <w:sz w:val="15"/>
                <w:szCs w:val="15"/>
                <w:color w:val="auto"/>
              </w:rPr>
            </w:pPr>
          </w:p>
        </w:tc>
      </w:tr>
      <w:tr>
        <w:trPr>
          <w:trHeight w:val="166"/>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Investing activities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(92,856,302)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(35,261,441)</w:t>
            </w:r>
          </w:p>
        </w:tc>
        <w:tc>
          <w:tcPr>
            <w:tcW w:w="80" w:type="dxa"/>
            <w:vAlign w:val="bottom"/>
          </w:tcPr>
          <w:p>
            <w:pPr>
              <w:spacing w:after="0"/>
              <w:rPr>
                <w:sz w:val="14"/>
                <w:szCs w:val="14"/>
                <w:color w:val="auto"/>
              </w:rPr>
            </w:pPr>
          </w:p>
        </w:tc>
      </w:tr>
      <w:tr>
        <w:trPr>
          <w:trHeight w:val="176"/>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Financing activities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506,074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(2,993,887)</w:t>
            </w:r>
          </w:p>
        </w:tc>
        <w:tc>
          <w:tcPr>
            <w:tcW w:w="80" w:type="dxa"/>
            <w:vAlign w:val="bottom"/>
            <w:shd w:val="clear" w:color="auto" w:fill="CCEEFF"/>
          </w:tcPr>
          <w:p>
            <w:pPr>
              <w:spacing w:after="0"/>
              <w:rPr>
                <w:sz w:val="15"/>
                <w:szCs w:val="15"/>
                <w:color w:val="auto"/>
              </w:rPr>
            </w:pPr>
          </w:p>
        </w:tc>
      </w:tr>
      <w:tr>
        <w:trPr>
          <w:trHeight w:val="156"/>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(decrease) increase in cash and cash equivalents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(16,490,711)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19,692,443</w:t>
            </w:r>
          </w:p>
        </w:tc>
        <w:tc>
          <w:tcPr>
            <w:tcW w:w="80" w:type="dxa"/>
            <w:vAlign w:val="bottom"/>
          </w:tcPr>
          <w:p>
            <w:pPr>
              <w:spacing w:after="0"/>
              <w:rPr>
                <w:sz w:val="13"/>
                <w:szCs w:val="13"/>
                <w:color w:val="auto"/>
              </w:rPr>
            </w:pPr>
          </w:p>
        </w:tc>
      </w:tr>
      <w:tr>
        <w:trPr>
          <w:trHeight w:val="176"/>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beginning of period</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28,669,441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28,669,441</w:t>
            </w:r>
          </w:p>
        </w:tc>
        <w:tc>
          <w:tcPr>
            <w:tcW w:w="80" w:type="dxa"/>
            <w:vAlign w:val="bottom"/>
            <w:shd w:val="clear" w:color="auto" w:fill="CCEEFF"/>
          </w:tcPr>
          <w:p>
            <w:pPr>
              <w:spacing w:after="0"/>
              <w:rPr>
                <w:sz w:val="15"/>
                <w:szCs w:val="15"/>
                <w:color w:val="auto"/>
              </w:rPr>
            </w:pPr>
          </w:p>
        </w:tc>
      </w:tr>
      <w:tr>
        <w:trPr>
          <w:trHeight w:val="156"/>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end of period</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12,178,730</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28,669,441</w:t>
            </w:r>
          </w:p>
        </w:tc>
        <w:tc>
          <w:tcPr>
            <w:tcW w:w="80" w:type="dxa"/>
            <w:vAlign w:val="bottom"/>
          </w:tcPr>
          <w:p>
            <w:pPr>
              <w:spacing w:after="0"/>
              <w:rPr>
                <w:sz w:val="13"/>
                <w:szCs w:val="13"/>
                <w:color w:val="auto"/>
              </w:rPr>
            </w:pPr>
          </w:p>
        </w:tc>
      </w:tr>
      <w:tr>
        <w:trPr>
          <w:trHeight w:val="20"/>
        </w:trPr>
        <w:tc>
          <w:tcPr>
            <w:tcW w:w="8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$75,860,000 in the Year Ended 2025 as compared to $57,948,000 provided by operating activities in the Year Ended 2024. The $17,912,000 increase in cash flows provided by operating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activities in the Year Ended 2025 as compared to the Year Ended 2024 was primarily the result of an increase in net income (adjusted for non-cash items) of $16,190,000 and cash provided from net fluctuations in operating assets and liabilities. The net fluctuations in assets and liabilities are related to operating activities of KICO as affected by growth or declines in its operations, payments on claims and other changes, which are described above.</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Net cash used in investing activities was $92,856,000 in the Year Ended 2025 compared to $35,261,000 used in investing activities in the Year Ended 2024 resulting in a $57,595,000 increase in net cash used in investing activities. In the Year Ended 2025 we had net cash used by our investment portfolio of $93,649,000, compared to $32,924,000 used in the Year Ended 2024. In the Year Ended 2025 one of our subsidiaries received gross proceeds of $3,600,000 from the sale of real estate that was used as our headquarters building.</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Net cash provided by financing activities was $506,000 in the Year Ended 2025 compared to $2,994,000 used in the Year Ended 2024. In the Year Ended 2025, we received net proceeds of $9,470,000 from our ATM offering. This amount was offset primarily by principal payments of $5,950,000 on our 2024 Notes, $1,223,000 on our equipment financing debt in connection with KICO’s sale-leaseback transaction, $562,000 for withholding taxes paid on vested restricted stock awards and the exercise of stock options, and shareholder dividend payments of $1,414,000. The principal payments on the 2024 Notes were made by using a portion of the net proceeds from our ATM offering. Net cash used in financing activities in the Year Ended 2024 were primarily principal payments of $5,000,000 on our 2022 Notes, $9,000,000 on our 2024 Notes, and $1,154,000 principal payments on our equipment financing debt. The principal payments in the Year Ended 2024 on the 2024 Notes were made by using a portion of the $13,611,000 net proceeds from our ATM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Reinsurance</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provides summary information with respect to each reinsurer that accounted for more than 10% of our reinsurance recoverables on paid and unpaid losses and loss adjustment expenses as of December 31,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6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rPr>
              <w:t>Recoverable</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A.M.</w:t>
            </w:r>
          </w:p>
        </w:tc>
        <w:tc>
          <w:tcPr>
            <w:tcW w:w="16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as of</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Best Rating</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December 31, 2025</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65"/>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Swiss Reinsurance America Corporation</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A+</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9,658,000</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80" w:type="dxa"/>
            <w:vAlign w:val="bottom"/>
            <w:shd w:val="clear" w:color="auto" w:fill="CCEEFF"/>
          </w:tcPr>
          <w:p>
            <w:pPr>
              <w:spacing w:after="0"/>
              <w:rPr>
                <w:sz w:val="14"/>
                <w:szCs w:val="14"/>
                <w:color w:val="auto"/>
              </w:rPr>
            </w:pPr>
          </w:p>
        </w:tc>
      </w:tr>
      <w:tr>
        <w:trPr>
          <w:trHeight w:val="167"/>
        </w:trPr>
        <w:tc>
          <w:tcPr>
            <w:tcW w:w="6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Hanover Rueck SE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A+</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12,373,000</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w:t>
            </w:r>
          </w:p>
        </w:tc>
        <w:tc>
          <w:tcPr>
            <w:tcW w:w="80" w:type="dxa"/>
            <w:vAlign w:val="bottom"/>
          </w:tcPr>
          <w:p>
            <w:pPr>
              <w:spacing w:after="0"/>
              <w:rPr>
                <w:sz w:val="14"/>
                <w:szCs w:val="14"/>
                <w:color w:val="auto"/>
              </w:rPr>
            </w:pPr>
          </w:p>
        </w:tc>
      </w:tr>
      <w:tr>
        <w:trPr>
          <w:trHeight w:val="171"/>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Lancashire Insurance Company Limited</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1"/>
              </w:rPr>
              <w:t>A</w:t>
            </w:r>
          </w:p>
        </w:tc>
        <w:tc>
          <w:tcPr>
            <w:tcW w:w="1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7,040,000</w:t>
            </w:r>
          </w:p>
        </w:tc>
        <w:tc>
          <w:tcPr>
            <w:tcW w:w="80" w:type="dxa"/>
            <w:vAlign w:val="bottom"/>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80" w:type="dxa"/>
            <w:vAlign w:val="bottom"/>
            <w:shd w:val="clear" w:color="auto" w:fill="CCEEFF"/>
          </w:tcPr>
          <w:p>
            <w:pPr>
              <w:spacing w:after="0"/>
              <w:rPr>
                <w:sz w:val="14"/>
                <w:szCs w:val="14"/>
                <w:color w:val="auto"/>
              </w:rPr>
            </w:pPr>
          </w:p>
        </w:tc>
      </w:tr>
      <w:tr>
        <w:trPr>
          <w:trHeight w:val="160"/>
        </w:trPr>
        <w:tc>
          <w:tcPr>
            <w:tcW w:w="6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29,071,000</w:t>
            </w: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w:t>
            </w:r>
          </w:p>
        </w:tc>
        <w:tc>
          <w:tcPr>
            <w:tcW w:w="80" w:type="dxa"/>
            <w:vAlign w:val="bottom"/>
          </w:tcPr>
          <w:p>
            <w:pPr>
              <w:spacing w:after="0"/>
              <w:rPr>
                <w:sz w:val="13"/>
                <w:szCs w:val="13"/>
                <w:color w:val="auto"/>
              </w:rPr>
            </w:pPr>
          </w:p>
        </w:tc>
      </w:tr>
      <w:tr>
        <w:trPr>
          <w:trHeight w:val="176"/>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 (1)</w:t>
            </w: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6,989,000</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shd w:val="clear" w:color="auto" w:fill="CCEEFF"/>
          </w:tcPr>
          <w:p>
            <w:pPr>
              <w:spacing w:after="0"/>
              <w:rPr>
                <w:sz w:val="15"/>
                <w:szCs w:val="15"/>
                <w:color w:val="auto"/>
              </w:rPr>
            </w:pPr>
          </w:p>
        </w:tc>
      </w:tr>
      <w:tr>
        <w:trPr>
          <w:trHeight w:val="156"/>
        </w:trPr>
        <w:tc>
          <w:tcPr>
            <w:tcW w:w="6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36,060,000</w:t>
            </w:r>
          </w:p>
        </w:tc>
        <w:tc>
          <w:tcPr>
            <w:tcW w:w="8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13"/>
                <w:szCs w:val="13"/>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1340" w:hanging="700"/>
        <w:spacing w:after="0"/>
        <w:tabs>
          <w:tab w:leader="none" w:pos="13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$6,989,000 reinsurance recoverables included in Others at December 31, 2025, $384,000 was guaranteed by irrevocable letters of credit.</w:t>
      </w:r>
    </w:p>
    <w:p>
      <w:pPr>
        <w:spacing w:after="0" w:line="141"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2"/>
          <w:szCs w:val="12"/>
          <w:color w:val="auto"/>
        </w:rPr>
        <w:t>Effective January 1, 2024, we entered into a 27% quota share reinsurance treaty for our personal lines business, which primarily consisted of homeowners’ and dwelling fire policies, covering the period from January 1, 2024 through January 1, 2025 (“2024/2025 Treaty”). Upon the expiration of the 2024/2025 Treaty on January 1, 2025, we entered into a new 16% quota share reinsurance treaty for our personal lines business, covering the period from January 1, 2025 through January 1, 2026 (“2025/2026 Treaty”). Upon the expiration of the 2025/2026 Treaty on January 1, 2026, we entered into a new 5% quota share reinsurance treaty for our personal lines business (written in all states except California for which we entered into a new 30% quota share reinsurance treaty) covering the period from January 1, 2026 through January 1, 2027 (“2026/2027 Treaty”).</w:t>
      </w:r>
    </w:p>
    <w:p>
      <w:pPr>
        <w:spacing w:after="0" w:line="122"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2"/>
          <w:szCs w:val="12"/>
          <w:color w:val="auto"/>
        </w:rPr>
        <w:t>Our excess of loss and catastrophe reinsurance treaties expired on June 30, 2025 and we entered into new excess of loss and catastrophe reinsurance treaties effective July 1, 2025 (as discussed below).The new catastrophe reinsurance treaties includes the issuance of a $125,000,000 catastrophe bond ("Series 2025-1 Notes"). The Series 2025-1 Notes were priced at 4.5% and issued through a Bermuda-registered special purpose insurer, 1886 Re Ltd., providing us with $125,000,000 of collateralized reinsurance protection. The Series 2025-1 Notes offer multi-year protection against named storm events across New York, New Jersey, Connecticut, Massachusetts and Rhode Island on an indemnity trigger and per-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occurrence basis. The Series 2025-1 Notes, which were structured and placed by Aon Securities LLC, will cover four annual risk periods from July 1, 2025, through June 30, 2029.</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Effective January 1, 2024, we renewed an underlying excess of loss treaty ("Underlying XOL Treaty") covering the period from January 1, 2024 through January 1, 2025. The treaty provided 50% reinsurance coverage for losses of $400,000 in excess of $600,000. Losses from named storms were excluded from the treaty. Effective January 1, 2025, the Underlying XOL Treaty was renewed covering the period from January 1, 2025 through June 30, 2025. Effective July 1, 2025, the Underlying XOL Treaty was renewed along with our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For the period October 1, 2024 through April 30, 2025, we purchased catastrophe reinsurance which provides coverage for winter storm losses to the extent of 71% of $4,500,000 in excess of $5,500,000. For the period October 15, 2025 through April 30, 2026, we purchased catastrophe reinsurance which provides coverage for winter storm losses to the extent of 90% of $5,000,000 in excess of $5,000,000. Effective July 1, 2025, we purchased $435,000,000 of catastrophe reinsurance in excess of $5,000,000, compared to $275,000,000 of catastrophe reinsurance in excess of $5,000,000 in the expiring treaty. Material terms for our reinsurance treaties in effect for the treaty years shown below are as follows: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38"/>
        </w:trPr>
        <w:tc>
          <w:tcPr>
            <w:tcW w:w="3220" w:type="dxa"/>
            <w:vAlign w:val="bottom"/>
            <w:gridSpan w:val="5"/>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732"/>
        </w:trPr>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2"/>
                <w:szCs w:val="12"/>
                <w:b w:val="1"/>
                <w:bCs w:val="1"/>
                <w:color w:val="auto"/>
              </w:rPr>
              <w:t>Treaty Period</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2026/2027 Treaty</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2025/2026 Treaty</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4"/>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2024/2025 Treaty</w:t>
            </w:r>
          </w:p>
        </w:tc>
        <w:tc>
          <w:tcPr>
            <w:tcW w:w="80" w:type="dxa"/>
            <w:vAlign w:val="bottom"/>
          </w:tcPr>
          <w:p>
            <w:pPr>
              <w:spacing w:after="0"/>
              <w:rPr>
                <w:sz w:val="12"/>
                <w:szCs w:val="12"/>
                <w:color w:val="auto"/>
              </w:rPr>
            </w:pPr>
          </w:p>
        </w:tc>
      </w:tr>
      <w:tr>
        <w:trPr>
          <w:trHeight w:val="127"/>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July 1,</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January 2,</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July 1,</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January 2,</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July 1,</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8"/>
              </w:rPr>
              <w:t>January 1,</w:t>
            </w: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right"/>
              <w:ind w:right="460"/>
              <w:spacing w:after="0" w:line="135" w:lineRule="exact"/>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1"/>
                <w:szCs w:val="11"/>
                <w:color w:val="auto"/>
              </w:rPr>
            </w:pPr>
          </w:p>
        </w:tc>
      </w:tr>
      <w:tr>
        <w:trPr>
          <w:trHeight w:val="144"/>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to</w:t>
            </w:r>
          </w:p>
        </w:tc>
      </w:tr>
      <w:tr>
        <w:trPr>
          <w:trHeight w:val="135"/>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January 1,</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January 1,</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16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January 1,</w:t>
            </w:r>
          </w:p>
        </w:tc>
        <w:tc>
          <w:tcPr>
            <w:tcW w:w="160" w:type="dxa"/>
            <w:vAlign w:val="bottom"/>
          </w:tcPr>
          <w:p>
            <w:pPr>
              <w:spacing w:after="0"/>
              <w:rPr>
                <w:sz w:val="11"/>
                <w:szCs w:val="11"/>
                <w:color w:val="auto"/>
              </w:rPr>
            </w:pPr>
          </w:p>
        </w:tc>
        <w:tc>
          <w:tcPr>
            <w:tcW w:w="11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June 30,</w:t>
            </w:r>
          </w:p>
        </w:tc>
      </w:tr>
      <w:tr>
        <w:trPr>
          <w:trHeight w:val="163"/>
        </w:trPr>
        <w:tc>
          <w:tcPr>
            <w:tcW w:w="3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2"/>
                <w:szCs w:val="12"/>
                <w:b w:val="1"/>
                <w:bCs w:val="1"/>
                <w:color w:val="auto"/>
              </w:rPr>
              <w:t>Line of Business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2027</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4"/>
                <w:szCs w:val="14"/>
                <w:color w:val="auto"/>
              </w:rPr>
            </w:pPr>
          </w:p>
        </w:tc>
      </w:tr>
      <w:tr>
        <w:trPr>
          <w:trHeight w:val="300"/>
        </w:trPr>
        <w:tc>
          <w:tcPr>
            <w:tcW w:w="32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32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Homeowners, dwelling fire and canine legal liability</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2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Quota share treaty:</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Percent ceded (6)</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80" w:type="dxa"/>
            <w:vAlign w:val="bottom"/>
            <w:shd w:val="clear" w:color="auto" w:fill="CCEEFF"/>
          </w:tcPr>
          <w:p>
            <w:pPr>
              <w:spacing w:after="0"/>
              <w:rPr>
                <w:sz w:val="15"/>
                <w:szCs w:val="15"/>
                <w:color w:val="auto"/>
              </w:rPr>
            </w:pPr>
          </w:p>
        </w:tc>
      </w:tr>
      <w:tr>
        <w:trPr>
          <w:trHeight w:val="166"/>
        </w:trPr>
        <w:tc>
          <w:tcPr>
            <w:tcW w:w="32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Risk retained on initial</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3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$1,000,000 of losses (4) (5) (6)</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840,000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730,000</w:t>
            </w:r>
          </w:p>
        </w:tc>
        <w:tc>
          <w:tcPr>
            <w:tcW w:w="80" w:type="dxa"/>
            <w:vAlign w:val="bottom"/>
            <w:shd w:val="clear" w:color="auto" w:fill="CCEEFF"/>
          </w:tcPr>
          <w:p>
            <w:pPr>
              <w:spacing w:after="0"/>
              <w:rPr>
                <w:sz w:val="15"/>
                <w:szCs w:val="15"/>
                <w:color w:val="auto"/>
              </w:rPr>
            </w:pPr>
          </w:p>
        </w:tc>
      </w:tr>
      <w:tr>
        <w:trPr>
          <w:trHeight w:val="166"/>
        </w:trPr>
        <w:tc>
          <w:tcPr>
            <w:tcW w:w="32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Losses per occurrence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3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subject to quota share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7"/>
        </w:trPr>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reinsurance coverage</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r>
      <w:tr>
        <w:trPr>
          <w:trHeight w:val="175"/>
        </w:trPr>
        <w:tc>
          <w:tcPr>
            <w:tcW w:w="322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Expiration date</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January 1, 2027</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January 1, 2027</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January 1, 2026</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January 1, 2026</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January 1, 2025</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January 1, 2025</w:t>
            </w:r>
          </w:p>
        </w:tc>
      </w:tr>
      <w:tr>
        <w:trPr>
          <w:trHeight w:val="167"/>
        </w:trPr>
        <w:tc>
          <w:tcPr>
            <w:tcW w:w="32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Excess of loss coverage and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3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facultative facility</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7"/>
        </w:trPr>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coverage (1) (4) (5)</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8,250,000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8,250,000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8,400,000</w:t>
            </w:r>
          </w:p>
        </w:tc>
        <w:tc>
          <w:tcPr>
            <w:tcW w:w="80" w:type="dxa"/>
            <w:vAlign w:val="bottom"/>
          </w:tcPr>
          <w:p>
            <w:pPr>
              <w:spacing w:after="0"/>
              <w:rPr>
                <w:sz w:val="14"/>
                <w:szCs w:val="14"/>
                <w:color w:val="auto"/>
              </w:rPr>
            </w:pPr>
          </w:p>
        </w:tc>
      </w:tr>
      <w:tr>
        <w:trPr>
          <w:trHeight w:val="175"/>
        </w:trPr>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in excess of</w:t>
            </w: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in excess of</w:t>
            </w:r>
          </w:p>
        </w:tc>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in excess of</w:t>
            </w: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excess of</w:t>
            </w: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excess of</w:t>
            </w:r>
          </w:p>
        </w:tc>
      </w:tr>
      <w:tr>
        <w:trPr>
          <w:trHeight w:val="167"/>
        </w:trPr>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750,000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750,000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tcPr>
          <w:p>
            <w:pPr>
              <w:spacing w:after="0"/>
              <w:rPr>
                <w:sz w:val="14"/>
                <w:szCs w:val="14"/>
                <w:color w:val="auto"/>
              </w:rPr>
            </w:pPr>
          </w:p>
        </w:tc>
      </w:tr>
      <w:tr>
        <w:trPr>
          <w:trHeight w:val="176"/>
        </w:trPr>
        <w:tc>
          <w:tcPr>
            <w:tcW w:w="32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reinsurance coverage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per occurrence (4) (5)</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8,175,000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8,285,000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8,360,000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8,470,000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8,470,000</w:t>
            </w:r>
          </w:p>
        </w:tc>
        <w:tc>
          <w:tcPr>
            <w:tcW w:w="80" w:type="dxa"/>
            <w:vAlign w:val="bottom"/>
          </w:tcPr>
          <w:p>
            <w:pPr>
              <w:spacing w:after="0"/>
              <w:rPr>
                <w:sz w:val="14"/>
                <w:szCs w:val="14"/>
                <w:color w:val="auto"/>
              </w:rPr>
            </w:pPr>
          </w:p>
        </w:tc>
      </w:tr>
      <w:tr>
        <w:trPr>
          <w:trHeight w:val="176"/>
        </w:trPr>
        <w:tc>
          <w:tcPr>
            <w:tcW w:w="32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Losses per occurrence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subject to reinsurance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3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coverage (5)</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9,000,000</w:t>
            </w:r>
          </w:p>
        </w:tc>
        <w:tc>
          <w:tcPr>
            <w:tcW w:w="80" w:type="dxa"/>
            <w:vAlign w:val="bottom"/>
            <w:shd w:val="clear" w:color="auto" w:fill="CCEEFF"/>
          </w:tcPr>
          <w:p>
            <w:pPr>
              <w:spacing w:after="0"/>
              <w:rPr>
                <w:sz w:val="15"/>
                <w:szCs w:val="15"/>
                <w:color w:val="auto"/>
              </w:rPr>
            </w:pPr>
          </w:p>
        </w:tc>
      </w:tr>
      <w:tr>
        <w:trPr>
          <w:trHeight w:val="167"/>
        </w:trPr>
        <w:tc>
          <w:tcPr>
            <w:tcW w:w="3220" w:type="dxa"/>
            <w:vAlign w:val="bottom"/>
            <w:gridSpan w:val="5"/>
          </w:tcPr>
          <w:p>
            <w:pPr>
              <w:ind w:left="100"/>
              <w:spacing w:after="0"/>
              <w:rPr>
                <w:sz w:val="20"/>
                <w:szCs w:val="20"/>
                <w:color w:val="auto"/>
              </w:rPr>
            </w:pPr>
            <w:r>
              <w:rPr>
                <w:rFonts w:ascii="Times New Roman" w:cs="Times New Roman" w:eastAsia="Times New Roman" w:hAnsi="Times New Roman"/>
                <w:sz w:val="12"/>
                <w:szCs w:val="12"/>
                <w:color w:val="auto"/>
              </w:rPr>
              <w:t>Expiration date</w:t>
            </w:r>
          </w:p>
        </w:tc>
        <w:tc>
          <w:tcPr>
            <w:tcW w:w="16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30, 2026</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30, 2026</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30, 2025</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30, 2025</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8"/>
              </w:rPr>
              <w:t>June 30, 2024</w:t>
            </w:r>
          </w:p>
        </w:tc>
      </w:tr>
      <w:tr>
        <w:trPr>
          <w:trHeight w:val="184"/>
        </w:trPr>
        <w:tc>
          <w:tcPr>
            <w:tcW w:w="7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43"/>
        </w:trPr>
        <w:tc>
          <w:tcPr>
            <w:tcW w:w="1240" w:type="dxa"/>
            <w:vAlign w:val="bottom"/>
            <w:tcBorders>
              <w:bottom w:val="single" w:sz="8" w:color="auto"/>
            </w:tcBorders>
            <w:gridSpan w:val="3"/>
          </w:tcPr>
          <w:p>
            <w:pPr>
              <w:spacing w:after="0" w:line="135" w:lineRule="exact"/>
              <w:rPr>
                <w:sz w:val="20"/>
                <w:szCs w:val="20"/>
                <w:color w:val="auto"/>
              </w:rPr>
            </w:pPr>
            <w:r>
              <w:rPr>
                <w:rFonts w:ascii="Times New Roman" w:cs="Times New Roman" w:eastAsia="Times New Roman" w:hAnsi="Times New Roman"/>
                <w:sz w:val="12"/>
                <w:szCs w:val="12"/>
                <w:color w:val="auto"/>
                <w:w w:val="99"/>
              </w:rPr>
              <w:t>Catastrophe Reinsurance:</w:t>
            </w:r>
          </w:p>
        </w:tc>
        <w:tc>
          <w:tcPr>
            <w:tcW w:w="19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9"/>
        </w:trPr>
        <w:tc>
          <w:tcPr>
            <w:tcW w:w="32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Initial loss subject to personal</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lines quota share treaty (5)</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r>
      <w:tr>
        <w:trPr>
          <w:trHeight w:val="176"/>
        </w:trPr>
        <w:tc>
          <w:tcPr>
            <w:tcW w:w="32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Risk retained per catastrophe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occurrence (5) (6) (7) (8)</w:t>
            </w:r>
          </w:p>
        </w:tc>
        <w:tc>
          <w:tcPr>
            <w:tcW w:w="16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5,500,000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5,000,000</w:t>
            </w:r>
          </w:p>
        </w:tc>
        <w:tc>
          <w:tcPr>
            <w:tcW w:w="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4,250,000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4,750,000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9,500,000</w:t>
            </w:r>
          </w:p>
        </w:tc>
        <w:tc>
          <w:tcPr>
            <w:tcW w:w="80" w:type="dxa"/>
            <w:vAlign w:val="bottom"/>
          </w:tcPr>
          <w:p>
            <w:pPr>
              <w:spacing w:after="0"/>
              <w:rPr>
                <w:sz w:val="14"/>
                <w:szCs w:val="14"/>
                <w:color w:val="auto"/>
              </w:rPr>
            </w:pPr>
          </w:p>
        </w:tc>
      </w:tr>
      <w:tr>
        <w:trPr>
          <w:trHeight w:val="176"/>
        </w:trPr>
        <w:tc>
          <w:tcPr>
            <w:tcW w:w="32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Catastrophe loss coverage</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in excess of quota share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322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coverage (2) (5) (8)</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434,500,000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435,000,000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275,000,000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275,000,000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315,000,000</w:t>
            </w:r>
          </w:p>
        </w:tc>
        <w:tc>
          <w:tcPr>
            <w:tcW w:w="80" w:type="dxa"/>
            <w:vAlign w:val="bottom"/>
            <w:shd w:val="clear" w:color="auto" w:fill="CCEEFF"/>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32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Reinstatement premium</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322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protection (3)</w:t>
            </w:r>
          </w:p>
        </w:tc>
        <w:tc>
          <w:tcPr>
            <w:tcW w:w="16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6"/>
              </w:rPr>
              <w:t>Yes</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6"/>
              </w:rPr>
              <w:t>Yes</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6"/>
              </w:rPr>
              <w:t>Yes</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6"/>
              </w:rPr>
              <w:t>Yes</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6"/>
              </w:rPr>
              <w:t>Yes</w:t>
            </w:r>
          </w:p>
        </w:tc>
      </w:tr>
    </w:tbl>
    <w:p>
      <w:pPr>
        <w:spacing w:after="0" w:line="142" w:lineRule="exact"/>
        <w:rPr>
          <w:sz w:val="20"/>
          <w:szCs w:val="20"/>
          <w:color w:val="auto"/>
        </w:rPr>
      </w:pPr>
    </w:p>
    <w:p>
      <w:pPr>
        <w:ind w:left="1340" w:hanging="700"/>
        <w:spacing w:after="0" w:line="264" w:lineRule="auto"/>
        <w:tabs>
          <w:tab w:leader="none" w:pos="1336"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personal lines, includes the addition of an automatic facultative facility allowing KICO to obtain homeowners single risk coverage up to $9,000,000 in total insured value, which covers direct losses from $3,500,000 to $9,000,000 through June 30, 2026.</w:t>
      </w: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both"/>
        <w:ind w:left="1340" w:hanging="700"/>
        <w:spacing w:after="0" w:line="251" w:lineRule="auto"/>
        <w:tabs>
          <w:tab w:leader="none" w:pos="13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Duration of 168 consecutive hours for a catastrophe occurrence from windstorm, hail, tornado, hurricane and cyclone, except for winter storm coverage, which is covered under a specific declared catastrophe event.</w:t>
      </w:r>
    </w:p>
    <w:p>
      <w:pPr>
        <w:ind w:left="1340" w:hanging="700"/>
        <w:spacing w:after="0" w:line="243" w:lineRule="auto"/>
        <w:tabs>
          <w:tab w:leader="none" w:pos="13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For the period July 1, 2024 through June 30, 2025 (expiration date of the catastrophe reinsurance treaty),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w:t>
      </w:r>
    </w:p>
    <w:p>
      <w:pPr>
        <w:jc w:val="both"/>
        <w:ind w:left="1340" w:hanging="700"/>
        <w:spacing w:after="0" w:line="241" w:lineRule="auto"/>
        <w:tabs>
          <w:tab w:leader="none" w:pos="13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For the period January 1, 2024 through June 30, 2025, the Underlying XOL Treaty provides 50% reinsurance coverage for losses of $400,000 in excess of $600,000. Excludes losses from named storms. Reduces retention to $530,000 from $730,000 under the 2024/2025 Treaty.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Increased retention to $715,000 from $640,000 under the 2025/2026 Treaty, and increased retention to $825,000 under the 2026/2027 Treaty. (see note 5 below).</w:t>
      </w:r>
    </w:p>
    <w:p>
      <w:pPr>
        <w:jc w:val="both"/>
        <w:ind w:left="1340" w:hanging="700"/>
        <w:spacing w:after="0"/>
        <w:tabs>
          <w:tab w:leader="none" w:pos="1336"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Excess of loss coverage and facultative facility and catastrophe reinsurance treaties will expire on June 30,2026, with none of these coverages to be in effect during the period from July 1 2026 through January 1, 2027. If and when these treaties are renewed on July 1, 2026 the excess of loss and facultative facility, underlying excess of loss treaty, and the catastrophe reinsurance treaty, will be as provided for therein. Reinsurance coverage in effect from July 1, 2026 through January 1, 2027 is currently only covered under the 2026/2027 Treaty. The 2026/2027 Treaty will expire on January 1, 2027.</w:t>
      </w:r>
    </w:p>
    <w:p>
      <w:pPr>
        <w:ind w:left="1340" w:hanging="700"/>
        <w:spacing w:after="0" w:line="241" w:lineRule="auto"/>
        <w:tabs>
          <w:tab w:leader="none" w:pos="1336"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2024/2025 Treaty, 22% of the 27% total of losses ceded under this treaty are excluded from a named catastrophe event. For the 2025/2026 Treaty, 6% of the 16% total of losses ceded under this treaty are excluded from a named catastrophe event. For the 2026/2027 Treaty, there is no exclusion for catastrophe events.</w:t>
      </w:r>
    </w:p>
    <w:p>
      <w:pPr>
        <w:ind w:left="1340" w:hanging="700"/>
        <w:spacing w:after="0" w:line="236" w:lineRule="auto"/>
        <w:tabs>
          <w:tab w:leader="none" w:pos="13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Plus losses in excess of catastrophe coverage.</w:t>
      </w:r>
    </w:p>
    <w:p>
      <w:pPr>
        <w:jc w:val="both"/>
        <w:ind w:left="1340" w:hanging="700"/>
        <w:spacing w:after="0"/>
        <w:tabs>
          <w:tab w:leader="none" w:pos="134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For the period October 15, 2025 through April 30, 2026, additional catastrophe reinsurance treaty will provide coverage for winter storm losses to the extent of 90% of $5,000,000 in excess of</w:t>
      </w:r>
    </w:p>
    <w:p>
      <w:pPr>
        <w:ind w:left="1340" w:right="20"/>
        <w:spacing w:after="0" w:line="258"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$5,000,000. Retention for winter storms is $4,800,000 under the 2024/2025 Treaty, $5,200,000 under the 2025/2026 Treaty from January 1, 2025 through April 30, 2025, $3,900,000 from October 15, 2025 through January 1, 2026, the expiration date of the 2025/2026 Treaty, and $5,000,000 under the 2026/2027 Treaty through April 30, 2026,</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38"/>
        </w:trPr>
        <w:tc>
          <w:tcPr>
            <w:tcW w:w="6380" w:type="dxa"/>
            <w:vAlign w:val="bottom"/>
            <w:gridSpan w:val="4"/>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731"/>
        </w:trPr>
        <w:tc>
          <w:tcPr>
            <w:tcW w:w="7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5"/>
              </w:rPr>
              <w:t>Treaty Year</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2"/>
        </w:trPr>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20"/>
              <w:spacing w:after="0" w:line="132" w:lineRule="exact"/>
              <w:rPr>
                <w:sz w:val="20"/>
                <w:szCs w:val="20"/>
                <w:color w:val="auto"/>
              </w:rPr>
            </w:pPr>
            <w:r>
              <w:rPr>
                <w:rFonts w:ascii="Times New Roman" w:cs="Times New Roman" w:eastAsia="Times New Roman" w:hAnsi="Times New Roman"/>
                <w:sz w:val="12"/>
                <w:szCs w:val="12"/>
                <w:b w:val="1"/>
                <w:bCs w:val="1"/>
                <w:color w:val="auto"/>
              </w:rPr>
              <w:t>July 1, 2025</w:t>
            </w:r>
          </w:p>
        </w:tc>
        <w:tc>
          <w:tcPr>
            <w:tcW w:w="260" w:type="dxa"/>
            <w:vAlign w:val="bottom"/>
          </w:tcPr>
          <w:p>
            <w:pPr>
              <w:spacing w:after="0"/>
              <w:rPr>
                <w:sz w:val="11"/>
                <w:szCs w:val="11"/>
                <w:color w:val="auto"/>
              </w:rPr>
            </w:pPr>
          </w:p>
        </w:tc>
        <w:tc>
          <w:tcPr>
            <w:tcW w:w="1380" w:type="dxa"/>
            <w:vAlign w:val="bottom"/>
            <w:gridSpan w:val="2"/>
          </w:tcPr>
          <w:p>
            <w:pPr>
              <w:jc w:val="center"/>
              <w:ind w:right="340"/>
              <w:spacing w:after="0" w:line="132" w:lineRule="exact"/>
              <w:rPr>
                <w:sz w:val="20"/>
                <w:szCs w:val="20"/>
                <w:color w:val="auto"/>
              </w:rPr>
            </w:pPr>
            <w:r>
              <w:rPr>
                <w:rFonts w:ascii="Times New Roman" w:cs="Times New Roman" w:eastAsia="Times New Roman" w:hAnsi="Times New Roman"/>
                <w:sz w:val="12"/>
                <w:szCs w:val="12"/>
                <w:b w:val="1"/>
                <w:bCs w:val="1"/>
                <w:color w:val="auto"/>
                <w:w w:val="98"/>
              </w:rPr>
              <w:t>July 1, 2024</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July 1, 2023</w:t>
            </w:r>
          </w:p>
        </w:tc>
      </w:tr>
      <w:tr>
        <w:trPr>
          <w:trHeight w:val="144"/>
        </w:trPr>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to</w:t>
            </w:r>
          </w:p>
        </w:tc>
        <w:tc>
          <w:tcPr>
            <w:tcW w:w="260" w:type="dxa"/>
            <w:vAlign w:val="bottom"/>
          </w:tcPr>
          <w:p>
            <w:pPr>
              <w:spacing w:after="0"/>
              <w:rPr>
                <w:sz w:val="12"/>
                <w:szCs w:val="12"/>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to</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to</w:t>
            </w:r>
          </w:p>
        </w:tc>
      </w:tr>
      <w:tr>
        <w:trPr>
          <w:trHeight w:val="163"/>
        </w:trPr>
        <w:tc>
          <w:tcPr>
            <w:tcW w:w="6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Line of Business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June 30, 2026</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June 30, 2025</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0" w:type="dxa"/>
            <w:vAlign w:val="bottom"/>
          </w:tcPr>
          <w:p>
            <w:pPr>
              <w:spacing w:after="0"/>
              <w:rPr>
                <w:sz w:val="14"/>
                <w:szCs w:val="14"/>
                <w:color w:val="auto"/>
              </w:rPr>
            </w:pPr>
          </w:p>
        </w:tc>
      </w:tr>
      <w:tr>
        <w:trPr>
          <w:trHeight w:val="300"/>
        </w:trPr>
        <w:tc>
          <w:tcPr>
            <w:tcW w:w="63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63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Personal Umbrella</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6380" w:type="dxa"/>
            <w:vAlign w:val="bottom"/>
            <w:gridSpan w:val="4"/>
          </w:tcPr>
          <w:p>
            <w:pPr>
              <w:ind w:left="240"/>
              <w:spacing w:after="0"/>
              <w:rPr>
                <w:sz w:val="20"/>
                <w:szCs w:val="20"/>
                <w:color w:val="auto"/>
              </w:rPr>
            </w:pPr>
            <w:r>
              <w:rPr>
                <w:rFonts w:ascii="Times New Roman" w:cs="Times New Roman" w:eastAsia="Times New Roman" w:hAnsi="Times New Roman"/>
                <w:sz w:val="12"/>
                <w:szCs w:val="12"/>
                <w:color w:val="auto"/>
              </w:rPr>
              <w:t>Quota share treaty:</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638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Percent ceded - first $1,000,000 of coverage</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r>
      <w:tr>
        <w:trPr>
          <w:trHeight w:val="166"/>
        </w:trPr>
        <w:tc>
          <w:tcPr>
            <w:tcW w:w="6380" w:type="dxa"/>
            <w:vAlign w:val="bottom"/>
            <w:gridSpan w:val="4"/>
          </w:tcPr>
          <w:p>
            <w:pPr>
              <w:ind w:left="320"/>
              <w:spacing w:after="0"/>
              <w:rPr>
                <w:sz w:val="20"/>
                <w:szCs w:val="20"/>
                <w:color w:val="auto"/>
              </w:rPr>
            </w:pPr>
            <w:r>
              <w:rPr>
                <w:rFonts w:ascii="Times New Roman" w:cs="Times New Roman" w:eastAsia="Times New Roman" w:hAnsi="Times New Roman"/>
                <w:sz w:val="12"/>
                <w:szCs w:val="12"/>
                <w:color w:val="auto"/>
              </w:rPr>
              <w:t>Percent ceded - excess of $1,000,000 dollars of coverage</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4"/>
                <w:szCs w:val="14"/>
                <w:color w:val="auto"/>
              </w:rPr>
            </w:pPr>
          </w:p>
        </w:tc>
      </w:tr>
      <w:tr>
        <w:trPr>
          <w:trHeight w:val="176"/>
        </w:trPr>
        <w:tc>
          <w:tcPr>
            <w:tcW w:w="638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Risk retained</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15"/>
                <w:szCs w:val="15"/>
                <w:color w:val="auto"/>
              </w:rPr>
            </w:pPr>
          </w:p>
        </w:tc>
      </w:tr>
      <w:tr>
        <w:trPr>
          <w:trHeight w:val="166"/>
        </w:trPr>
        <w:tc>
          <w:tcPr>
            <w:tcW w:w="6380" w:type="dxa"/>
            <w:vAlign w:val="bottom"/>
            <w:gridSpan w:val="4"/>
          </w:tcPr>
          <w:p>
            <w:pPr>
              <w:ind w:left="320"/>
              <w:spacing w:after="0"/>
              <w:rPr>
                <w:sz w:val="20"/>
                <w:szCs w:val="20"/>
                <w:color w:val="auto"/>
              </w:rPr>
            </w:pPr>
            <w:r>
              <w:rPr>
                <w:rFonts w:ascii="Times New Roman" w:cs="Times New Roman" w:eastAsia="Times New Roman" w:hAnsi="Times New Roman"/>
                <w:sz w:val="12"/>
                <w:szCs w:val="12"/>
                <w:color w:val="auto"/>
              </w:rPr>
              <w:t>Total reinsurance coverage per occurrence</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4,700,000</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4,700,000</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4,700,000</w:t>
            </w:r>
          </w:p>
        </w:tc>
        <w:tc>
          <w:tcPr>
            <w:tcW w:w="80" w:type="dxa"/>
            <w:vAlign w:val="bottom"/>
          </w:tcPr>
          <w:p>
            <w:pPr>
              <w:spacing w:after="0"/>
              <w:rPr>
                <w:sz w:val="14"/>
                <w:szCs w:val="14"/>
                <w:color w:val="auto"/>
              </w:rPr>
            </w:pPr>
          </w:p>
        </w:tc>
      </w:tr>
      <w:tr>
        <w:trPr>
          <w:trHeight w:val="176"/>
        </w:trPr>
        <w:tc>
          <w:tcPr>
            <w:tcW w:w="638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Losses per occurrence subject to quota share reinsurance coverage</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5,000,000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5,000,000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5,000,000</w:t>
            </w:r>
          </w:p>
        </w:tc>
        <w:tc>
          <w:tcPr>
            <w:tcW w:w="80" w:type="dxa"/>
            <w:vAlign w:val="bottom"/>
            <w:shd w:val="clear" w:color="auto" w:fill="CCEEFF"/>
          </w:tcPr>
          <w:p>
            <w:pPr>
              <w:spacing w:after="0"/>
              <w:rPr>
                <w:sz w:val="15"/>
                <w:szCs w:val="15"/>
                <w:color w:val="auto"/>
              </w:rPr>
            </w:pPr>
          </w:p>
        </w:tc>
      </w:tr>
      <w:tr>
        <w:trPr>
          <w:trHeight w:val="162"/>
        </w:trPr>
        <w:tc>
          <w:tcPr>
            <w:tcW w:w="6380" w:type="dxa"/>
            <w:vAlign w:val="bottom"/>
            <w:gridSpan w:val="4"/>
          </w:tcPr>
          <w:p>
            <w:pPr>
              <w:ind w:left="220"/>
              <w:spacing w:after="0"/>
              <w:rPr>
                <w:sz w:val="20"/>
                <w:szCs w:val="20"/>
                <w:color w:val="auto"/>
              </w:rPr>
            </w:pPr>
            <w:r>
              <w:rPr>
                <w:rFonts w:ascii="Times New Roman" w:cs="Times New Roman" w:eastAsia="Times New Roman" w:hAnsi="Times New Roman"/>
                <w:sz w:val="12"/>
                <w:szCs w:val="12"/>
                <w:color w:val="auto"/>
              </w:rPr>
              <w:t>Expiration date</w:t>
            </w:r>
          </w:p>
        </w:tc>
        <w:tc>
          <w:tcPr>
            <w:tcW w:w="2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June 30, 2026</w:t>
            </w:r>
          </w:p>
        </w:tc>
        <w:tc>
          <w:tcPr>
            <w:tcW w:w="2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June 30, 2025</w:t>
            </w:r>
          </w:p>
        </w:tc>
        <w:tc>
          <w:tcPr>
            <w:tcW w:w="24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June 30, 2024</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Commercial Lines (1)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Coverage on all commercial lines policies expired in September 2020; reinsurance coverage is based on treaties in effect on the date of loss.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Inflation</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spacing w:after="0" w:line="115"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2"/>
          <w:szCs w:val="12"/>
          <w:color w:val="auto"/>
        </w:rPr>
        <w:t>Fluctuations in rates of inflation also influence interest rates, which in turn impact the market value of our investment portfolio and yields on new investments. Operating expenses, including salaries and benefits, generally are impacted by inflation.</w:t>
      </w:r>
    </w:p>
    <w:p>
      <w:pPr>
        <w:spacing w:after="0" w:line="119"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The Year Ended 2025 economic inflation tempered compared to 2024 and 2023, which resulted in a sustained increase in interest rates, a widening of credit spreads, lower public equity valuations, and significant financial market volatility. The higher interest rates and widening of credit spreads reduced the value of our fixed income securities.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Non-GAAP financial measures should be considered in addition to, and not as a substitute for or superior to, financial measures presented in accordance with GAAP.</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reconciles GAAP net premiums earned to net written premiums and direct written premiums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20" w:type="dxa"/>
            <w:vAlign w:val="bottom"/>
            <w:gridSpan w:val="5"/>
          </w:tcPr>
          <w:p>
            <w:pPr>
              <w:ind w:left="4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60"/>
        </w:trPr>
        <w:tc>
          <w:tcPr>
            <w:tcW w:w="494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320" w:type="dxa"/>
            <w:vAlign w:val="bottom"/>
          </w:tcPr>
          <w:p>
            <w:pPr>
              <w:spacing w:after="0"/>
              <w:rPr>
                <w:sz w:val="13"/>
                <w:szCs w:val="13"/>
                <w:color w:val="auto"/>
              </w:rPr>
            </w:pPr>
          </w:p>
        </w:tc>
      </w:tr>
      <w:tr>
        <w:trPr>
          <w:trHeight w:val="165"/>
        </w:trPr>
        <w:tc>
          <w:tcPr>
            <w:tcW w:w="4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71"/>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net premiums earned</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187,126,722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128,497,920</w:t>
            </w:r>
          </w:p>
        </w:tc>
        <w:tc>
          <w:tcPr>
            <w:tcW w:w="3320" w:type="dxa"/>
            <w:vAlign w:val="bottom"/>
          </w:tcPr>
          <w:p>
            <w:pPr>
              <w:spacing w:after="0"/>
              <w:rPr>
                <w:sz w:val="14"/>
                <w:szCs w:val="14"/>
                <w:color w:val="auto"/>
              </w:rPr>
            </w:pPr>
          </w:p>
        </w:tc>
      </w:tr>
      <w:tr>
        <w:trPr>
          <w:trHeight w:val="16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26,592,344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25,731,945</w:t>
            </w:r>
          </w:p>
        </w:tc>
        <w:tc>
          <w:tcPr>
            <w:tcW w:w="3320" w:type="dxa"/>
            <w:vAlign w:val="bottom"/>
          </w:tcPr>
          <w:p>
            <w:pPr>
              <w:spacing w:after="0"/>
              <w:rPr>
                <w:sz w:val="14"/>
                <w:szCs w:val="14"/>
                <w:color w:val="auto"/>
              </w:rPr>
            </w:pPr>
          </w:p>
        </w:tc>
      </w:tr>
      <w:tr>
        <w:trPr>
          <w:trHeight w:val="16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written premiums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213,719,066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154,229,865</w:t>
            </w:r>
          </w:p>
        </w:tc>
        <w:tc>
          <w:tcPr>
            <w:tcW w:w="3320" w:type="dxa"/>
            <w:vAlign w:val="bottom"/>
          </w:tcPr>
          <w:p>
            <w:pPr>
              <w:spacing w:after="0"/>
              <w:rPr>
                <w:sz w:val="14"/>
                <w:szCs w:val="14"/>
                <w:color w:val="auto"/>
              </w:rPr>
            </w:pPr>
          </w:p>
        </w:tc>
      </w:tr>
      <w:tr>
        <w:trPr>
          <w:trHeight w:val="167"/>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Ceded written premiums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64,081,564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87,750,072</w:t>
            </w:r>
          </w:p>
        </w:tc>
        <w:tc>
          <w:tcPr>
            <w:tcW w:w="3320" w:type="dxa"/>
            <w:vAlign w:val="bottom"/>
          </w:tcPr>
          <w:p>
            <w:pPr>
              <w:spacing w:after="0"/>
              <w:rPr>
                <w:sz w:val="14"/>
                <w:szCs w:val="14"/>
                <w:color w:val="auto"/>
              </w:rPr>
            </w:pPr>
          </w:p>
        </w:tc>
      </w:tr>
      <w:tr>
        <w:trPr>
          <w:trHeight w:val="180"/>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 written premiums</w:t>
            </w: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277,800,630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241,979,937</w:t>
            </w:r>
          </w:p>
        </w:tc>
        <w:tc>
          <w:tcPr>
            <w:tcW w:w="3320" w:type="dxa"/>
            <w:vAlign w:val="bottom"/>
          </w:tcPr>
          <w:p>
            <w:pPr>
              <w:spacing w:after="0"/>
              <w:rPr>
                <w:sz w:val="15"/>
                <w:szCs w:val="15"/>
                <w:color w:val="auto"/>
              </w:rPr>
            </w:pPr>
          </w:p>
        </w:tc>
      </w:tr>
      <w:tr>
        <w:trPr>
          <w:trHeight w:val="819"/>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72"/>
        </w:trPr>
        <w:tc>
          <w:tcPr>
            <w:tcW w:w="49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33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reconciles the GAAP net loss ratio to the net loss ratio excluding the effect of catastrophes and to the underlying loss ratio for the periods presented:</w:t>
      </w:r>
    </w:p>
    <w:p>
      <w:pPr>
        <w:spacing w:after="0" w:line="19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2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6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9"/>
        </w:trPr>
        <w:tc>
          <w:tcPr>
            <w:tcW w:w="4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net loss ratio</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48.7%</w:t>
            </w:r>
          </w:p>
        </w:tc>
      </w:tr>
      <w:tr>
        <w:trPr>
          <w:trHeight w:val="167"/>
        </w:trPr>
        <w:tc>
          <w:tcPr>
            <w:tcW w:w="5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catastrophes</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w:t>
            </w:r>
          </w:p>
        </w:tc>
      </w:tr>
      <w:tr>
        <w:trPr>
          <w:trHeight w:val="164"/>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ratio excluding the effect of catastrophes</w:t>
            </w:r>
          </w:p>
        </w:tc>
        <w:tc>
          <w:tcPr>
            <w:tcW w:w="96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46.8%</w:t>
            </w:r>
          </w:p>
        </w:tc>
      </w:tr>
      <w:tr>
        <w:trPr>
          <w:trHeight w:val="166"/>
        </w:trPr>
        <w:tc>
          <w:tcPr>
            <w:tcW w:w="5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prior year reserve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81"/>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Underlying loss ratio</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48.2%</w:t>
            </w:r>
          </w:p>
        </w:tc>
      </w:tr>
    </w:tbl>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reconciles the GAAP net loss ratio to the net loss ratio excluding commercial lines business for the periods presented:</w:t>
      </w:r>
    </w:p>
    <w:p>
      <w:pPr>
        <w:spacing w:after="0" w:line="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780" w:type="dxa"/>
            <w:vAlign w:val="bottom"/>
            <w:tcBorders>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5"/>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1"/>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net loss ratio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48.7%</w:t>
            </w:r>
          </w:p>
        </w:tc>
      </w:tr>
      <w:tr>
        <w:trPr>
          <w:trHeight w:val="166"/>
        </w:trPr>
        <w:tc>
          <w:tcPr>
            <w:tcW w:w="5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commercial lines business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81"/>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ratio excluding the effect of commercial lines business</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w:t>
            </w:r>
          </w:p>
        </w:tc>
      </w:tr>
    </w:tbl>
    <w:p>
      <w:pPr>
        <w:spacing w:after="0" w:line="200" w:lineRule="exact"/>
        <w:rPr>
          <w:sz w:val="20"/>
          <w:szCs w:val="20"/>
          <w:color w:val="auto"/>
        </w:rPr>
      </w:pPr>
    </w:p>
    <w:p>
      <w:pPr>
        <w:spacing w:after="0" w:line="3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reconciles GAAP net income to net income from insurance underwriting business on a standalone basis for the periods presented:</w:t>
      </w:r>
    </w:p>
    <w:p>
      <w:pPr>
        <w:spacing w:after="0" w:line="19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4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70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9"/>
        </w:trPr>
        <w:tc>
          <w:tcPr>
            <w:tcW w:w="4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net income</w:t>
            </w: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40,767,128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2"/>
                <w:szCs w:val="12"/>
                <w:b w:val="1"/>
                <w:bCs w:val="1"/>
                <w:color w:val="auto"/>
              </w:rPr>
              <w:t>18,358,436</w:t>
            </w:r>
          </w:p>
        </w:tc>
      </w:tr>
      <w:tr>
        <w:trPr>
          <w:trHeight w:val="16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Holding company operations</w:t>
            </w:r>
          </w:p>
        </w:tc>
        <w:tc>
          <w:tcPr>
            <w:tcW w:w="10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w w:val="99"/>
              </w:rPr>
              <w:t>(3,068,270)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2"/>
                <w:szCs w:val="12"/>
                <w:color w:val="auto"/>
                <w:w w:val="99"/>
              </w:rPr>
              <w:t>(5,223,419)</w:t>
            </w:r>
          </w:p>
        </w:tc>
      </w:tr>
      <w:tr>
        <w:trPr>
          <w:trHeight w:val="181"/>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from insurance underwriting business on a standalone basis</w:t>
            </w:r>
          </w:p>
        </w:tc>
        <w:tc>
          <w:tcPr>
            <w:tcW w:w="104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43,835,398</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2"/>
                <w:szCs w:val="12"/>
                <w:color w:val="auto"/>
              </w:rPr>
              <w:t>23,581,855</w:t>
            </w:r>
          </w:p>
        </w:tc>
      </w:tr>
    </w:tbl>
    <w:p>
      <w:pPr>
        <w:spacing w:after="0" w:line="200" w:lineRule="exact"/>
        <w:rPr>
          <w:sz w:val="20"/>
          <w:szCs w:val="20"/>
          <w:color w:val="auto"/>
        </w:rPr>
      </w:pPr>
    </w:p>
    <w:p>
      <w:pPr>
        <w:spacing w:after="0" w:line="212" w:lineRule="exact"/>
        <w:rPr>
          <w:sz w:val="20"/>
          <w:szCs w:val="20"/>
          <w:color w:val="auto"/>
        </w:rPr>
      </w:pPr>
    </w:p>
    <w:p>
      <w:pPr>
        <w:ind w:firstLine="405"/>
        <w:spacing w:after="0" w:line="264" w:lineRule="auto"/>
        <w:rPr>
          <w:sz w:val="20"/>
          <w:szCs w:val="20"/>
          <w:color w:val="auto"/>
        </w:rPr>
      </w:pPr>
      <w:r>
        <w:rPr>
          <w:rFonts w:ascii="Times New Roman" w:cs="Times New Roman" w:eastAsia="Times New Roman" w:hAnsi="Times New Roman"/>
          <w:sz w:val="12"/>
          <w:szCs w:val="12"/>
          <w:color w:val="auto"/>
        </w:rPr>
        <w:t>The following table reconciles the GAAP net loss ratio, GAAP net underwriting expense ratio, and GAAP net combined ratio to the net loss ratio excluding the effect of catastrophes, net underwriting expense ratio excluding the effect of catastrophes, and net combined ratio excluding the effect of catastrophes for the periods presented: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Borders>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4"/>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1"/>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net loss ratio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48.7%</w:t>
            </w:r>
          </w:p>
        </w:tc>
      </w:tr>
      <w:tr>
        <w:trPr>
          <w:trHeight w:val="167"/>
        </w:trPr>
        <w:tc>
          <w:tcPr>
            <w:tcW w:w="5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catastrophes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81"/>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ratio excluding the effect of catastrophes</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w:t>
            </w:r>
          </w:p>
        </w:tc>
      </w:tr>
      <w:tr>
        <w:trPr>
          <w:trHeight w:val="162"/>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1"/>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net underwriting expense ratio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31.3%</w:t>
            </w:r>
          </w:p>
        </w:tc>
      </w:tr>
      <w:tr>
        <w:trPr>
          <w:trHeight w:val="167"/>
        </w:trPr>
        <w:tc>
          <w:tcPr>
            <w:tcW w:w="5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catastrophes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81"/>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underwriting expense ratio excluding the effect of catastrophes</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31.3%</w:t>
            </w:r>
          </w:p>
        </w:tc>
      </w:tr>
      <w:tr>
        <w:trPr>
          <w:trHeight w:val="162"/>
        </w:trPr>
        <w:tc>
          <w:tcPr>
            <w:tcW w:w="4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1"/>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GAAP net combined ratio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r>
      <w:tr>
        <w:trPr>
          <w:trHeight w:val="167"/>
        </w:trPr>
        <w:tc>
          <w:tcPr>
            <w:tcW w:w="5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 of catastrophes</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8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combined ratio excluding the effect of catastrophes</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w:t>
            </w: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Off-Balance Sheet Arrangements</w:t>
      </w:r>
    </w:p>
    <w:p>
      <w:pPr>
        <w:spacing w:after="0" w:line="145"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4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April 14, 2025, KICO entered into an agreement to offer a quote for a replacement policy to selected Homeowners policyholders in Downstate New York as one of our competitors pivoted focus away from admitted personal lines business (the "Withdrawal Plan"). The Withdrawal Plan, which includes this transaction, was approved by the New York Department of Financial Services. The Withdrawal Plan enabled KICO to work with new distribution partners to further increase its footprint in Downstate New York by offering an alternative policy to selected Homeowners policyholders with effective dates that started in the third quarter of 2025. In March 2026, we announced that we intend to expand into new markets, starting with California in the second quarter of 2026. See “Forward-Looking Statements” before Part I, Item 1.</w:t>
      </w:r>
    </w:p>
    <w:p>
      <w:pPr>
        <w:spacing w:after="0" w:line="12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During the first quarter of 2026, winter weather in the Northeast United States has been more severe than recent winters with losses incurred from seven catastrophe events during the months of January and February 2026. The 2026 guidance disclosed in our Form 8-K filing on March 5, 2026, assumes higher-than-average catastrophe losses in the first quarter and full year of 2026.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7A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u w:val="single" w:color="auto"/>
          <w:color w:val="auto"/>
        </w:rPr>
        <w:t>QUANTITATIVE AND QUALITATIVE DISCLOSURES ABOUT MARKET RISK</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This item is not applicable to smaller reporting companies.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8.FINANCIAL STATEMENTS AND SUPPLEMENTARY DATA</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financial statements required by this Item 8 are included in this Annual Report following Item 16 hereof. As a smaller reporting company, we are not required to provide supplementary financial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9.CHANGES IN AND DISAGREEMENTS WITH ACCOUNTANTS ON ACCOUNTING AND FINANCIAL DISCLOSURE</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9A. CONTROLS AND PROCEDURES</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54" w:lineRule="exact"/>
        <w:rPr>
          <w:sz w:val="20"/>
          <w:szCs w:val="20"/>
          <w:color w:val="auto"/>
        </w:rPr>
      </w:pPr>
    </w:p>
    <w:p>
      <w:pPr>
        <w:jc w:val="both"/>
        <w:ind w:firstLine="405"/>
        <w:spacing w:after="0"/>
        <w:rPr>
          <w:sz w:val="20"/>
          <w:szCs w:val="20"/>
          <w:color w:val="auto"/>
        </w:rPr>
      </w:pPr>
      <w:r>
        <w:rPr>
          <w:rFonts w:ascii="Times New Roman" w:cs="Times New Roman" w:eastAsia="Times New Roman" w:hAnsi="Times New Roman"/>
          <w:sz w:val="12"/>
          <w:szCs w:val="12"/>
          <w:color w:val="auto"/>
        </w:rPr>
        <w:t>Our management is responsible for establishing and maintaining adequate disclosure controls and procedures as defined in Rule 13a-15(e) under the Exchange Act. Under the supervision and with the participation of management, including our Chief Executive Officer and Chief Financial Officer, we conducted an evaluation of the effectiveness of our disclosure controls and procedures as of December 31, 2025. 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upon this evaluation, our Chief Executive Officer and Chief Financial Office concluded that our disclosure controls and procedures were not effective at the reasonable assurance level due to the material weakness described below in the Management’s Annual Report on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Inherent Limitation on Effectiveness of Controls</w:t>
      </w:r>
    </w:p>
    <w:p>
      <w:pPr>
        <w:spacing w:after="0" w:line="145"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2"/>
          <w:szCs w:val="12"/>
          <w:color w:val="auto"/>
        </w:rPr>
        <w:t>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30"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154" w:lineRule="exact"/>
        <w:rPr>
          <w:sz w:val="20"/>
          <w:szCs w:val="20"/>
          <w:color w:val="auto"/>
        </w:rPr>
      </w:pPr>
    </w:p>
    <w:p>
      <w:pPr>
        <w:jc w:val="both"/>
        <w:ind w:firstLine="405"/>
        <w:spacing w:after="0" w:line="279"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Rule 13a-15(f) under the Exchange Act. Our internal control over financial reporting is designed to provide reasonable assurances regarding the reliability of financial reporting and the preparation of our consolidated financial statements in accordance with U.S. generally accepted accounting principles.</w:t>
      </w:r>
    </w:p>
    <w:p>
      <w:pPr>
        <w:spacing w:after="0" w:line="102"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 xml:space="preserve">Under the supervision and with the participation of management, including our Chief Executive Officer and Chief Financial Officer, we conducted an evaluation of the effectiveness of our internal control over financial reporting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w:t>
      </w:r>
    </w:p>
    <w:p>
      <w:pPr>
        <w:spacing w:after="0" w:line="128" w:lineRule="exact"/>
        <w:rPr>
          <w:sz w:val="20"/>
          <w:szCs w:val="20"/>
          <w:color w:val="auto"/>
        </w:rPr>
      </w:pPr>
    </w:p>
    <w:p>
      <w:pPr>
        <w:ind w:right="160" w:firstLine="432"/>
        <w:spacing w:after="0" w:line="239" w:lineRule="auto"/>
        <w:rPr>
          <w:sz w:val="20"/>
          <w:szCs w:val="20"/>
          <w:color w:val="auto"/>
        </w:rPr>
      </w:pPr>
      <w:r>
        <w:rPr>
          <w:rFonts w:ascii="Times New Roman" w:cs="Times New Roman" w:eastAsia="Times New Roman" w:hAnsi="Times New Roman"/>
          <w:sz w:val="12"/>
          <w:szCs w:val="12"/>
          <w:color w:val="auto"/>
        </w:rPr>
        <w:t>Based on this evaluation, management concluded that, as of December 31, 2025, our internal control over financial reporting contains a material weakness due to the lack of receiving a Service Organization Control (SOC) 1 Type 2 report for our insurance premium quoting platform system and our general ledger system. Therefore, we cannot rely on the controls within these systems, including automated and manual process level controls, and remaining information technology general controls, that are dependent upon the information derived from such systems. We are working with the vendors of these two systems to obtain the appropriate SOC reports in 2026. Our management concluded that all other internal controls over financial reporting were effective as of December 31, 2025.</w:t>
      </w:r>
    </w:p>
    <w:p>
      <w:pPr>
        <w:spacing w:after="0" w:line="143"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2"/>
          <w:szCs w:val="12"/>
          <w:color w:val="auto"/>
        </w:rPr>
        <w:t>A material weakness (within the meaning of PCAOB Auditing Standard No. 5) is a deficiency, or a combination of deficiencies, in internal control over financial reporting, such that there is a reasonable possibility that a material misstatement of our annual or interim financial statements will not be prevented or detected on a timely basis. A significant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39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2"/>
          <w:szCs w:val="12"/>
          <w:color w:val="auto"/>
        </w:rPr>
        <w:t>deficiency is a deficiency, or a combination of deficiencies, in internal control over financial reporting that is less severe than a material weakness, yet important enough to merit attention by those responsible for oversight of our financial reporting. Because of its inherent limitations, internal control over financial reporting may not prevent or detect misstatements.</w:t>
      </w:r>
    </w:p>
    <w:p>
      <w:pPr>
        <w:spacing w:after="0" w:line="128" w:lineRule="exact"/>
        <w:rPr>
          <w:sz w:val="20"/>
          <w:szCs w:val="20"/>
          <w:color w:val="auto"/>
        </w:rPr>
      </w:pPr>
    </w:p>
    <w:p>
      <w:pPr>
        <w:ind w:right="600" w:firstLine="405"/>
        <w:spacing w:after="0" w:line="264" w:lineRule="auto"/>
        <w:rPr>
          <w:sz w:val="20"/>
          <w:szCs w:val="20"/>
          <w:color w:val="auto"/>
        </w:rPr>
      </w:pPr>
      <w:r>
        <w:rPr>
          <w:rFonts w:ascii="Times New Roman" w:cs="Times New Roman" w:eastAsia="Times New Roman" w:hAnsi="Times New Roman"/>
          <w:sz w:val="12"/>
          <w:szCs w:val="12"/>
          <w:color w:val="auto"/>
        </w:rPr>
        <w:t>CBIZ CPAs P.C., an independent registered public accounting firm, which audited the Consolidated Financial Statements included in this Annual Report on Form 10-K, has issued an adverse attestation report on the effectiveness of internal control over financial reporting as of December 31, 2025, as stated in their report which is included in the report that follows.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45" w:lineRule="exact"/>
        <w:rPr>
          <w:sz w:val="20"/>
          <w:szCs w:val="20"/>
          <w:color w:val="auto"/>
        </w:rPr>
      </w:pPr>
    </w:p>
    <w:p>
      <w:pPr>
        <w:ind w:firstLine="405"/>
        <w:spacing w:after="0" w:line="264" w:lineRule="auto"/>
        <w:rPr>
          <w:sz w:val="20"/>
          <w:szCs w:val="20"/>
          <w:color w:val="auto"/>
        </w:rPr>
      </w:pPr>
      <w:r>
        <w:rPr>
          <w:rFonts w:ascii="Times New Roman" w:cs="Times New Roman" w:eastAsia="Times New Roman" w:hAnsi="Times New Roman"/>
          <w:sz w:val="12"/>
          <w:szCs w:val="12"/>
          <w:color w:val="auto"/>
        </w:rPr>
        <w:t>There have not been any changes in our internal control over financial reporting (as such term is defined in Rule 13a-15(f) under the Exchange Act) during our most recently completed fiscal quarter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 on Internal Control Over Financial Reporting</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Board of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Kingstone Companies, Inc.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Adverse Opinion on Internal Control over Financial Reporting</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 xml:space="preserve">We have audited Kingstone Companies, Inc.’s (the “Company”) internal control over financial reporting as of December 31, 2025, based on criteria established in </w:t>
      </w:r>
      <w:r>
        <w:rPr>
          <w:rFonts w:ascii="Times New Roman" w:cs="Times New Roman" w:eastAsia="Times New Roman" w:hAnsi="Times New Roman"/>
          <w:sz w:val="12"/>
          <w:szCs w:val="12"/>
          <w:i w:val="1"/>
          <w:iCs w:val="1"/>
          <w:color w:val="auto"/>
        </w:rPr>
        <w:t>Internal Control-Integrated Framework</w:t>
      </w:r>
      <w:r>
        <w:rPr>
          <w:rFonts w:ascii="Times New Roman" w:cs="Times New Roman" w:eastAsia="Times New Roman" w:hAnsi="Times New Roman"/>
          <w:sz w:val="12"/>
          <w:szCs w:val="12"/>
          <w:color w:val="auto"/>
        </w:rPr>
        <w:t xml:space="preserve"> (2013) issued by the Committee of Sponsoring Organizations of the Treadway Commission ("COSO"). In our opinion, because of the effect of the material weakness described in the subsequent paragraphs on the achievement of the objectives of the control criteria, the Company has not maintained effective internal control over financial reporting as of December 31, 2025, based on criteria established in COSO.</w:t>
      </w:r>
    </w:p>
    <w:p>
      <w:pPr>
        <w:spacing w:after="0" w:line="12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A material weakness is a control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material weakness has been identified and included in “Management’s Annual Report on Internal Control over Financial Reporting”:</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Company identified a material weakness in internal control over financial reporting due to the lack of receiving a Service Organization Control ("SOC") 1 Type 2 report for their insurance premium quoting platform system and their general ledger system. Therefore, management cannot rely on the controls within these systems, including automated and manual process level controls, and remaining information technology general controls, that are dependent upon the information derived from such systems.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This material weakness was considered in determining the nature, timing and extent of audit tests applied in our audit of the fiscal 2025 financial statements and this report does not affect our report dated March 16, 2026 on those financial statements.</w:t>
      </w:r>
    </w:p>
    <w:p>
      <w:pPr>
        <w:spacing w:after="0" w:line="12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We have also audited, in accordance with the standards of the Public Company Accounting Oversight Board (United States) (“PCAOB”), the consolidated balance sheet as of December 31, 2025 and the related consolidated statements of income and comprehensive income, stockholders’ equity, and cash flows and the related notes (collectively referred to as the “financial statements”) for the year ended December 31, 2025 of the Company, and our report dated March 16, 2026 expressed an unqualified opinion on those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Definition and Limitations of Internal Control over Financial Reporting</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3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CBIZ CPAs P.C.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CBIZ CPAs P.C.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Hartford, CT</w:t>
      </w:r>
    </w:p>
    <w:p>
      <w:pPr>
        <w:spacing w:after="0"/>
        <w:rPr>
          <w:sz w:val="20"/>
          <w:szCs w:val="20"/>
          <w:color w:val="auto"/>
        </w:rPr>
      </w:pPr>
      <w:r>
        <w:rPr>
          <w:rFonts w:ascii="Times New Roman" w:cs="Times New Roman" w:eastAsia="Times New Roman" w:hAnsi="Times New Roman"/>
          <w:sz w:val="12"/>
          <w:szCs w:val="12"/>
          <w:color w:val="auto"/>
        </w:rPr>
        <w:t>March 16, 2026</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9B. OTHER INFORMATION</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None.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9C. DISCLOSURES REGARDING FOREIGN JURISDICTIONS THAT PREVENT INSPECTIONS.</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PART III</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10. DIRECTORS, EXECUTIVE OFFICERS AND CORPORATE GOVERNANCE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Executive Officers and Directors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sets forth the positions and offices presently held by each of our current directors and executive officers and their 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Age:</w:t>
            </w:r>
          </w:p>
        </w:tc>
        <w:tc>
          <w:tcPr>
            <w:tcW w:w="80" w:type="dxa"/>
            <w:vAlign w:val="bottom"/>
            <w:tcBorders>
              <w:bottom w:val="single" w:sz="8" w:color="CCEEFF"/>
            </w:tcBorders>
          </w:tcPr>
          <w:p>
            <w:pPr>
              <w:spacing w:after="0"/>
              <w:rPr>
                <w:sz w:val="14"/>
                <w:szCs w:val="14"/>
                <w:color w:val="auto"/>
              </w:rPr>
            </w:pPr>
          </w:p>
        </w:tc>
        <w:tc>
          <w:tcPr>
            <w:tcW w:w="786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2"/>
                <w:szCs w:val="12"/>
                <w:b w:val="1"/>
                <w:bCs w:val="1"/>
                <w:color w:val="auto"/>
              </w:rPr>
              <w:t>Positions and Offices Held:</w:t>
            </w:r>
          </w:p>
        </w:tc>
      </w:tr>
      <w:tr>
        <w:trPr>
          <w:trHeight w:val="165"/>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Meryl S. Golden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c>
          <w:tcPr>
            <w:tcW w:w="80" w:type="dxa"/>
            <w:vAlign w:val="bottom"/>
            <w:shd w:val="clear" w:color="auto" w:fill="CCEEFF"/>
          </w:tcPr>
          <w:p>
            <w:pPr>
              <w:spacing w:after="0"/>
              <w:rPr>
                <w:sz w:val="14"/>
                <w:szCs w:val="14"/>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Executive Officer, President and Director</w:t>
            </w:r>
          </w:p>
        </w:tc>
      </w:tr>
      <w:tr>
        <w:trPr>
          <w:trHeight w:val="167"/>
        </w:trPr>
        <w:tc>
          <w:tcPr>
            <w:tcW w:w="2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Thomas Newgarden</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58</w:t>
            </w:r>
          </w:p>
        </w:tc>
        <w:tc>
          <w:tcPr>
            <w:tcW w:w="80" w:type="dxa"/>
            <w:vAlign w:val="bottom"/>
          </w:tcPr>
          <w:p>
            <w:pPr>
              <w:spacing w:after="0"/>
              <w:rPr>
                <w:sz w:val="14"/>
                <w:szCs w:val="14"/>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Non-Executive Chairman of the Board and Director</w:t>
            </w:r>
          </w:p>
        </w:tc>
      </w:tr>
      <w:tr>
        <w:trPr>
          <w:trHeight w:val="17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Randy L. Patten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51</w:t>
            </w:r>
          </w:p>
        </w:tc>
        <w:tc>
          <w:tcPr>
            <w:tcW w:w="80" w:type="dxa"/>
            <w:vAlign w:val="bottom"/>
            <w:shd w:val="clear" w:color="auto" w:fill="CCEEFF"/>
          </w:tcPr>
          <w:p>
            <w:pPr>
              <w:spacing w:after="0"/>
              <w:rPr>
                <w:sz w:val="15"/>
                <w:szCs w:val="15"/>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Vice President, Chief Financial Officer and Treasurer</w:t>
            </w:r>
          </w:p>
        </w:tc>
      </w:tr>
      <w:tr>
        <w:trPr>
          <w:trHeight w:val="166"/>
        </w:trPr>
        <w:tc>
          <w:tcPr>
            <w:tcW w:w="2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Sarah (Minlei) Chen</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43</w:t>
            </w:r>
          </w:p>
        </w:tc>
        <w:tc>
          <w:tcPr>
            <w:tcW w:w="80" w:type="dxa"/>
            <w:vAlign w:val="bottom"/>
          </w:tcPr>
          <w:p>
            <w:pPr>
              <w:spacing w:after="0"/>
              <w:rPr>
                <w:sz w:val="14"/>
                <w:szCs w:val="14"/>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Senior Vice President, Chief Actuary and Head of Product Management, Kingstone Insurance Company</w:t>
            </w:r>
          </w:p>
        </w:tc>
      </w:tr>
      <w:tr>
        <w:trPr>
          <w:trHeight w:val="17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Fernandez</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59</w:t>
            </w:r>
          </w:p>
        </w:tc>
        <w:tc>
          <w:tcPr>
            <w:tcW w:w="80" w:type="dxa"/>
            <w:vAlign w:val="bottom"/>
            <w:shd w:val="clear" w:color="auto" w:fill="CCEEFF"/>
          </w:tcPr>
          <w:p>
            <w:pPr>
              <w:spacing w:after="0"/>
              <w:rPr>
                <w:sz w:val="15"/>
                <w:szCs w:val="15"/>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Senior Vice President and Chief Claims Officer, Kingstone Insurance Company</w:t>
            </w:r>
          </w:p>
        </w:tc>
      </w:tr>
      <w:tr>
        <w:trPr>
          <w:trHeight w:val="166"/>
        </w:trPr>
        <w:tc>
          <w:tcPr>
            <w:tcW w:w="2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Floyd R. Tupper</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71</w:t>
            </w:r>
          </w:p>
        </w:tc>
        <w:tc>
          <w:tcPr>
            <w:tcW w:w="80" w:type="dxa"/>
            <w:vAlign w:val="bottom"/>
          </w:tcPr>
          <w:p>
            <w:pPr>
              <w:spacing w:after="0"/>
              <w:rPr>
                <w:sz w:val="14"/>
                <w:szCs w:val="14"/>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Secretary and Director</w:t>
            </w:r>
          </w:p>
        </w:tc>
      </w:tr>
      <w:tr>
        <w:trPr>
          <w:trHeight w:val="17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William L. Yankus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c>
          <w:tcPr>
            <w:tcW w:w="80" w:type="dxa"/>
            <w:vAlign w:val="bottom"/>
            <w:shd w:val="clear" w:color="auto" w:fill="CCEEFF"/>
          </w:tcPr>
          <w:p>
            <w:pPr>
              <w:spacing w:after="0"/>
              <w:rPr>
                <w:sz w:val="15"/>
                <w:szCs w:val="15"/>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66"/>
        </w:trPr>
        <w:tc>
          <w:tcPr>
            <w:tcW w:w="25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Manmohan Singh</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53</w:t>
            </w:r>
          </w:p>
        </w:tc>
        <w:tc>
          <w:tcPr>
            <w:tcW w:w="80" w:type="dxa"/>
            <w:vAlign w:val="bottom"/>
          </w:tcPr>
          <w:p>
            <w:pPr>
              <w:spacing w:after="0"/>
              <w:rPr>
                <w:sz w:val="14"/>
                <w:szCs w:val="14"/>
                <w:color w:val="auto"/>
              </w:rPr>
            </w:pPr>
          </w:p>
        </w:tc>
        <w:tc>
          <w:tcPr>
            <w:tcW w:w="78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7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Pranav Pasricha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52</w:t>
            </w:r>
          </w:p>
        </w:tc>
        <w:tc>
          <w:tcPr>
            <w:tcW w:w="80" w:type="dxa"/>
            <w:vAlign w:val="bottom"/>
            <w:shd w:val="clear" w:color="auto" w:fill="CCEEFF"/>
          </w:tcPr>
          <w:p>
            <w:pPr>
              <w:spacing w:after="0"/>
              <w:rPr>
                <w:sz w:val="15"/>
                <w:szCs w:val="15"/>
                <w:color w:val="auto"/>
              </w:rPr>
            </w:pPr>
          </w:p>
        </w:tc>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Meryl S. Golden</w:t>
      </w:r>
    </w:p>
    <w:p>
      <w:pPr>
        <w:spacing w:after="0" w:line="152"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2"/>
          <w:szCs w:val="12"/>
          <w:color w:val="auto"/>
        </w:rPr>
        <w:t>Ms. Golden has served as our Chief Executive Officer and President since October 2023 and as one of our directors since March 2020. She has also served as a director and a member of the Executive Committee of Kingstone Insurance Company, our wholly-owned New York property and casualty insurer (“KICO”), since September 2019 and as its President since October 2021. Ms. Golden served as our and KICO’s Chief Operating Officer from September 2019 to September 2023.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Thomas Newgarden</w:t>
      </w:r>
    </w:p>
    <w:p>
      <w:pPr>
        <w:spacing w:after="0" w:line="134" w:lineRule="exact"/>
        <w:rPr>
          <w:sz w:val="20"/>
          <w:szCs w:val="20"/>
          <w:color w:val="auto"/>
        </w:rPr>
      </w:pPr>
    </w:p>
    <w:p>
      <w:pPr>
        <w:jc w:val="both"/>
        <w:ind w:firstLine="405"/>
        <w:spacing w:after="0" w:line="239" w:lineRule="auto"/>
        <w:rPr>
          <w:sz w:val="20"/>
          <w:szCs w:val="20"/>
          <w:color w:val="auto"/>
        </w:rPr>
      </w:pPr>
      <w:r>
        <w:rPr>
          <w:rFonts w:ascii="Times New Roman" w:cs="Times New Roman" w:eastAsia="Times New Roman" w:hAnsi="Times New Roman"/>
          <w:sz w:val="12"/>
          <w:szCs w:val="12"/>
          <w:color w:val="auto"/>
        </w:rPr>
        <w:t>Mr. Newgarden, who has served as our Non-Executive Chairman of the Board since September 2024, is an analytics driven insurance executive with over 30 years’ experience in the property and casualty personal lines insurance industry. He played an instrumental role in the acquisition and rehabilitation of National General Insurance (formerly GMAC Insurance). This included serving from 2010 to 2022 as Executive Vice President, Chief Underwriting Officer, Chief Product and Analytics Officer and Chief Business Development Officer, and President of National General Preferred, culminating in the successful sale of the company to Allstate Insurance. Prior to National General, Mr. Newgarden was Vice President and Chief Underwriting Officer at Plymouth Rock Insurance from 2009 to 2011 and Senior Vice President of Personal Lines at Safeco Insurance from 2008 to 2009. He also was a key partner in the development of AIG Private Client Group, last serving from 2006 to 2008 as its Senior Vice President, Chief Underwriting Officer. Since leaving Allstate in 2022, Mr. Newgarden has primarily worked as a consultant and advisor to insurance carriers and other insurance entities. He received his B.A. degree in Economics from Binghamton University. Mr. Newgarden has served as one of our directors since June 2024 and has served as Chair of our Risk Committee since June 2025. We believe that Mr. Newgarden’s extensive executive level experience in the insurance industry gives him the qualifications and skills to serve as one of our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Randy L. Patten</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Mr. Patten has over 28 years of leadership experience in the insurance industry. He previously served as Vice President, Chief Accounting Officer and Treasurer at NEXT Insurance, Inc. (“NEXT”), a property and casualty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insurer.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Prior to NEXT, Mr. Patten spent approximately ten years at United Fire Group, Inc. (Nasdaq: UFCS), a property and casualty insurer and reinsurer, where he held a progression of senior finance roles, including Interim Co-Chief Financial Officer, Controller, and Director of Investor Relations. Earlier in his career, Mr. Patten spent 15 years at Transamerica Life Insurance Company/AEGON USA (NYSE: AEG), holding a variety of financial positions and responsibilities. Mr. Patten received a B.A. degree in Accounting and Business Management-Finance from Central College. He holds a designation from The Institutes as a Chartered Property Casualty Underwriter.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Sarah (Minlei) Chen</w:t>
      </w:r>
    </w:p>
    <w:p>
      <w:pPr>
        <w:spacing w:after="0" w:line="14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Ms. Chen has served as KICO’s Chief Actuary since November 2020 and as its Senior Vice President and Head of Product Management since August 2022. From January 2018 to October 2020, she was Actuarial Manager/Senior Pricing Manager and Actuary for Homesite Insurance, a property and casualty insurance company. Ms. Chen served as Actuarial Manager of Plymouth Rock Assurance, an auto and home insurer, from November 2013 to January 2018. Ms. Chen received a B.S. degree in Mathematics from Tsinghua University and an M.S. degree in Applied Mathematics from Brown University.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David Fernandez</w:t>
      </w:r>
    </w:p>
    <w:p>
      <w:pPr>
        <w:spacing w:after="0" w:line="14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Mr. Fernandez has served as KICO's Senior Vice President and Chief Claims Officer since November 2023. He has over 25 years of insurance experience leading claims strategy and execution. Most recently, Mr. Fernandez was Vice President of Claims for Point32Health. Previously, he held senior claims positions at Progressive and Liberty Mutual. Mr. Fernandez also served as Vice President of Claims Digital Transformation at Unum. Mr. Fernandez received a B.A. degree from Colby College and an M.B.A. from Babson College. He holds designations from The Institutes as a Chartered Property Casualty Underwriter and Associate in Risk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Floyd R. Tupper</w:t>
      </w:r>
    </w:p>
    <w:p>
      <w:pPr>
        <w:spacing w:after="0" w:line="152"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2"/>
          <w:szCs w:val="12"/>
          <w:color w:val="auto"/>
        </w:rPr>
        <w:t>Mr. Tupper is a certified public accountant in New York City. For over 40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 of our Audit Committee since June 2014 and as our Secretary since June 2015. We believe that Mr. Tupper’s accounting experience, as well as his service on the Board of KICO (including his service as Chair of its Audit Committee), give him the qualifications and skills to serve as one of our directors.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William L. Yankus</w:t>
      </w:r>
    </w:p>
    <w:p>
      <w:pPr>
        <w:spacing w:after="0" w:line="143"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2"/>
          <w:szCs w:val="12"/>
          <w:color w:val="auto"/>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serves as a member of the Board of Directors of Jet.AI, Inc. (Nasdaq: JTAI), an innovative private aviation and artificial intelligence company. He has served as one of our directors since March 2016, has served as Chair of our Compensation Committee from April 2017 to March 2023 and since June 2025, served as Chair of our Compensation and Finance Committee from March 2023 to June 2025 and served as Chair of our Investment Committee from February 2020 to August 2021. Mr. Yankus received his B.A. degree in Economics and Accounting from The College of the Holy Cross. We believe that Mr. Yankus’ executive level experience in the insurance industry gives him the qualifications and skills to serve as one of our directors.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Manmohan Singh</w:t>
      </w:r>
    </w:p>
    <w:p>
      <w:pPr>
        <w:spacing w:after="0" w:line="134"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Mr. Singh is the Group Chief Financial Officer and Head of Corporate Development for Angel Oak Companies, overseeing financial operations, including accounting and treasury, for all of Angel Oak’s subsidiaries. He is also a member of the Angel Oak Enterprise Risk Management Committee. Previously, Mr. Singh was a Director in the Insurance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Investment Banking team at New York-based Sandler O’Neill &amp; Partners, which was an investment bank specializing in financial institutions that merged with Piper Jaffray Companies to form Piper Sandler Companies. During his 12 years with Sandler O’Neill, Mr. Singh worked extensively in the insurance sector, advising them on capital raising and merger and acquisition related matters. Mr. Singh has been involved with several key merger and acquisition transactions, including those involving private equity buyers and alternative asset managers making forays into the life and annuity sector. Mr. Singh holds a Master of Business Administration degree from the Indiana University Kelley School of Business, a Master of Science degree in Finance from the Department of Financial Studies at the University of Delhi, and a Bachelor of Engineering degree from Deenbandhu Chhotu Ram University of Science and Technology in India. Mr. Singh has served as one of our directors since April 2024. He was appointed pursuant to the provisions of the Note and Warrant Exchange Agreement, dated as of December 9, 2022, between the Company and the purchaser signatories thereto (the “Exchange Agreement”), whereby the holders of a majority of the aggregate principal amount of the promissory notes issued pursuant to the Exchange Agreement (the “Notes”) were granted the right to nominate one person to serve as a member of our Board of Directors. Such nomination right has ceased as the Notes are no longer outstanding. Mr. Singh has served as Chair of our Investment and Capital Committee since June 2025. We believe that Mr. Singh’s extensive experience in insurance, financial operations and risk management gives him the qualifications and skills to serve as one of our directors.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Pranav Pasricha</w:t>
      </w:r>
    </w:p>
    <w:p>
      <w:pPr>
        <w:spacing w:after="0" w:line="161"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Mr. Pasricha is an entrepreneurial leader with a track record in building insurance and technology companies. He has served in global executive roles at major reinsurance, insurance and insuretech companies. Mr. Pasricha has served since October 2023 as Chief Executive Officer of BluePond.Ai, a GenAi-based property and casualty insuretech company. Since August 2022, he has also served as Managing Partner of BluePond Capital, a family office incubating insuretech startups. From January to June 2023, Mr. Pasricha was Entrepreneur in Residence for Point 72 Hyperscale, a hedge fund and private equity investor. From August 2020 to December 2022, he served as Global Head, P&amp;C Solutions for Swiss Re, a global reinsurance and insurance carrier. Mr. Pasricha served as Chief Executive Officer of IntellectSEEC, an insurance software company, from June 2014 to July 2020. He has served as one of our directors and Chair of our Nominating and Corporate Governance Committee since August 2025. Mr. Pasricha received his B.E. degree in Electronics and Communications from M.D. University, India and his M.B.A. from University of Otago, New Zealand. He also completed the Executive Program in Strategic IT from the Northwestern University Kellogg School of Management. We believe that Mr. Pasricha’s executive level experience in the insurance and reinsurance industries gives him the qualifications and skills to serve as one of our directors.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Family Relationships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There are no family relationships among any of our executive officers and directors.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Term of Office</w:t>
      </w:r>
    </w:p>
    <w:p>
      <w:pPr>
        <w:spacing w:after="0" w:line="154"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2"/>
          <w:szCs w:val="12"/>
          <w:color w:val="auto"/>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Audit Committee of the Board of Directors is responsible for overseeing our accounting and financial reporting processes and the audits of our financial statements. The members of the Audit Committee are Messrs.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Tupper, (Chair), Newgarden and Yankus.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Audit Committee Financial Expert</w:t>
      </w:r>
    </w:p>
    <w:p>
      <w:pPr>
        <w:spacing w:after="0" w:line="154" w:lineRule="exact"/>
        <w:rPr>
          <w:sz w:val="20"/>
          <w:szCs w:val="20"/>
          <w:color w:val="auto"/>
        </w:rPr>
      </w:pPr>
    </w:p>
    <w:p>
      <w:pPr>
        <w:jc w:val="both"/>
        <w:ind w:right="20" w:firstLine="405"/>
        <w:spacing w:after="0" w:line="264" w:lineRule="auto"/>
        <w:rPr>
          <w:sz w:val="20"/>
          <w:szCs w:val="20"/>
          <w:color w:val="auto"/>
        </w:rPr>
      </w:pPr>
      <w:r>
        <w:rPr>
          <w:rFonts w:ascii="Times New Roman" w:cs="Times New Roman" w:eastAsia="Times New Roman" w:hAnsi="Times New Roman"/>
          <w:sz w:val="12"/>
          <w:szCs w:val="12"/>
          <w:color w:val="auto"/>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Delinquent Section 16(a) Reports</w:t>
      </w:r>
    </w:p>
    <w:p>
      <w:pPr>
        <w:spacing w:after="0" w:line="154"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12"/>
          <w:szCs w:val="12"/>
          <w:color w:val="auto"/>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Annual Report each reporting person whom we know to have failed to file any required reports under</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8" w:name="page69"/>
    <w:bookmarkEnd w:id="68"/>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Section 16 on a timely basis during the fiscal year ended December 31, 2025. To our knowledge, based solely on a review of copies of Forms 3, 4 and 5 filed with the SEC and written representations that no other reports were required, during the fiscal year ended December 31, 2025, our officers, directors and 10% stockholders complied with all Section 16(a) filing requirements applicable to them, except that Ms. Chen filed two Forms 4 late (each reporting one transaction) and Mr. Pasricha filed his Form 3 and one Form 4 late (reporting one transaction).</w:t>
      </w:r>
    </w:p>
    <w:p>
      <w:pPr>
        <w:spacing w:after="0" w:line="11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b w:val="1"/>
          <w:bCs w:val="1"/>
          <w:i w:val="1"/>
          <w:iCs w:val="1"/>
          <w:color w:val="auto"/>
        </w:rPr>
        <w:t>Code of Ethics; Officer and Director Trading Restrictions Policy</w:t>
      </w:r>
    </w:p>
    <w:p>
      <w:pPr>
        <w:spacing w:after="0" w:line="145" w:lineRule="exact"/>
        <w:rPr>
          <w:sz w:val="20"/>
          <w:szCs w:val="20"/>
          <w:color w:val="auto"/>
        </w:rPr>
      </w:pPr>
    </w:p>
    <w:p>
      <w:pPr>
        <w:jc w:val="both"/>
        <w:ind w:left="8" w:firstLine="405"/>
        <w:spacing w:after="0" w:line="249" w:lineRule="auto"/>
        <w:rPr>
          <w:sz w:val="20"/>
          <w:szCs w:val="20"/>
          <w:color w:val="auto"/>
        </w:rPr>
      </w:pPr>
      <w:r>
        <w:rPr>
          <w:rFonts w:ascii="Times New Roman" w:cs="Times New Roman" w:eastAsia="Times New Roman" w:hAnsi="Times New Roman"/>
          <w:sz w:val="12"/>
          <w:szCs w:val="12"/>
          <w:color w:val="auto"/>
        </w:rPr>
        <w:t xml:space="preserve">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t>
      </w:r>
      <w:r>
        <w:rPr>
          <w:rFonts w:ascii="Times New Roman" w:cs="Times New Roman" w:eastAsia="Times New Roman" w:hAnsi="Times New Roman"/>
          <w:sz w:val="12"/>
          <w:szCs w:val="12"/>
          <w:u w:val="single" w:color="auto"/>
          <w:color w:val="0000FF"/>
        </w:rPr>
        <w:t>www.kingstonecompanies.com</w:t>
      </w:r>
      <w:r>
        <w:rPr>
          <w:rFonts w:ascii="Times New Roman" w:cs="Times New Roman" w:eastAsia="Times New Roman" w:hAnsi="Times New Roman"/>
          <w:sz w:val="12"/>
          <w:szCs w:val="12"/>
          <w:color w:val="auto"/>
        </w:rPr>
        <w:t xml:space="preserve">. We intend to satisfy the disclosure requirement under Item 5.05(c) of Form 8-K regarding an amendment to, or a waiver from, our Code of Ethics or Officer and Director Trading Restrictions Policy by posting such information on our website, </w:t>
      </w:r>
      <w:r>
        <w:rPr>
          <w:rFonts w:ascii="Times New Roman" w:cs="Times New Roman" w:eastAsia="Times New Roman" w:hAnsi="Times New Roman"/>
          <w:sz w:val="12"/>
          <w:szCs w:val="12"/>
          <w:u w:val="single" w:color="auto"/>
          <w:color w:val="0000FF"/>
        </w:rPr>
        <w:t>www.kingstonecompanies.com</w:t>
      </w:r>
      <w:r>
        <w:rPr>
          <w:rFonts w:ascii="Times New Roman" w:cs="Times New Roman" w:eastAsia="Times New Roman" w:hAnsi="Times New Roman"/>
          <w:sz w:val="12"/>
          <w:szCs w:val="12"/>
          <w:color w:val="auto"/>
        </w:rPr>
        <w:t>.</w:t>
      </w:r>
    </w:p>
    <w:p>
      <w:pPr>
        <w:spacing w:after="0" w:line="125"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b w:val="1"/>
          <w:bCs w:val="1"/>
          <w:i w:val="1"/>
          <w:iCs w:val="1"/>
          <w:color w:val="auto"/>
        </w:rPr>
        <w:t>Insider Trading Policy</w:t>
      </w:r>
    </w:p>
    <w:p>
      <w:pPr>
        <w:spacing w:after="0" w:line="154" w:lineRule="exact"/>
        <w:rPr>
          <w:sz w:val="20"/>
          <w:szCs w:val="20"/>
          <w:color w:val="auto"/>
        </w:rPr>
      </w:pPr>
    </w:p>
    <w:p>
      <w:pPr>
        <w:jc w:val="both"/>
        <w:ind w:left="8" w:right="20" w:firstLine="405"/>
        <w:spacing w:after="0" w:line="249" w:lineRule="auto"/>
        <w:rPr>
          <w:sz w:val="20"/>
          <w:szCs w:val="20"/>
          <w:color w:val="auto"/>
        </w:rPr>
      </w:pPr>
      <w:r>
        <w:rPr>
          <w:rFonts w:ascii="Times New Roman" w:cs="Times New Roman" w:eastAsia="Times New Roman" w:hAnsi="Times New Roman"/>
          <w:sz w:val="12"/>
          <w:szCs w:val="12"/>
          <w:color w:val="auto"/>
        </w:rPr>
        <w:t>We have adopted an insider trading policy governing the purchase, sale and/or other disposition of our company’s securities by directors, officers and certain designated employees that is designed to promote compliance with insider trading laws, rules and regulations, as well as procedures designed to further the foregoing purposes. A copy of our insider trading policy is filed as an exhibit to this Annual Report on Form 10-K. In addition, from time to time, we may engage in transactions in our company's securities. It is our intent to comply with applicable laws and regulations relating to insider trading.</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ITEM 11. EXECUTIVE COMPENSATION</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b w:val="1"/>
          <w:bCs w:val="1"/>
          <w:i w:val="1"/>
          <w:iCs w:val="1"/>
          <w:color w:val="auto"/>
        </w:rPr>
        <w:t>Summary Compensation Table</w:t>
      </w:r>
    </w:p>
    <w:p>
      <w:pPr>
        <w:spacing w:after="0" w:line="145" w:lineRule="exact"/>
        <w:rPr>
          <w:sz w:val="20"/>
          <w:szCs w:val="20"/>
          <w:color w:val="auto"/>
        </w:rPr>
      </w:pPr>
    </w:p>
    <w:p>
      <w:pPr>
        <w:jc w:val="both"/>
        <w:ind w:left="8" w:firstLine="405"/>
        <w:spacing w:after="0" w:line="279" w:lineRule="auto"/>
        <w:rPr>
          <w:sz w:val="20"/>
          <w:szCs w:val="20"/>
          <w:color w:val="auto"/>
        </w:rPr>
      </w:pPr>
      <w:r>
        <w:rPr>
          <w:rFonts w:ascii="Times New Roman" w:cs="Times New Roman" w:eastAsia="Times New Roman" w:hAnsi="Times New Roman"/>
          <w:sz w:val="12"/>
          <w:szCs w:val="12"/>
          <w:color w:val="auto"/>
        </w:rPr>
        <w:t>The following table sets forth certain information concerning the compensation for the fiscal years ended December 31, 2025 and 2024 for certain executive officers, including our Chief Executive Officer (collectively, the “Named Executive Officers”):</w:t>
      </w:r>
    </w:p>
    <w:p>
      <w:pPr>
        <w:spacing w:after="0" w:line="10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Non-Equity</w:t>
            </w:r>
          </w:p>
        </w:tc>
        <w:tc>
          <w:tcPr>
            <w:tcW w:w="240" w:type="dxa"/>
            <w:vAlign w:val="bottom"/>
          </w:tcPr>
          <w:p>
            <w:pPr>
              <w:spacing w:after="0"/>
              <w:rPr>
                <w:sz w:val="10"/>
                <w:szCs w:val="10"/>
                <w:color w:val="auto"/>
              </w:rPr>
            </w:pP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Year</w:t>
            </w:r>
          </w:p>
        </w:tc>
        <w:tc>
          <w:tcPr>
            <w:tcW w:w="9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8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0"/>
                <w:szCs w:val="10"/>
                <w:b w:val="1"/>
                <w:bCs w:val="1"/>
                <w:color w:val="auto"/>
              </w:rPr>
              <w:t>Bonus</w:t>
            </w:r>
          </w:p>
        </w:tc>
        <w:tc>
          <w:tcPr>
            <w:tcW w:w="1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right"/>
              <w:ind w:right="272"/>
              <w:spacing w:after="0" w:line="98" w:lineRule="exact"/>
              <w:rPr>
                <w:sz w:val="20"/>
                <w:szCs w:val="20"/>
                <w:color w:val="auto"/>
              </w:rPr>
            </w:pPr>
            <w:r>
              <w:rPr>
                <w:rFonts w:ascii="Times New Roman" w:cs="Times New Roman" w:eastAsia="Times New Roman" w:hAnsi="Times New Roman"/>
                <w:sz w:val="10"/>
                <w:szCs w:val="10"/>
                <w:b w:val="1"/>
                <w:bCs w:val="1"/>
                <w:color w:val="auto"/>
              </w:rPr>
              <w:t>Incentive Plan</w:t>
            </w:r>
          </w:p>
        </w:tc>
        <w:tc>
          <w:tcPr>
            <w:tcW w:w="2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restart"/>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1"/>
        </w:trPr>
        <w:tc>
          <w:tcPr>
            <w:tcW w:w="212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Awards(1)</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Awards(1)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240" w:type="dxa"/>
            <w:vAlign w:val="bottom"/>
          </w:tcPr>
          <w:p>
            <w:pPr>
              <w:spacing w:after="0"/>
              <w:rPr>
                <w:sz w:val="11"/>
                <w:szCs w:val="11"/>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Meryl S. Golden</w:t>
            </w:r>
          </w:p>
        </w:tc>
        <w:tc>
          <w:tcPr>
            <w:tcW w:w="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0"/>
                <w:szCs w:val="10"/>
                <w:color w:val="auto"/>
                <w:w w:val="89"/>
              </w:rPr>
              <w:t>2025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$550,000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5"/>
              </w:rPr>
              <w:t>$687,500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607,600</w:t>
            </w:r>
          </w:p>
        </w:tc>
        <w:tc>
          <w:tcPr>
            <w:tcW w:w="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85"/>
              </w:rPr>
              <w:t>(3)</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26,000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(9)</w:t>
            </w: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1,871,100</w:t>
            </w:r>
          </w:p>
        </w:tc>
        <w:tc>
          <w:tcPr>
            <w:tcW w:w="0" w:type="dxa"/>
            <w:vAlign w:val="bottom"/>
          </w:tcPr>
          <w:p>
            <w:pPr>
              <w:spacing w:after="0"/>
              <w:rPr>
                <w:sz w:val="1"/>
                <w:szCs w:val="1"/>
                <w:color w:val="auto"/>
              </w:rPr>
            </w:pPr>
          </w:p>
        </w:tc>
      </w:tr>
      <w:tr>
        <w:trPr>
          <w:trHeight w:val="127"/>
        </w:trPr>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Chief Executive Officer and President</w:t>
            </w:r>
          </w:p>
        </w:tc>
        <w:tc>
          <w:tcPr>
            <w:tcW w:w="580" w:type="dxa"/>
            <w:vAlign w:val="bottom"/>
          </w:tcPr>
          <w:p>
            <w:pPr>
              <w:jc w:val="right"/>
              <w:ind w:right="332"/>
              <w:spacing w:after="0"/>
              <w:rPr>
                <w:sz w:val="20"/>
                <w:szCs w:val="20"/>
                <w:color w:val="auto"/>
              </w:rPr>
            </w:pPr>
            <w:r>
              <w:rPr>
                <w:rFonts w:ascii="Times New Roman" w:cs="Times New Roman" w:eastAsia="Times New Roman" w:hAnsi="Times New Roman"/>
                <w:sz w:val="10"/>
                <w:szCs w:val="10"/>
                <w:color w:val="auto"/>
                <w:w w:val="89"/>
              </w:rPr>
              <w:t>2024</w:t>
            </w:r>
          </w:p>
        </w:tc>
        <w:tc>
          <w:tcPr>
            <w:tcW w:w="80" w:type="dxa"/>
            <w:vAlign w:val="bottom"/>
          </w:tcPr>
          <w:p>
            <w:pPr>
              <w:spacing w:after="0"/>
              <w:rPr>
                <w:sz w:val="11"/>
                <w:szCs w:val="1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500,000</w:t>
            </w:r>
          </w:p>
        </w:tc>
        <w:tc>
          <w:tcPr>
            <w:tcW w:w="8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496,358</w:t>
            </w:r>
          </w:p>
        </w:tc>
        <w:tc>
          <w:tcPr>
            <w:tcW w:w="8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136,500</w:t>
            </w:r>
          </w:p>
        </w:tc>
        <w:tc>
          <w:tcPr>
            <w:tcW w:w="42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85"/>
              </w:rPr>
              <w:t>(4)</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25,800</w:t>
            </w:r>
          </w:p>
        </w:tc>
        <w:tc>
          <w:tcPr>
            <w:tcW w:w="500" w:type="dxa"/>
            <w:vAlign w:val="bottom"/>
          </w:tcPr>
          <w:p>
            <w:pPr>
              <w:spacing w:after="0"/>
              <w:rPr>
                <w:sz w:val="20"/>
                <w:szCs w:val="20"/>
                <w:color w:val="auto"/>
              </w:rPr>
            </w:pPr>
            <w:r>
              <w:rPr>
                <w:rFonts w:ascii="Times New Roman" w:cs="Times New Roman" w:eastAsia="Times New Roman" w:hAnsi="Times New Roman"/>
                <w:sz w:val="10"/>
                <w:szCs w:val="10"/>
                <w:color w:val="auto"/>
              </w:rPr>
              <w:t>(10)</w:t>
            </w: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1,158,658</w:t>
            </w:r>
          </w:p>
        </w:tc>
        <w:tc>
          <w:tcPr>
            <w:tcW w:w="0" w:type="dxa"/>
            <w:vAlign w:val="bottom"/>
          </w:tcPr>
          <w:p>
            <w:pPr>
              <w:spacing w:after="0"/>
              <w:rPr>
                <w:sz w:val="1"/>
                <w:szCs w:val="1"/>
                <w:color w:val="auto"/>
              </w:rPr>
            </w:pPr>
          </w:p>
        </w:tc>
      </w:tr>
      <w:tr>
        <w:trPr>
          <w:trHeight w:val="161"/>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Sarah (Minlei) Chen</w:t>
            </w:r>
          </w:p>
        </w:tc>
        <w:tc>
          <w:tcPr>
            <w:tcW w:w="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0"/>
                <w:szCs w:val="10"/>
                <w:color w:val="auto"/>
                <w:w w:val="89"/>
              </w:rPr>
              <w:t>2025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$387,046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5"/>
              </w:rPr>
              <w:t>$145,642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291,742</w:t>
            </w:r>
          </w:p>
        </w:tc>
        <w:tc>
          <w:tcPr>
            <w:tcW w:w="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85"/>
              </w:rPr>
              <w:t>(5)</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14,000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(11)</w:t>
            </w: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838,430</w:t>
            </w:r>
          </w:p>
        </w:tc>
        <w:tc>
          <w:tcPr>
            <w:tcW w:w="0" w:type="dxa"/>
            <w:vAlign w:val="bottom"/>
          </w:tcPr>
          <w:p>
            <w:pPr>
              <w:spacing w:after="0"/>
              <w:rPr>
                <w:sz w:val="1"/>
                <w:szCs w:val="1"/>
                <w:color w:val="auto"/>
              </w:rPr>
            </w:pPr>
          </w:p>
        </w:tc>
      </w:tr>
      <w:tr>
        <w:trPr>
          <w:trHeight w:val="94"/>
        </w:trPr>
        <w:tc>
          <w:tcPr>
            <w:tcW w:w="2120" w:type="dxa"/>
            <w:vAlign w:val="bottom"/>
            <w:gridSpan w:val="2"/>
          </w:tcPr>
          <w:p>
            <w:pPr>
              <w:ind w:left="100"/>
              <w:spacing w:after="0" w:line="94" w:lineRule="exact"/>
              <w:rPr>
                <w:sz w:val="20"/>
                <w:szCs w:val="20"/>
                <w:color w:val="auto"/>
              </w:rPr>
            </w:pPr>
            <w:r>
              <w:rPr>
                <w:rFonts w:ascii="Times New Roman" w:cs="Times New Roman" w:eastAsia="Times New Roman" w:hAnsi="Times New Roman"/>
                <w:sz w:val="10"/>
                <w:szCs w:val="10"/>
                <w:color w:val="auto"/>
              </w:rPr>
              <w:t>Chief Actuary and Senior Vice President,</w:t>
            </w:r>
          </w:p>
        </w:tc>
        <w:tc>
          <w:tcPr>
            <w:tcW w:w="58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color w:val="auto"/>
                <w:w w:val="89"/>
              </w:rPr>
              <w:t>2024</w:t>
            </w:r>
          </w:p>
        </w:tc>
        <w:tc>
          <w:tcPr>
            <w:tcW w:w="8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355,138</w:t>
            </w:r>
          </w:p>
        </w:tc>
        <w:tc>
          <w:tcPr>
            <w:tcW w:w="80" w:type="dxa"/>
            <w:vAlign w:val="bottom"/>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166,609</w:t>
            </w:r>
          </w:p>
        </w:tc>
        <w:tc>
          <w:tcPr>
            <w:tcW w:w="80" w:type="dxa"/>
            <w:vAlign w:val="bottom"/>
          </w:tcPr>
          <w:p>
            <w:pPr>
              <w:spacing w:after="0"/>
              <w:rPr>
                <w:sz w:val="8"/>
                <w:szCs w:val="8"/>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166,109</w:t>
            </w:r>
          </w:p>
        </w:tc>
        <w:tc>
          <w:tcPr>
            <w:tcW w:w="42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color w:val="auto"/>
                <w:w w:val="85"/>
              </w:rPr>
              <w:t>(6)</w:t>
            </w: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12,400</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2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7,838</w:t>
            </w:r>
          </w:p>
        </w:tc>
        <w:tc>
          <w:tcPr>
            <w:tcW w:w="50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(11)</w:t>
            </w:r>
          </w:p>
        </w:tc>
        <w:tc>
          <w:tcPr>
            <w:tcW w:w="2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708,094</w:t>
            </w:r>
          </w:p>
        </w:tc>
        <w:tc>
          <w:tcPr>
            <w:tcW w:w="0" w:type="dxa"/>
            <w:vAlign w:val="bottom"/>
          </w:tcPr>
          <w:p>
            <w:pPr>
              <w:spacing w:after="0"/>
              <w:rPr>
                <w:sz w:val="1"/>
                <w:szCs w:val="1"/>
                <w:color w:val="auto"/>
              </w:rPr>
            </w:pPr>
          </w:p>
        </w:tc>
      </w:tr>
      <w:tr>
        <w:trPr>
          <w:trHeight w:val="69"/>
        </w:trPr>
        <w:tc>
          <w:tcPr>
            <w:tcW w:w="2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color w:val="auto"/>
              </w:rPr>
              <w:t>Kingstone Insurance Company</w:t>
            </w: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12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Randy L. Patten(2)</w:t>
            </w:r>
          </w:p>
        </w:tc>
        <w:tc>
          <w:tcPr>
            <w:tcW w:w="58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0"/>
                <w:szCs w:val="10"/>
                <w:color w:val="auto"/>
                <w:w w:val="89"/>
              </w:rPr>
              <w:t>2025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140,274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5"/>
              </w:rPr>
              <w:t>$253,103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652,603</w:t>
            </w:r>
          </w:p>
        </w:tc>
        <w:tc>
          <w:tcPr>
            <w:tcW w:w="4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85"/>
              </w:rPr>
              <w:t>(7)</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1,045,980</w:t>
            </w:r>
          </w:p>
        </w:tc>
        <w:tc>
          <w:tcPr>
            <w:tcW w:w="0" w:type="dxa"/>
            <w:vAlign w:val="bottom"/>
          </w:tcPr>
          <w:p>
            <w:pPr>
              <w:spacing w:after="0"/>
              <w:rPr>
                <w:sz w:val="1"/>
                <w:szCs w:val="1"/>
                <w:color w:val="auto"/>
              </w:rPr>
            </w:pPr>
          </w:p>
        </w:tc>
      </w:tr>
      <w:tr>
        <w:trPr>
          <w:trHeight w:val="94"/>
        </w:trPr>
        <w:tc>
          <w:tcPr>
            <w:tcW w:w="2120" w:type="dxa"/>
            <w:vAlign w:val="bottom"/>
            <w:gridSpan w:val="2"/>
          </w:tcPr>
          <w:p>
            <w:pPr>
              <w:ind w:left="100"/>
              <w:spacing w:after="0" w:line="94" w:lineRule="exact"/>
              <w:rPr>
                <w:sz w:val="20"/>
                <w:szCs w:val="20"/>
                <w:color w:val="auto"/>
              </w:rPr>
            </w:pPr>
            <w:r>
              <w:rPr>
                <w:rFonts w:ascii="Times New Roman" w:cs="Times New Roman" w:eastAsia="Times New Roman" w:hAnsi="Times New Roman"/>
                <w:sz w:val="10"/>
                <w:szCs w:val="10"/>
                <w:color w:val="auto"/>
              </w:rPr>
              <w:t>Vice President, Chief Financial Officer and</w:t>
            </w:r>
          </w:p>
        </w:tc>
        <w:tc>
          <w:tcPr>
            <w:tcW w:w="58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color w:val="auto"/>
                <w:w w:val="89"/>
              </w:rPr>
              <w:t>2024</w:t>
            </w:r>
          </w:p>
        </w:tc>
        <w:tc>
          <w:tcPr>
            <w:tcW w:w="8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8"/>
                <w:szCs w:val="8"/>
                <w:color w:val="auto"/>
              </w:rPr>
            </w:pPr>
          </w:p>
        </w:tc>
        <w:tc>
          <w:tcPr>
            <w:tcW w:w="16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8"/>
                <w:szCs w:val="8"/>
                <w:color w:val="auto"/>
              </w:rPr>
            </w:pPr>
          </w:p>
        </w:tc>
        <w:tc>
          <w:tcPr>
            <w:tcW w:w="2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vMerge w:val="restart"/>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8"/>
                <w:szCs w:val="8"/>
                <w:color w:val="auto"/>
              </w:rPr>
            </w:pPr>
          </w:p>
        </w:tc>
        <w:tc>
          <w:tcPr>
            <w:tcW w:w="200" w:type="dxa"/>
            <w:vAlign w:val="bottom"/>
            <w:vMerge w:val="restart"/>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3"/>
        </w:trPr>
        <w:tc>
          <w:tcPr>
            <w:tcW w:w="212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Treasurer</w:t>
            </w:r>
          </w:p>
        </w:tc>
        <w:tc>
          <w:tcPr>
            <w:tcW w:w="5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w:t>
      </w:r>
    </w:p>
    <w:p>
      <w:pPr>
        <w:spacing w:after="0" w:line="141" w:lineRule="exact"/>
        <w:rPr>
          <w:sz w:val="20"/>
          <w:szCs w:val="20"/>
          <w:color w:val="auto"/>
        </w:rPr>
      </w:pPr>
    </w:p>
    <w:p>
      <w:pPr>
        <w:ind w:left="168" w:right="20" w:hanging="168"/>
        <w:spacing w:after="0" w:line="264" w:lineRule="auto"/>
        <w:tabs>
          <w:tab w:leader="none" w:pos="164"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119"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Patten was elected Vice President, Chief Financial Officer and Treasurer on August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-188595</wp:posOffset>
            </wp:positionV>
            <wp:extent cx="190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3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69" w:name="page70"/>
    <w:bookmarkEnd w:id="69"/>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168" w:hanging="168"/>
        <w:spacing w:after="0" w:line="264" w:lineRule="auto"/>
        <w:tabs>
          <w:tab w:leader="none" w:pos="16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January 2025, Ms. Golden was granted 40,000 shares of restricted common stock under our 2024 Equity Participation Plan (the "2024 Plan"). Such grant vested to the extent of 20,000 shares on the first anniversary of the date of grant and will vest to the extent of 20,000 shares on December 31, 2026, subject to acceleration under certain circumstances.</w:t>
      </w:r>
    </w:p>
    <w:p>
      <w:pPr>
        <w:spacing w:after="0" w:line="119"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January 2024, Ms. Golden was granted 64,085 shares of restricted common stock under our Amended and Restated 2014 Equity Participation Plan (the "2014 Plan"). Such grant vested on the first anniversary of the date of grant.</w:t>
      </w:r>
    </w:p>
    <w:p>
      <w:pPr>
        <w:spacing w:after="0" w:line="141" w:lineRule="exact"/>
        <w:rPr>
          <w:rFonts w:ascii="Times New Roman" w:cs="Times New Roman" w:eastAsia="Times New Roman" w:hAnsi="Times New Roman"/>
          <w:sz w:val="12"/>
          <w:szCs w:val="12"/>
          <w:color w:val="auto"/>
        </w:rPr>
      </w:pPr>
    </w:p>
    <w:p>
      <w:pPr>
        <w:jc w:val="both"/>
        <w:ind w:left="168" w:hanging="168"/>
        <w:spacing w:after="0" w:line="249" w:lineRule="auto"/>
        <w:tabs>
          <w:tab w:leader="none" w:pos="16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June 2025, Ms. Chen was granted 10,000 shares of restricted common stock under the 2024 Plan. Such grant vested to the extent of one-third on the date of grant and will vest to the extent of one-third on each of the first and second anniversaries of the date of grant, subject to acceleration under certain circumstances. In addition, in March 2026, Ms. Chen was granted 8,624 shares of restricted common stock under the 2024 Plan in consideration of services rendered during 2025. Such grant vested to the extent of one-third on the date of grant and will vest to the extent of one-third on each of the first and second anniversaries of the date of grant, subject to acceleration under certain circumstances.</w:t>
      </w:r>
    </w:p>
    <w:p>
      <w:pPr>
        <w:spacing w:after="0" w:line="120" w:lineRule="exact"/>
        <w:rPr>
          <w:rFonts w:ascii="Times New Roman" w:cs="Times New Roman" w:eastAsia="Times New Roman" w:hAnsi="Times New Roman"/>
          <w:sz w:val="12"/>
          <w:szCs w:val="12"/>
          <w:color w:val="auto"/>
        </w:rPr>
      </w:pPr>
    </w:p>
    <w:p>
      <w:pPr>
        <w:ind w:left="168" w:hanging="168"/>
        <w:spacing w:after="0" w:line="279" w:lineRule="auto"/>
        <w:tabs>
          <w:tab w:leader="none" w:pos="16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March 2025, Ms. Chen was granted 10,935 shares of restricted common stock under the 2024 Plan in consideration of services rendered during 2024. Such grant vested to the extent of one-third on each of the date of grant and the first anniversary of the date of grant and will vest to the extent of one-third on the second anniversary of the date of grant, subject to acceleration under certain circumstances.</w:t>
      </w:r>
    </w:p>
    <w:p>
      <w:pPr>
        <w:spacing w:after="0" w:line="102" w:lineRule="exact"/>
        <w:rPr>
          <w:rFonts w:ascii="Times New Roman" w:cs="Times New Roman" w:eastAsia="Times New Roman" w:hAnsi="Times New Roman"/>
          <w:sz w:val="12"/>
          <w:szCs w:val="12"/>
          <w:color w:val="auto"/>
        </w:rPr>
      </w:pPr>
    </w:p>
    <w:p>
      <w:pPr>
        <w:jc w:val="both"/>
        <w:ind w:left="168" w:hanging="168"/>
        <w:spacing w:after="0" w:line="249" w:lineRule="auto"/>
        <w:tabs>
          <w:tab w:leader="none" w:pos="16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August 2025, Mr. Patten was granted 43,290 shares of restricted common stock under the 2024 Plan. Such grant will vest to the extent of one-fourth on each of the first and second anniversaries of the date of grant and one-half on the third anniversary of the date of grant, subject to acceleration under certain circumstances. In addition, in March 2026, Mr. Patten was granted 3,126 shares of restricted common stock under the 2024 Plan in consideration of services rendered during 2025. Such grant vested to the extent of one-third on the date of grant and will vest to the extent of one-third on each of the first and second anniversaries of the date of grant, subject to acceleration under certain circumstances.</w:t>
      </w:r>
    </w:p>
    <w:p>
      <w:pPr>
        <w:spacing w:after="0" w:line="120" w:lineRule="exact"/>
        <w:rPr>
          <w:rFonts w:ascii="Times New Roman" w:cs="Times New Roman" w:eastAsia="Times New Roman" w:hAnsi="Times New Roman"/>
          <w:sz w:val="12"/>
          <w:szCs w:val="12"/>
          <w:color w:val="auto"/>
        </w:rPr>
      </w:pPr>
    </w:p>
    <w:p>
      <w:pPr>
        <w:ind w:left="168" w:hanging="168"/>
        <w:spacing w:after="0" w:line="279" w:lineRule="auto"/>
        <w:tabs>
          <w:tab w:leader="none" w:pos="164"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January 2024, Ms. Chen was granted an option for the purchase of 10,000 shares of common stock under the 2014 Plan. Such option vested to the extent of one-third on each of the first and second anniversaries of the date of grant and will vest to the extent of one-third on the third anniversary of the date of grant, subject to acceleration under certain circumstances.</w:t>
      </w:r>
    </w:p>
    <w:p>
      <w:pPr>
        <w:spacing w:after="0" w:line="102" w:lineRule="exact"/>
        <w:rPr>
          <w:rFonts w:ascii="Times New Roman" w:cs="Times New Roman" w:eastAsia="Times New Roman" w:hAnsi="Times New Roman"/>
          <w:sz w:val="12"/>
          <w:szCs w:val="12"/>
          <w:color w:val="auto"/>
        </w:rPr>
      </w:pPr>
    </w:p>
    <w:p>
      <w:pPr>
        <w:ind w:left="148" w:hanging="148"/>
        <w:spacing w:after="0"/>
        <w:tabs>
          <w:tab w:leader="none" w:pos="14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employer matching contributions under our defined contribution plan of $14,000 and a car allowance of $12,000.</w:t>
      </w:r>
    </w:p>
    <w:p>
      <w:pPr>
        <w:spacing w:after="0" w:line="14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employer matching contributions under our defined contribution plan of $13,800 and a car allowance of $12,000.</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employer matching contributions under our defined contribution plan.</w:t>
      </w:r>
    </w:p>
    <w:p>
      <w:pPr>
        <w:spacing w:after="0" w:line="137"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b w:val="1"/>
          <w:bCs w:val="1"/>
          <w:i w:val="1"/>
          <w:iCs w:val="1"/>
          <w:color w:val="auto"/>
        </w:rPr>
        <w:t>Employment Contracts</w:t>
      </w:r>
    </w:p>
    <w:p>
      <w:pPr>
        <w:spacing w:after="0" w:line="143"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i w:val="1"/>
          <w:iCs w:val="1"/>
          <w:color w:val="auto"/>
        </w:rPr>
        <w:t>Meryl S. Golden</w:t>
      </w:r>
    </w:p>
    <w:p>
      <w:pPr>
        <w:spacing w:after="0" w:line="152"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u w:val="single" w:color="auto"/>
          <w:color w:val="auto"/>
        </w:rPr>
        <w:t>Employment Agreement effective as of January 1, 2023</w:t>
      </w:r>
    </w:p>
    <w:p>
      <w:pPr>
        <w:spacing w:after="0" w:line="141" w:lineRule="exact"/>
        <w:rPr>
          <w:sz w:val="20"/>
          <w:szCs w:val="20"/>
          <w:color w:val="auto"/>
        </w:rPr>
      </w:pPr>
    </w:p>
    <w:p>
      <w:pPr>
        <w:jc w:val="both"/>
        <w:ind w:left="8" w:firstLine="405"/>
        <w:spacing w:after="0" w:line="264" w:lineRule="auto"/>
        <w:rPr>
          <w:sz w:val="20"/>
          <w:szCs w:val="20"/>
          <w:color w:val="auto"/>
        </w:rPr>
      </w:pPr>
      <w:r>
        <w:rPr>
          <w:rFonts w:ascii="Times New Roman" w:cs="Times New Roman" w:eastAsia="Times New Roman" w:hAnsi="Times New Roman"/>
          <w:sz w:val="12"/>
          <w:szCs w:val="12"/>
          <w:color w:val="auto"/>
        </w:rPr>
        <w:t>On June 27, 2022, we and Ms. Golden entered into a second amended and restated employment agreement which took effect as of January 1, 2023, and expired on December 31, 2024 (the “Second Amended Golden Employment Agreement”).</w:t>
      </w:r>
    </w:p>
    <w:p>
      <w:pPr>
        <w:spacing w:after="0" w:line="119" w:lineRule="exact"/>
        <w:rPr>
          <w:sz w:val="20"/>
          <w:szCs w:val="20"/>
          <w:color w:val="auto"/>
        </w:rPr>
      </w:pPr>
    </w:p>
    <w:p>
      <w:pPr>
        <w:jc w:val="both"/>
        <w:ind w:left="8" w:firstLine="405"/>
        <w:spacing w:after="0" w:line="246" w:lineRule="auto"/>
        <w:rPr>
          <w:sz w:val="20"/>
          <w:szCs w:val="20"/>
          <w:color w:val="auto"/>
        </w:rPr>
      </w:pPr>
      <w:r>
        <w:rPr>
          <w:rFonts w:ascii="Times New Roman" w:cs="Times New Roman" w:eastAsia="Times New Roman" w:hAnsi="Times New Roman"/>
          <w:sz w:val="12"/>
          <w:szCs w:val="12"/>
          <w:color w:val="auto"/>
        </w:rPr>
        <w:t>Pursuant to the Second Amended Golden Employment Agreement, Ms. Golden was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received, under the terms of the 2014 Plan, a grant in each of January 2023 and January 2024 of a number of shares of restricted stock determined by dividing $136,500 by the fair market value of our common stock on the date of grant. The 2023 grant vested with respect to one-half of the award on the first anniversary of the grant date and one-half of the award on December 31, 2024. The 2024 grant vested on the first anniversary of the grant date.</w:t>
      </w:r>
    </w:p>
    <w:p>
      <w:pPr>
        <w:spacing w:after="0" w:line="3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u w:val="single" w:color="auto"/>
          <w:color w:val="auto"/>
        </w:rPr>
        <w:t>Employment Agreement effective as of January 1, 2025</w:t>
      </w:r>
    </w:p>
    <w:p>
      <w:pPr>
        <w:spacing w:after="0" w:line="150"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On April 15, 2024, we entered into a third amended and restated employment agreement with Ms. Golden, which took effect as of January 1, 2025 and expires on January 10, 2027 (the “Third Amended Golden Employment Agreement”).</w:t>
      </w:r>
    </w:p>
    <w:p>
      <w:pPr>
        <w:spacing w:after="0" w:line="128"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Pursuant to the Third Amended Golden Employment Agreement, Ms. Golden is entitled to receive an annual base salary of $550,000 (increased from $500,000 previously in effect) and an annual bonus equal to 3% of our consolidated income from operations before taxes, exclusive of our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us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our company (also as was provided for in the Second Amended Golden Employment Agreement). Pursuant to the Third Amended Golden Employment Agreement, Ms. Golden received a grant during each of January 2025 and January 2026 of 40,000 shares of restricted stock. The 2025 grant vested with respect to one-half of the award on the first anniversary of the grant date and will vest with respect to one-half of the award on December 31, 2026. The 2026 grant will vest on the first anniversary of the grant date.</w:t>
      </w:r>
    </w:p>
    <w:p>
      <w:pPr>
        <w:spacing w:after="0" w:line="143" w:lineRule="exact"/>
        <w:rPr>
          <w:sz w:val="20"/>
          <w:szCs w:val="20"/>
          <w:color w:val="auto"/>
        </w:rPr>
      </w:pPr>
    </w:p>
    <w:p>
      <w:pPr>
        <w:jc w:val="both"/>
        <w:ind w:firstLine="432"/>
        <w:spacing w:after="0" w:line="248" w:lineRule="auto"/>
        <w:rPr>
          <w:sz w:val="20"/>
          <w:szCs w:val="20"/>
          <w:color w:val="auto"/>
        </w:rPr>
      </w:pPr>
      <w:r>
        <w:rPr>
          <w:rFonts w:ascii="Times New Roman" w:cs="Times New Roman" w:eastAsia="Times New Roman" w:hAnsi="Times New Roman"/>
          <w:sz w:val="12"/>
          <w:szCs w:val="12"/>
          <w:color w:val="auto"/>
        </w:rPr>
        <w:t>See “Termination of Employment and Change-in-Control Arrangements – Meryl S. Golden” below for a discussion of the provisions of the Third Amended Golden Employment Agreement with regard to payments due and the acceleration of stock awards in the event of the termination of Ms. Golden’s employment under certain circumstances and/or in the event of a change in control.</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Randy L. Patten</w:t>
      </w:r>
    </w:p>
    <w:p>
      <w:pPr>
        <w:spacing w:after="0" w:line="170"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On July 23, 2025, we and Mr. Patten entered into an employment agreement which took effect as of August 25, 2025 and expires on August 25, 2028 (the "Patten Employment Agreement"). Pursuant to the Patten Employment Agreement, Mr. Patten is entitled to receive an annual salary of $400,000, a bonus target equal to 25% of his base salary (with a minimum guaranteed bonus for 2025 of $35,000) and a $200,000 sign-on bonus, which was paid on the effective date. Pursuant to the Patten Employment Agreement, in the event that Mr. Patten's employment is terminated by us without cause (whether or not following a change of control of our company) or he resigns for good reason (each as defined in the Patten Employment Agreement), Mr. Patten would be entitled to receive his base salary for the remainder of the term or 12 months, whichever is longer. In addition, pursuant to the Patten Employment Agreement, on the effective date, Mr. Patten received, pursuant to the 2024 Plan, 43,290 shares of restricted stock which will vest to the extent of one-fourth on each of the first and second anniversaries of the grant date and one-half on the third anniversary of the grant date.</w:t>
      </w:r>
    </w:p>
    <w:p>
      <w:pPr>
        <w:spacing w:after="0" w:line="132"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See “Termination of Employment and Change-in-Control Arrangements – Randy L. Patten” below for a discussion of the provisions of the Patten Employment Agreement with regard to payments due and the acceleration of stock awards in the event of the termination of Mr. Patten’s employment under certain circumstances and/or in the event of a change in control.</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Employee Bonus Plan</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Sara (Minlei) Chen</w:t>
      </w:r>
    </w:p>
    <w:p>
      <w:pPr>
        <w:spacing w:after="0" w:line="161"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Pursuant to our Employee Bonus Plan, Ms. Chen, as a member of our senior leadership team ("SLT"), is eligible to receive a cash bonus and shares of restricted common stock based upon the growth and underwriting profitability of our company.</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Randy L. Patten</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our Employee Bonus Plan, Mr. Patten, as a member of our SLT, is eligible to receive a cash bonus and shares of restricted common stock based upon the growth and underwriting profitability of our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1" w:name="page72"/>
    <w:bookmarkEnd w:id="71"/>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w:t>
      </w:r>
    </w:p>
    <w:p>
      <w:pPr>
        <w:spacing w:after="0" w:line="145"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color w:val="auto"/>
        </w:rPr>
        <w:t>The following table sets forth certain information concerning exercisable and unexercisable stock options and unvested stock grants held by the above Named Executive Officers as of December 31, 2025:</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vMerge w:val="restart"/>
          </w:tcPr>
          <w:p>
            <w:pPr>
              <w:jc w:val="center"/>
              <w:ind w:left="32"/>
              <w:spacing w:after="0"/>
              <w:rPr>
                <w:sz w:val="20"/>
                <w:szCs w:val="20"/>
                <w:color w:val="auto"/>
              </w:rPr>
            </w:pPr>
            <w:r>
              <w:rPr>
                <w:rFonts w:ascii="Times New Roman" w:cs="Times New Roman" w:eastAsia="Times New Roman" w:hAnsi="Times New Roman"/>
                <w:sz w:val="10"/>
                <w:szCs w:val="10"/>
                <w:b w:val="1"/>
                <w:bCs w:val="1"/>
                <w:color w:val="auto"/>
                <w:w w:val="97"/>
              </w:rPr>
              <w:t>Number of Securities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0"/>
                <w:szCs w:val="10"/>
                <w:b w:val="1"/>
                <w:bCs w:val="1"/>
                <w:color w:val="auto"/>
                <w:w w:val="94"/>
              </w:rPr>
              <w:t>Equity Incentive Plan</w:t>
            </w:r>
          </w:p>
        </w:tc>
        <w:tc>
          <w:tcPr>
            <w:tcW w:w="0" w:type="dxa"/>
            <w:vAlign w:val="bottom"/>
          </w:tcPr>
          <w:p>
            <w:pPr>
              <w:spacing w:after="0"/>
              <w:rPr>
                <w:sz w:val="1"/>
                <w:szCs w:val="1"/>
                <w:color w:val="auto"/>
              </w:rPr>
            </w:pPr>
          </w:p>
        </w:tc>
      </w:tr>
      <w:tr>
        <w:trPr>
          <w:trHeight w:val="52"/>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2"/>
            <w:vMerge w:val="restart"/>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4"/>
              </w:rPr>
              <w:t>Number of Securities</w:t>
            </w: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gridSpan w:val="2"/>
            <w:vMerge w:val="restart"/>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w w:val="94"/>
              </w:rPr>
              <w:t>Equity Incentive Plan</w:t>
            </w:r>
          </w:p>
        </w:tc>
        <w:tc>
          <w:tcPr>
            <w:tcW w:w="80" w:type="dxa"/>
            <w:vAlign w:val="bottom"/>
          </w:tcPr>
          <w:p>
            <w:pPr>
              <w:spacing w:after="0"/>
              <w:rPr>
                <w:sz w:val="4"/>
                <w:szCs w:val="4"/>
                <w:color w:val="auto"/>
              </w:rPr>
            </w:pPr>
          </w:p>
        </w:tc>
        <w:tc>
          <w:tcPr>
            <w:tcW w:w="1040" w:type="dxa"/>
            <w:vAlign w:val="bottom"/>
            <w:gridSpan w:val="2"/>
            <w:vMerge w:val="restart"/>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5"/>
              </w:rPr>
              <w:t>Awards: Market or</w:t>
            </w:r>
          </w:p>
        </w:tc>
        <w:tc>
          <w:tcPr>
            <w:tcW w:w="0" w:type="dxa"/>
            <w:vAlign w:val="bottom"/>
          </w:tcPr>
          <w:p>
            <w:pPr>
              <w:spacing w:after="0"/>
              <w:rPr>
                <w:sz w:val="1"/>
                <w:szCs w:val="1"/>
                <w:color w:val="auto"/>
              </w:rPr>
            </w:pPr>
          </w:p>
        </w:tc>
      </w:tr>
      <w:tr>
        <w:trPr>
          <w:trHeight w:val="56"/>
        </w:trPr>
        <w:tc>
          <w:tcPr>
            <w:tcW w:w="1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vMerge w:val="restart"/>
          </w:tcPr>
          <w:p>
            <w:pPr>
              <w:jc w:val="center"/>
              <w:ind w:left="52"/>
              <w:spacing w:after="0" w:line="90" w:lineRule="exact"/>
              <w:rPr>
                <w:sz w:val="20"/>
                <w:szCs w:val="20"/>
                <w:color w:val="auto"/>
              </w:rPr>
            </w:pPr>
            <w:r>
              <w:rPr>
                <w:rFonts w:ascii="Times New Roman" w:cs="Times New Roman" w:eastAsia="Times New Roman" w:hAnsi="Times New Roman"/>
                <w:sz w:val="10"/>
                <w:szCs w:val="10"/>
                <w:b w:val="1"/>
                <w:bCs w:val="1"/>
                <w:color w:val="auto"/>
                <w:w w:val="95"/>
              </w:rPr>
              <w:t>Underlying</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gridSpan w:val="2"/>
            <w:vMerge w:val="restart"/>
          </w:tcPr>
          <w:p>
            <w:pPr>
              <w:jc w:val="center"/>
              <w:ind w:right="80"/>
              <w:spacing w:after="0" w:line="90" w:lineRule="exact"/>
              <w:rPr>
                <w:sz w:val="20"/>
                <w:szCs w:val="20"/>
                <w:color w:val="auto"/>
              </w:rPr>
            </w:pPr>
            <w:r>
              <w:rPr>
                <w:rFonts w:ascii="Times New Roman" w:cs="Times New Roman" w:eastAsia="Times New Roman" w:hAnsi="Times New Roman"/>
                <w:sz w:val="10"/>
                <w:szCs w:val="10"/>
                <w:b w:val="1"/>
                <w:bCs w:val="1"/>
                <w:color w:val="auto"/>
                <w:w w:val="92"/>
              </w:rPr>
              <w:t>Market</w:t>
            </w:r>
          </w:p>
        </w:tc>
        <w:tc>
          <w:tcPr>
            <w:tcW w:w="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
        </w:trPr>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Underlying</w:t>
            </w: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7"/>
              </w:rPr>
              <w:t>Number of Shares of</w:t>
            </w:r>
          </w:p>
        </w:tc>
        <w:tc>
          <w:tcPr>
            <w:tcW w:w="1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Awards: Number of</w:t>
            </w:r>
          </w:p>
        </w:tc>
        <w:tc>
          <w:tcPr>
            <w:tcW w:w="80" w:type="dxa"/>
            <w:vAlign w:val="bottom"/>
          </w:tcPr>
          <w:p>
            <w:pPr>
              <w:spacing w:after="0"/>
              <w:rPr>
                <w:sz w:val="2"/>
                <w:szCs w:val="2"/>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Payout Value of</w:t>
            </w:r>
          </w:p>
        </w:tc>
        <w:tc>
          <w:tcPr>
            <w:tcW w:w="0" w:type="dxa"/>
            <w:vAlign w:val="bottom"/>
          </w:tcPr>
          <w:p>
            <w:pPr>
              <w:spacing w:after="0" w:line="20" w:lineRule="exact"/>
              <w:rPr>
                <w:sz w:val="1"/>
                <w:szCs w:val="1"/>
                <w:color w:val="auto"/>
              </w:rPr>
            </w:pPr>
          </w:p>
        </w:tc>
      </w:tr>
      <w:tr>
        <w:trPr>
          <w:trHeight w:val="99"/>
        </w:trPr>
        <w:tc>
          <w:tcPr>
            <w:tcW w:w="1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center"/>
              <w:ind w:left="52"/>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940" w:type="dxa"/>
            <w:vAlign w:val="bottom"/>
            <w:vMerge w:val="restart"/>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6"/>
              </w:rPr>
              <w:t>Option Expiration</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10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4"/>
              </w:rPr>
              <w:t>Value of Shares of</w:t>
            </w:r>
          </w:p>
        </w:tc>
        <w:tc>
          <w:tcPr>
            <w:tcW w:w="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7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vMerge w:val="restart"/>
          </w:tcPr>
          <w:p>
            <w:pPr>
              <w:spacing w:after="0"/>
              <w:rPr>
                <w:sz w:val="8"/>
                <w:szCs w:val="8"/>
                <w:color w:val="auto"/>
              </w:rPr>
            </w:pPr>
          </w:p>
        </w:tc>
        <w:tc>
          <w:tcPr>
            <w:tcW w:w="1040" w:type="dxa"/>
            <w:vAlign w:val="bottom"/>
          </w:tcPr>
          <w:p>
            <w:pPr>
              <w:jc w:val="center"/>
              <w:ind w:left="52"/>
              <w:spacing w:after="0" w:line="99" w:lineRule="exact"/>
              <w:rPr>
                <w:sz w:val="20"/>
                <w:szCs w:val="20"/>
                <w:color w:val="auto"/>
              </w:rPr>
            </w:pPr>
            <w:r>
              <w:rPr>
                <w:rFonts w:ascii="Times New Roman" w:cs="Times New Roman" w:eastAsia="Times New Roman" w:hAnsi="Times New Roman"/>
                <w:sz w:val="10"/>
                <w:szCs w:val="10"/>
                <w:b w:val="1"/>
                <w:bCs w:val="1"/>
                <w:color w:val="auto"/>
              </w:rPr>
              <w:t>Options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6"/>
              </w:rPr>
              <w:t>Unexercised Options</w:t>
            </w:r>
          </w:p>
        </w:tc>
        <w:tc>
          <w:tcPr>
            <w:tcW w:w="1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2"/>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110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7"/>
              </w:rPr>
              <w:t>Stock That Have</w:t>
            </w:r>
          </w:p>
        </w:tc>
        <w:tc>
          <w:tcPr>
            <w:tcW w:w="1100" w:type="dxa"/>
            <w:vAlign w:val="bottom"/>
            <w:gridSpan w:val="3"/>
          </w:tcPr>
          <w:p>
            <w:pPr>
              <w:jc w:val="center"/>
              <w:ind w:right="6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Unearned Shares That</w:t>
            </w:r>
          </w:p>
        </w:tc>
        <w:tc>
          <w:tcPr>
            <w:tcW w:w="1120" w:type="dxa"/>
            <w:vAlign w:val="bottom"/>
            <w:gridSpan w:val="3"/>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Unearned Shares That</w:t>
            </w:r>
          </w:p>
        </w:tc>
        <w:tc>
          <w:tcPr>
            <w:tcW w:w="0" w:type="dxa"/>
            <w:vAlign w:val="bottom"/>
          </w:tcPr>
          <w:p>
            <w:pPr>
              <w:spacing w:after="0"/>
              <w:rPr>
                <w:sz w:val="1"/>
                <w:szCs w:val="1"/>
                <w:color w:val="auto"/>
              </w:rPr>
            </w:pPr>
          </w:p>
        </w:tc>
      </w:tr>
      <w:tr>
        <w:trPr>
          <w:trHeight w:val="130"/>
        </w:trPr>
        <w:tc>
          <w:tcPr>
            <w:tcW w:w="1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2"/>
              </w:rPr>
              <w:t>Exercisable</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Unexercisable</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That Have Not Vested</w:t>
            </w:r>
          </w:p>
        </w:tc>
        <w:tc>
          <w:tcPr>
            <w:tcW w:w="4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Not Vested</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Have Not Vested</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b w:val="1"/>
                <w:bCs w:val="1"/>
                <w:color w:val="auto"/>
                <w:w w:val="94"/>
              </w:rPr>
              <w:t>Have Not Vested</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Meryl S. Golden</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40,000 (1)</w:t>
            </w:r>
          </w:p>
        </w:tc>
        <w:tc>
          <w:tcPr>
            <w:tcW w:w="10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rPr>
              <w:t>$673,200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Sarah (Minlei) Chen</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93"/>
              </w:rPr>
              <w:t>1/5/29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13,956 (2)</w:t>
            </w:r>
          </w:p>
        </w:tc>
        <w:tc>
          <w:tcPr>
            <w:tcW w:w="10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rPr>
              <w:t>$234,879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Randy L. Patten</w:t>
            </w: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43,290 (3)</w:t>
            </w:r>
          </w:p>
        </w:tc>
        <w:tc>
          <w:tcPr>
            <w:tcW w:w="10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rPr>
              <w:t>$728,571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________________________</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48" w:hanging="648"/>
        <w:spacing w:after="0"/>
        <w:tabs>
          <w:tab w:leader="none" w:pos="64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shares vested to the extent of 20,000 shares on January 2, 2026 and will vest to the extent of 20,000 shares on December 31, 2026, subject to acceleration under certain circumstances.</w:t>
      </w:r>
    </w:p>
    <w:p>
      <w:pPr>
        <w:spacing w:after="0" w:line="148" w:lineRule="exact"/>
        <w:rPr>
          <w:rFonts w:ascii="Times New Roman" w:cs="Times New Roman" w:eastAsia="Times New Roman" w:hAnsi="Times New Roman"/>
          <w:sz w:val="12"/>
          <w:szCs w:val="12"/>
          <w:color w:val="auto"/>
        </w:rPr>
      </w:pPr>
    </w:p>
    <w:p>
      <w:pPr>
        <w:ind w:left="648" w:hanging="648"/>
        <w:spacing w:after="0" w:line="264" w:lineRule="auto"/>
        <w:tabs>
          <w:tab w:leader="none" w:pos="64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shares vested to the extent of 3,645 shares on March 3, 2026 and will vest to the extent of 3,333 shares on June 18, 2026, 3,645 shares on March 3, 2027 and 3,333 shares on June 18, 2027, subject to acceleration under certain circumstances.</w:t>
      </w:r>
    </w:p>
    <w:p>
      <w:pPr>
        <w:spacing w:after="0" w:line="119" w:lineRule="exact"/>
        <w:rPr>
          <w:rFonts w:ascii="Times New Roman" w:cs="Times New Roman" w:eastAsia="Times New Roman" w:hAnsi="Times New Roman"/>
          <w:sz w:val="12"/>
          <w:szCs w:val="12"/>
          <w:color w:val="auto"/>
        </w:rPr>
      </w:pPr>
    </w:p>
    <w:p>
      <w:pPr>
        <w:ind w:left="648" w:hanging="648"/>
        <w:spacing w:after="0"/>
        <w:tabs>
          <w:tab w:leader="none" w:pos="64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shares will vest to the extent of 10,823 shares on August 25, 2026, 10,822 shares on August 25, 2027 and 21,645 shares on August 25, 2028, subject to acceleration under certain circumstances.</w:t>
      </w:r>
    </w:p>
    <w:p>
      <w:pPr>
        <w:spacing w:after="0" w:line="155"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2"/>
          <w:szCs w:val="12"/>
          <w:b w:val="1"/>
          <w:bCs w:val="1"/>
          <w:i w:val="1"/>
          <w:iCs w:val="1"/>
          <w:color w:val="auto"/>
        </w:rPr>
        <w:t>Termination of Employment and Change-in-Control Arrangements</w:t>
      </w:r>
    </w:p>
    <w:p>
      <w:pPr>
        <w:spacing w:after="0" w:line="143"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i w:val="1"/>
          <w:iCs w:val="1"/>
          <w:color w:val="auto"/>
        </w:rPr>
        <w:t>Meryl S. Golden</w:t>
      </w:r>
    </w:p>
    <w:p>
      <w:pPr>
        <w:spacing w:after="0" w:line="152" w:lineRule="exact"/>
        <w:rPr>
          <w:sz w:val="20"/>
          <w:szCs w:val="20"/>
          <w:color w:val="auto"/>
        </w:rPr>
      </w:pPr>
    </w:p>
    <w:p>
      <w:pPr>
        <w:jc w:val="both"/>
        <w:ind w:left="8" w:firstLine="405"/>
        <w:spacing w:after="0" w:line="249" w:lineRule="auto"/>
        <w:rPr>
          <w:sz w:val="20"/>
          <w:szCs w:val="20"/>
          <w:color w:val="auto"/>
        </w:rPr>
      </w:pPr>
      <w:r>
        <w:rPr>
          <w:rFonts w:ascii="Times New Roman" w:cs="Times New Roman" w:eastAsia="Times New Roman" w:hAnsi="Times New Roman"/>
          <w:sz w:val="12"/>
          <w:szCs w:val="12"/>
          <w:color w:val="auto"/>
        </w:rPr>
        <w:t>Pursuant to the Third Amended Golden Employment Agreement, in the event that Ms. Golden’s employment is terminated by us without cause, or she resigns for good reason (each as defined in the Third Amended Golden Employment Agreement), Ms. Golden would be entitled to receive her annual base salary for the remainder of the term or for twelve months, whichever is later. In addition, pursuant to the 2024 Plan, in the event of a termination of employment due to the death or disability of Ms. Golden, the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spacing w:after="0" w:line="120" w:lineRule="exact"/>
        <w:rPr>
          <w:sz w:val="20"/>
          <w:szCs w:val="20"/>
          <w:color w:val="auto"/>
        </w:rPr>
      </w:pPr>
    </w:p>
    <w:p>
      <w:pPr>
        <w:jc w:val="both"/>
        <w:ind w:left="8" w:firstLine="405"/>
        <w:spacing w:after="0" w:line="264" w:lineRule="auto"/>
        <w:rPr>
          <w:sz w:val="20"/>
          <w:szCs w:val="20"/>
          <w:color w:val="auto"/>
        </w:rPr>
      </w:pPr>
      <w:r>
        <w:rPr>
          <w:rFonts w:ascii="Times New Roman" w:cs="Times New Roman" w:eastAsia="Times New Roman" w:hAnsi="Times New Roman"/>
          <w:sz w:val="12"/>
          <w:szCs w:val="12"/>
          <w:color w:val="auto"/>
        </w:rPr>
        <w:t>Ms. Golden would be entitled to receive, under certain circumstances, a payment equal to 1.5 times her then annual base salary and her accrued bonus in the event of the termination of her employment within eighteen months following a change in control of our company. In addition, pursuant to the 2024 Plan, Ms. Golden’s outstanding restricted stock awards will vest in the event of a change of control of our company.</w:t>
      </w:r>
    </w:p>
    <w:p>
      <w:pPr>
        <w:spacing w:after="0" w:line="117"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i w:val="1"/>
          <w:iCs w:val="1"/>
          <w:color w:val="auto"/>
        </w:rPr>
        <w:t>Sarah (Minlei) Chen</w:t>
      </w:r>
    </w:p>
    <w:p>
      <w:pPr>
        <w:spacing w:after="0" w:line="143" w:lineRule="exact"/>
        <w:rPr>
          <w:sz w:val="20"/>
          <w:szCs w:val="20"/>
          <w:color w:val="auto"/>
        </w:rPr>
      </w:pPr>
    </w:p>
    <w:p>
      <w:pPr>
        <w:jc w:val="both"/>
        <w:ind w:left="8" w:firstLine="405"/>
        <w:spacing w:after="0" w:line="264" w:lineRule="auto"/>
        <w:rPr>
          <w:sz w:val="20"/>
          <w:szCs w:val="20"/>
          <w:color w:val="auto"/>
        </w:rPr>
      </w:pPr>
      <w:r>
        <w:rPr>
          <w:rFonts w:ascii="Times New Roman" w:cs="Times New Roman" w:eastAsia="Times New Roman" w:hAnsi="Times New Roman"/>
          <w:sz w:val="12"/>
          <w:szCs w:val="12"/>
          <w:color w:val="auto"/>
        </w:rPr>
        <w:t>Pursuant to the 2024 Plan, in the event of a termination of employment due to the death or disability of Ms. Chen, the stock grants scheduled to vest on the next vesting date following such event shall vest under certain circumstances notwithstanding such event. In addition, pursuant to the 2024 Plan, Ms. Chen’s outstanding restricted stock awards will vest in the event of a change of control of our company.</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i w:val="1"/>
          <w:iCs w:val="1"/>
          <w:color w:val="auto"/>
        </w:rPr>
        <w:t>Randy L. Patten</w:t>
      </w:r>
    </w:p>
    <w:p>
      <w:pPr>
        <w:spacing w:after="0" w:line="152" w:lineRule="exact"/>
        <w:rPr>
          <w:sz w:val="20"/>
          <w:szCs w:val="20"/>
          <w:color w:val="auto"/>
        </w:rPr>
      </w:pPr>
    </w:p>
    <w:p>
      <w:pPr>
        <w:ind w:firstLine="405"/>
        <w:spacing w:after="0" w:line="264" w:lineRule="auto"/>
        <w:rPr>
          <w:sz w:val="20"/>
          <w:szCs w:val="20"/>
          <w:color w:val="auto"/>
        </w:rPr>
      </w:pPr>
      <w:r>
        <w:rPr>
          <w:rFonts w:ascii="Times New Roman" w:cs="Times New Roman" w:eastAsia="Times New Roman" w:hAnsi="Times New Roman"/>
          <w:sz w:val="12"/>
          <w:szCs w:val="12"/>
          <w:color w:val="auto"/>
        </w:rPr>
        <w:t>Pursuant to the Patten Employment Agreement, in the event that Mr. Patten’s employment is terminated by us without cause (whether or not following a change of control of our company), or he resigns for good reason (each as defined in the Patten Employment Agreement), Mr. Patten would be entitled to receive his annual base salary for the remainder of the term or for twelve months, whichever is longer.</w:t>
      </w:r>
    </w:p>
    <w:p>
      <w:pPr>
        <w:spacing w:after="0" w:line="119" w:lineRule="exact"/>
        <w:rPr>
          <w:sz w:val="20"/>
          <w:szCs w:val="20"/>
          <w:color w:val="auto"/>
        </w:rPr>
      </w:pPr>
    </w:p>
    <w:p>
      <w:pPr>
        <w:ind w:right="20" w:firstLine="405"/>
        <w:spacing w:after="0" w:line="279" w:lineRule="auto"/>
        <w:rPr>
          <w:sz w:val="20"/>
          <w:szCs w:val="20"/>
          <w:color w:val="auto"/>
        </w:rPr>
      </w:pPr>
      <w:r>
        <w:rPr>
          <w:rFonts w:ascii="Times New Roman" w:cs="Times New Roman" w:eastAsia="Times New Roman" w:hAnsi="Times New Roman"/>
          <w:sz w:val="12"/>
          <w:szCs w:val="12"/>
          <w:color w:val="auto"/>
        </w:rPr>
        <w:t>Pursuant to the 2024 Plan, in the event of a termination of employment due to the death or disability of Mr. Patten, the stock grant scheduled to vest on the next vesting date following such event shall vest under certain circumstances notwithstanding such event. In addition, pursuant to the 2024 Plan, Mr. Patten’s outstanding restricted stock awards will vest in the event of a change of control of our company.</w:t>
      </w:r>
    </w:p>
    <w:p>
      <w:pPr>
        <w:spacing w:after="0" w:line="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Compensation of Directors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following table sets forth certain information concerning the compensation of our non-employee directors for the fiscal year ended December 31,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5"/>
          </w:tcPr>
          <w:p>
            <w:pPr>
              <w:ind w:left="420"/>
              <w:spacing w:after="0"/>
              <w:rPr>
                <w:sz w:val="20"/>
                <w:szCs w:val="20"/>
                <w:color w:val="auto"/>
              </w:rPr>
            </w:pPr>
            <w:r>
              <w:rPr>
                <w:rFonts w:ascii="Times New Roman" w:cs="Times New Roman" w:eastAsia="Times New Roman" w:hAnsi="Times New Roman"/>
                <w:sz w:val="12"/>
                <w:szCs w:val="12"/>
                <w:b w:val="1"/>
                <w:bCs w:val="1"/>
                <w:color w:val="auto"/>
              </w:rPr>
              <w:t>DIRECTOR COMPENSATION</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41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6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Fees Earned or</w:t>
            </w:r>
          </w:p>
        </w:tc>
        <w:tc>
          <w:tcPr>
            <w:tcW w:w="260" w:type="dxa"/>
            <w:vAlign w:val="bottom"/>
          </w:tcPr>
          <w:p>
            <w:pPr>
              <w:spacing w:after="0"/>
              <w:rPr>
                <w:sz w:val="24"/>
                <w:szCs w:val="24"/>
                <w:color w:val="auto"/>
              </w:rPr>
            </w:pPr>
          </w:p>
        </w:tc>
        <w:tc>
          <w:tcPr>
            <w:tcW w:w="1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Stock Awards(1)</w:t>
            </w:r>
          </w:p>
        </w:tc>
        <w:tc>
          <w:tcPr>
            <w:tcW w:w="400" w:type="dxa"/>
            <w:vAlign w:val="bottom"/>
          </w:tcPr>
          <w:p>
            <w:pPr>
              <w:spacing w:after="0"/>
              <w:rPr>
                <w:sz w:val="24"/>
                <w:szCs w:val="24"/>
                <w:color w:val="auto"/>
              </w:rPr>
            </w:pPr>
          </w:p>
        </w:tc>
        <w:tc>
          <w:tcPr>
            <w:tcW w:w="1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0"/>
        </w:trPr>
        <w:tc>
          <w:tcPr>
            <w:tcW w:w="41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Paid in Cash</w:t>
            </w:r>
          </w:p>
        </w:tc>
        <w:tc>
          <w:tcPr>
            <w:tcW w:w="2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Thomas Newgarden</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235,500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Floyd R. Tupper</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75,000</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160" w:type="dxa"/>
            <w:vAlign w:val="bottom"/>
          </w:tcPr>
          <w:p>
            <w:pPr>
              <w:spacing w:after="0"/>
              <w:rPr>
                <w:sz w:val="14"/>
                <w:szCs w:val="1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William L. Yankus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Manmohan Singh</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57,500</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160" w:type="dxa"/>
            <w:vAlign w:val="bottom"/>
          </w:tcPr>
          <w:p>
            <w:pPr>
              <w:spacing w:after="0"/>
              <w:rPr>
                <w:sz w:val="14"/>
                <w:szCs w:val="1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Pranav Pasricha</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26,119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21,350</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47,469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Timothy P. McFadden(2)</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37,489</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160" w:type="dxa"/>
            <w:vAlign w:val="bottom"/>
          </w:tcPr>
          <w:p>
            <w:pPr>
              <w:spacing w:after="0"/>
              <w:rPr>
                <w:sz w:val="14"/>
                <w:szCs w:val="14"/>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90,489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Carla A. D'Andre(2)</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53,000</w:t>
            </w: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91,985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340" w:hanging="700"/>
        <w:spacing w:after="0" w:line="264" w:lineRule="auto"/>
        <w:tabs>
          <w:tab w:leader="none" w:pos="1336"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spacing w:after="0" w:line="56" w:lineRule="exact"/>
        <w:rPr>
          <w:rFonts w:ascii="Times New Roman" w:cs="Times New Roman" w:eastAsia="Times New Roman" w:hAnsi="Times New Roman"/>
          <w:sz w:val="12"/>
          <w:szCs w:val="12"/>
          <w:color w:val="auto"/>
        </w:rPr>
      </w:pPr>
    </w:p>
    <w:p>
      <w:pPr>
        <w:ind w:left="1340" w:hanging="700"/>
        <w:spacing w:after="0"/>
        <w:tabs>
          <w:tab w:leader="none" w:pos="13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Served as a director until August 6, 2025.</w:t>
      </w:r>
    </w:p>
    <w:p>
      <w:pPr>
        <w:spacing w:after="0" w:line="1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The aggregate number of unvested restricted stock awards outstanding as of fiscal year end for each non-employee director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5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Unvested Restricted</w:t>
            </w:r>
          </w:p>
        </w:tc>
        <w:tc>
          <w:tcPr>
            <w:tcW w:w="0" w:type="dxa"/>
            <w:vAlign w:val="bottom"/>
          </w:tcPr>
          <w:p>
            <w:pPr>
              <w:spacing w:after="0"/>
              <w:rPr>
                <w:sz w:val="1"/>
                <w:szCs w:val="1"/>
                <w:color w:val="auto"/>
              </w:rPr>
            </w:pPr>
          </w:p>
        </w:tc>
      </w:tr>
      <w:tr>
        <w:trPr>
          <w:trHeight w:val="159"/>
        </w:trPr>
        <w:tc>
          <w:tcPr>
            <w:tcW w:w="3400" w:type="dxa"/>
            <w:vAlign w:val="bottom"/>
            <w:tcBorders>
              <w:bottom w:val="single" w:sz="8" w:color="auto"/>
            </w:tcBorders>
            <w:vMerge w:val="continue"/>
          </w:tcPr>
          <w:p>
            <w:pPr>
              <w:spacing w:after="0"/>
              <w:rPr>
                <w:sz w:val="13"/>
                <w:szCs w:val="13"/>
                <w:color w:val="auto"/>
              </w:rPr>
            </w:pPr>
          </w:p>
        </w:tc>
        <w:tc>
          <w:tcPr>
            <w:tcW w:w="5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Stock Awards (#)</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Thomas Newgarden</w:t>
            </w:r>
          </w:p>
        </w:tc>
        <w:tc>
          <w:tcPr>
            <w:tcW w:w="7900" w:type="dxa"/>
            <w:vAlign w:val="bottom"/>
            <w:gridSpan w:val="3"/>
            <w:shd w:val="clear" w:color="auto" w:fill="CCEEFF"/>
          </w:tcPr>
          <w:p>
            <w:pPr>
              <w:jc w:val="center"/>
              <w:ind w:left="5563"/>
              <w:spacing w:after="0"/>
              <w:rPr>
                <w:sz w:val="20"/>
                <w:szCs w:val="20"/>
                <w:color w:val="auto"/>
              </w:rPr>
            </w:pPr>
            <w:r>
              <w:rPr>
                <w:rFonts w:ascii="Times New Roman" w:cs="Times New Roman" w:eastAsia="Times New Roman" w:hAnsi="Times New Roman"/>
                <w:sz w:val="12"/>
                <w:szCs w:val="12"/>
                <w:color w:val="auto"/>
              </w:rPr>
              <w:t>3,489</w:t>
            </w:r>
          </w:p>
        </w:tc>
        <w:tc>
          <w:tcPr>
            <w:tcW w:w="0" w:type="dxa"/>
            <w:vAlign w:val="bottom"/>
          </w:tcPr>
          <w:p>
            <w:pPr>
              <w:spacing w:after="0"/>
              <w:rPr>
                <w:sz w:val="1"/>
                <w:szCs w:val="1"/>
                <w:color w:val="auto"/>
              </w:rPr>
            </w:pPr>
          </w:p>
        </w:tc>
      </w:tr>
      <w:tr>
        <w:trPr>
          <w:trHeight w:val="166"/>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Floyd R. Tupper</w:t>
            </w:r>
          </w:p>
        </w:tc>
        <w:tc>
          <w:tcPr>
            <w:tcW w:w="7900" w:type="dxa"/>
            <w:vAlign w:val="bottom"/>
            <w:gridSpan w:val="3"/>
          </w:tcPr>
          <w:p>
            <w:pPr>
              <w:jc w:val="center"/>
              <w:ind w:left="5563"/>
              <w:spacing w:after="0"/>
              <w:rPr>
                <w:sz w:val="20"/>
                <w:szCs w:val="20"/>
                <w:color w:val="auto"/>
              </w:rPr>
            </w:pPr>
            <w:r>
              <w:rPr>
                <w:rFonts w:ascii="Times New Roman" w:cs="Times New Roman" w:eastAsia="Times New Roman" w:hAnsi="Times New Roman"/>
                <w:sz w:val="12"/>
                <w:szCs w:val="12"/>
                <w:color w:val="auto"/>
              </w:rPr>
              <w:t>3,489</w:t>
            </w:r>
          </w:p>
        </w:tc>
        <w:tc>
          <w:tcPr>
            <w:tcW w:w="0" w:type="dxa"/>
            <w:vAlign w:val="bottom"/>
          </w:tcPr>
          <w:p>
            <w:pPr>
              <w:spacing w:after="0"/>
              <w:rPr>
                <w:sz w:val="1"/>
                <w:szCs w:val="1"/>
                <w:color w:val="auto"/>
              </w:rPr>
            </w:pPr>
          </w:p>
        </w:tc>
      </w:tr>
      <w:tr>
        <w:trPr>
          <w:trHeight w:val="17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William L. Yankus</w:t>
            </w:r>
          </w:p>
        </w:tc>
        <w:tc>
          <w:tcPr>
            <w:tcW w:w="7900" w:type="dxa"/>
            <w:vAlign w:val="bottom"/>
            <w:gridSpan w:val="3"/>
            <w:shd w:val="clear" w:color="auto" w:fill="CCEEFF"/>
          </w:tcPr>
          <w:p>
            <w:pPr>
              <w:jc w:val="center"/>
              <w:ind w:left="5563"/>
              <w:spacing w:after="0"/>
              <w:rPr>
                <w:sz w:val="20"/>
                <w:szCs w:val="20"/>
                <w:color w:val="auto"/>
              </w:rPr>
            </w:pPr>
            <w:r>
              <w:rPr>
                <w:rFonts w:ascii="Times New Roman" w:cs="Times New Roman" w:eastAsia="Times New Roman" w:hAnsi="Times New Roman"/>
                <w:sz w:val="12"/>
                <w:szCs w:val="12"/>
                <w:color w:val="auto"/>
              </w:rPr>
              <w:t>3,489</w:t>
            </w:r>
          </w:p>
        </w:tc>
        <w:tc>
          <w:tcPr>
            <w:tcW w:w="0" w:type="dxa"/>
            <w:vAlign w:val="bottom"/>
          </w:tcPr>
          <w:p>
            <w:pPr>
              <w:spacing w:after="0"/>
              <w:rPr>
                <w:sz w:val="1"/>
                <w:szCs w:val="1"/>
                <w:color w:val="auto"/>
              </w:rPr>
            </w:pPr>
          </w:p>
        </w:tc>
      </w:tr>
      <w:tr>
        <w:trPr>
          <w:trHeight w:val="166"/>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Manmohan Singh</w:t>
            </w:r>
          </w:p>
        </w:tc>
        <w:tc>
          <w:tcPr>
            <w:tcW w:w="7900" w:type="dxa"/>
            <w:vAlign w:val="bottom"/>
            <w:gridSpan w:val="3"/>
          </w:tcPr>
          <w:p>
            <w:pPr>
              <w:jc w:val="center"/>
              <w:ind w:left="5563"/>
              <w:spacing w:after="0"/>
              <w:rPr>
                <w:sz w:val="20"/>
                <w:szCs w:val="20"/>
                <w:color w:val="auto"/>
              </w:rPr>
            </w:pPr>
            <w:r>
              <w:rPr>
                <w:rFonts w:ascii="Times New Roman" w:cs="Times New Roman" w:eastAsia="Times New Roman" w:hAnsi="Times New Roman"/>
                <w:sz w:val="12"/>
                <w:szCs w:val="12"/>
                <w:color w:val="auto"/>
              </w:rPr>
              <w:t>3,489</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Pranav Pasricha</w:t>
            </w:r>
          </w:p>
        </w:tc>
        <w:tc>
          <w:tcPr>
            <w:tcW w:w="7900" w:type="dxa"/>
            <w:vAlign w:val="bottom"/>
            <w:gridSpan w:val="3"/>
            <w:shd w:val="clear" w:color="auto" w:fill="CCEEFF"/>
          </w:tcPr>
          <w:p>
            <w:pPr>
              <w:jc w:val="center"/>
              <w:ind w:left="5563"/>
              <w:spacing w:after="0"/>
              <w:rPr>
                <w:sz w:val="20"/>
                <w:szCs w:val="20"/>
                <w:color w:val="auto"/>
              </w:rPr>
            </w:pPr>
            <w:r>
              <w:rPr>
                <w:rFonts w:ascii="Times New Roman" w:cs="Times New Roman" w:eastAsia="Times New Roman" w:hAnsi="Times New Roman"/>
                <w:sz w:val="12"/>
                <w:szCs w:val="12"/>
                <w:color w:val="auto"/>
              </w:rPr>
              <w:t>1,536</w:t>
            </w:r>
          </w:p>
        </w:tc>
        <w:tc>
          <w:tcPr>
            <w:tcW w:w="0" w:type="dxa"/>
            <w:vAlign w:val="bottom"/>
          </w:tcPr>
          <w:p>
            <w:pPr>
              <w:spacing w:after="0"/>
              <w:rPr>
                <w:sz w:val="1"/>
                <w:szCs w:val="1"/>
                <w:color w:val="auto"/>
              </w:rPr>
            </w:pPr>
          </w:p>
        </w:tc>
      </w:tr>
      <w:tr>
        <w:trPr>
          <w:trHeight w:val="167"/>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Timothy P. McFadden(1)</w:t>
            </w:r>
          </w:p>
        </w:tc>
        <w:tc>
          <w:tcPr>
            <w:tcW w:w="7900" w:type="dxa"/>
            <w:vAlign w:val="bottom"/>
            <w:gridSpan w:val="3"/>
          </w:tcPr>
          <w:p>
            <w:pPr>
              <w:jc w:val="center"/>
              <w:ind w:left="5563"/>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Carla A. D'Andre(1)</w:t>
            </w:r>
          </w:p>
        </w:tc>
        <w:tc>
          <w:tcPr>
            <w:tcW w:w="7900" w:type="dxa"/>
            <w:vAlign w:val="bottom"/>
            <w:gridSpan w:val="3"/>
            <w:shd w:val="clear" w:color="auto" w:fill="CCEEFF"/>
          </w:tcPr>
          <w:p>
            <w:pPr>
              <w:jc w:val="center"/>
              <w:ind w:left="5563"/>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612"/>
        </w:trPr>
        <w:tc>
          <w:tcPr>
            <w:tcW w:w="3400" w:type="dxa"/>
            <w:vAlign w:val="bottom"/>
          </w:tcPr>
          <w:p>
            <w:pPr>
              <w:spacing w:after="0"/>
              <w:rPr>
                <w:sz w:val="24"/>
                <w:szCs w:val="24"/>
                <w:color w:val="auto"/>
              </w:rPr>
            </w:pPr>
          </w:p>
        </w:tc>
        <w:tc>
          <w:tcPr>
            <w:tcW w:w="5540" w:type="dxa"/>
            <w:vAlign w:val="bottom"/>
          </w:tcPr>
          <w:p>
            <w:pPr>
              <w:jc w:val="right"/>
              <w:ind w:right="3183"/>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3400" w:type="dxa"/>
            <w:vAlign w:val="bottom"/>
            <w:tcBorders>
              <w:bottom w:val="single" w:sz="8" w:color="9A9A9A"/>
            </w:tcBorders>
          </w:tcPr>
          <w:p>
            <w:pPr>
              <w:spacing w:after="0"/>
              <w:rPr>
                <w:sz w:val="5"/>
                <w:szCs w:val="5"/>
                <w:color w:val="auto"/>
              </w:rPr>
            </w:pPr>
          </w:p>
        </w:tc>
        <w:tc>
          <w:tcPr>
            <w:tcW w:w="55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2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900" w:hanging="260"/>
        <w:spacing w:after="0"/>
        <w:tabs>
          <w:tab w:leader="none" w:pos="9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Served as director until August 6, 2025.</w:t>
      </w:r>
    </w:p>
    <w:p>
      <w:pPr>
        <w:spacing w:after="0" w:line="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Our non-employee directors are entitled to receive annual compensation for their services as directors as follows:</w:t>
      </w:r>
    </w:p>
    <w:p>
      <w:pPr>
        <w:spacing w:after="0" w:line="141" w:lineRule="exact"/>
        <w:rPr>
          <w:sz w:val="20"/>
          <w:szCs w:val="20"/>
          <w:color w:val="auto"/>
        </w:rPr>
      </w:pPr>
    </w:p>
    <w:p>
      <w:pPr>
        <w:ind w:left="1340" w:hanging="700"/>
        <w:spacing w:after="0"/>
        <w:tabs>
          <w:tab w:leader="none" w:pos="13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$50,000;</w:t>
      </w:r>
    </w:p>
    <w:p>
      <w:pPr>
        <w:spacing w:after="0" w:line="150" w:lineRule="exact"/>
        <w:rPr>
          <w:rFonts w:ascii="Times New Roman" w:cs="Times New Roman" w:eastAsia="Times New Roman" w:hAnsi="Times New Roman"/>
          <w:sz w:val="12"/>
          <w:szCs w:val="12"/>
          <w:color w:val="auto"/>
        </w:rPr>
      </w:pPr>
    </w:p>
    <w:p>
      <w:pPr>
        <w:ind w:left="1340" w:right="20" w:hanging="700"/>
        <w:spacing w:after="0" w:line="264" w:lineRule="auto"/>
        <w:tabs>
          <w:tab w:leader="none" w:pos="133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$125,000 for service as Non-Executive Chairman of the Board, an additional $25,000 for service as Audit Committee chair, and an additional $15,000 for service as chair of other committees; and</w:t>
      </w:r>
    </w:p>
    <w:p>
      <w:pPr>
        <w:spacing w:after="0" w:line="110" w:lineRule="exact"/>
        <w:rPr>
          <w:rFonts w:ascii="Times New Roman" w:cs="Times New Roman" w:eastAsia="Times New Roman" w:hAnsi="Times New Roman"/>
          <w:sz w:val="12"/>
          <w:szCs w:val="12"/>
          <w:color w:val="auto"/>
        </w:rPr>
      </w:pPr>
    </w:p>
    <w:p>
      <w:pPr>
        <w:ind w:left="1340" w:hanging="700"/>
        <w:spacing w:after="0"/>
        <w:tabs>
          <w:tab w:leader="none" w:pos="13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$53,000 of our common stock determined by the closing stock price on the first business day of the year, which vest on the first anniversary of the grant date.</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212529"/>
        </w:rPr>
        <w:t>Equity Award Grant Practices</w:t>
      </w:r>
    </w:p>
    <w:p>
      <w:pPr>
        <w:spacing w:after="0" w:line="163"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color w:val="auto"/>
        </w:rPr>
        <w:t>The equity awards for Ms. Golden and Mr. Patten are set out in the Third Amended Golden Employment Agreement and the Patten Employment Agreement, respectively. Equity awards for the other Named Executive Officer[</w:t>
      </w:r>
      <w:r>
        <w:rPr>
          <w:rFonts w:ascii="Times New Roman" w:cs="Times New Roman" w:eastAsia="Times New Roman" w:hAnsi="Times New Roman"/>
          <w:sz w:val="12"/>
          <w:szCs w:val="12"/>
          <w:u w:val="single" w:color="auto"/>
          <w:color w:val="auto"/>
        </w:rPr>
        <w:t>s</w:t>
      </w:r>
      <w:r>
        <w:rPr>
          <w:rFonts w:ascii="Times New Roman" w:cs="Times New Roman" w:eastAsia="Times New Roman" w:hAnsi="Times New Roman"/>
          <w:sz w:val="12"/>
          <w:szCs w:val="12"/>
          <w:color w:val="auto"/>
        </w:rPr>
        <w:t>] are discretionary and are generally granted to them in February or March each year pursuant to our Employee Bonus Plan which provides for the grant of restricted common stock based upon our growth and underwriting profitability in the prior fiscal year. In certain circumstances, including the hiring or promotion of an officer, the Compensation Committee may approve grants to be effective at other times. The Compensation Committee did not take material nonpublic information into account when determining the timing and terms of equity awards in 2025, and we do not time the disclosure of material nonpublic information for the purpose of affecting the value of executive compensation.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4" w:name="page75"/>
    <w:bookmarkEnd w:id="74"/>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ITEM 12. SECURITY OWNERSHIP OF CERTAIN BENEFICIAL OWNERS AND MANAGEMENT AND RELATED STOCKHOLDER MATTERS.</w:t>
      </w:r>
    </w:p>
    <w:p>
      <w:pPr>
        <w:spacing w:after="0" w:line="14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b w:val="1"/>
          <w:bCs w:val="1"/>
          <w:i w:val="1"/>
          <w:iCs w:val="1"/>
          <w:color w:val="auto"/>
        </w:rPr>
        <w:t>Security Ownership</w:t>
      </w:r>
    </w:p>
    <w:p>
      <w:pPr>
        <w:spacing w:after="0" w:line="154" w:lineRule="exact"/>
        <w:rPr>
          <w:sz w:val="20"/>
          <w:szCs w:val="20"/>
          <w:color w:val="auto"/>
        </w:rPr>
      </w:pPr>
    </w:p>
    <w:p>
      <w:pPr>
        <w:ind w:left="8" w:firstLine="405"/>
        <w:spacing w:after="0" w:line="264" w:lineRule="auto"/>
        <w:rPr>
          <w:sz w:val="20"/>
          <w:szCs w:val="20"/>
          <w:color w:val="auto"/>
        </w:rPr>
      </w:pPr>
      <w:r>
        <w:rPr>
          <w:rFonts w:ascii="Times New Roman" w:cs="Times New Roman" w:eastAsia="Times New Roman" w:hAnsi="Times New Roman"/>
          <w:sz w:val="12"/>
          <w:szCs w:val="12"/>
          <w:color w:val="auto"/>
        </w:rPr>
        <w:t>The following table sets forth certain information as of March 10, 2026,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6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 and Address</w:t>
            </w:r>
          </w:p>
        </w:tc>
        <w:tc>
          <w:tcPr>
            <w:tcW w:w="148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130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Approximate</w:t>
            </w:r>
          </w:p>
        </w:tc>
      </w:tr>
      <w:tr>
        <w:trPr>
          <w:trHeight w:val="162"/>
        </w:trPr>
        <w:tc>
          <w:tcPr>
            <w:tcW w:w="6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of Beneficial Owner</w:t>
            </w:r>
          </w:p>
        </w:tc>
        <w:tc>
          <w:tcPr>
            <w:tcW w:w="148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Beneficially Owned</w:t>
            </w:r>
          </w:p>
        </w:tc>
        <w:tc>
          <w:tcPr>
            <w:tcW w:w="13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Percent of Class</w:t>
            </w:r>
          </w:p>
        </w:tc>
      </w:tr>
      <w:tr>
        <w:trPr>
          <w:trHeight w:val="160"/>
        </w:trPr>
        <w:tc>
          <w:tcPr>
            <w:tcW w:w="6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Meryl S. Golden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226,675</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Floyd R. Tupper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155,207</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shd w:val="clear" w:color="auto" w:fill="CCEEFF"/>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William L. Yankus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95,323</w:t>
            </w:r>
          </w:p>
        </w:tc>
        <w:tc>
          <w:tcPr>
            <w:tcW w:w="1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Thomas Newgarden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51,715</w:t>
            </w:r>
          </w:p>
        </w:tc>
        <w:tc>
          <w:tcPr>
            <w:tcW w:w="1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Manmohan Singh</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12,217</w:t>
            </w:r>
          </w:p>
        </w:tc>
        <w:tc>
          <w:tcPr>
            <w:tcW w:w="1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r>
      <w:tr>
        <w:trPr>
          <w:trHeight w:val="180"/>
        </w:trPr>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Pranav Pasricha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1,536</w:t>
            </w:r>
          </w:p>
        </w:tc>
        <w:tc>
          <w:tcPr>
            <w:tcW w:w="1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r>
      <w:tr>
        <w:trPr>
          <w:trHeight w:val="180"/>
        </w:trPr>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Sarah (Minlei) Chen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27,059</w:t>
            </w:r>
          </w:p>
        </w:tc>
        <w:tc>
          <w:tcPr>
            <w:tcW w:w="1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r>
      <w:tr>
        <w:trPr>
          <w:trHeight w:val="180"/>
        </w:trPr>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Randy L. Patten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w:t>
            </w:r>
          </w:p>
        </w:tc>
        <w:tc>
          <w:tcPr>
            <w:tcW w:w="13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r>
      <w:tr>
        <w:trPr>
          <w:trHeight w:val="180"/>
        </w:trPr>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Barry B. Goldstein</w:t>
            </w:r>
          </w:p>
        </w:tc>
        <w:tc>
          <w:tcPr>
            <w:tcW w:w="1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5"/>
        </w:trPr>
        <w:tc>
          <w:tcPr>
            <w:tcW w:w="6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PO Box 450</w:t>
            </w:r>
          </w:p>
        </w:tc>
        <w:tc>
          <w:tcPr>
            <w:tcW w:w="14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Hewlett, NY 11557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918,780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80" w:type="dxa"/>
            <w:vAlign w:val="bottom"/>
            <w:shd w:val="clear" w:color="auto" w:fill="CCEEFF"/>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Gregory Fortunoff</w:t>
            </w:r>
          </w:p>
        </w:tc>
        <w:tc>
          <w:tcPr>
            <w:tcW w:w="1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5"/>
        </w:trPr>
        <w:tc>
          <w:tcPr>
            <w:tcW w:w="6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49 West 37th Street</w:t>
            </w:r>
          </w:p>
        </w:tc>
        <w:tc>
          <w:tcPr>
            <w:tcW w:w="14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York, NY 10018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848,650</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80" w:type="dxa"/>
            <w:vAlign w:val="bottom"/>
            <w:shd w:val="clear" w:color="auto" w:fill="CCEEFF"/>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1"/>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BlackRock, Inc.</w:t>
            </w:r>
          </w:p>
        </w:tc>
        <w:tc>
          <w:tcPr>
            <w:tcW w:w="1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5"/>
        </w:trPr>
        <w:tc>
          <w:tcPr>
            <w:tcW w:w="68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50 Hudson Yards</w:t>
            </w:r>
          </w:p>
        </w:tc>
        <w:tc>
          <w:tcPr>
            <w:tcW w:w="14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4"/>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 York, NY 10001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776,258</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80" w:type="dxa"/>
            <w:vAlign w:val="bottom"/>
            <w:shd w:val="clear" w:color="auto" w:fill="CCEEFF"/>
          </w:tcPr>
          <w:p>
            <w:pPr>
              <w:spacing w:after="0"/>
              <w:rPr>
                <w:sz w:val="14"/>
                <w:szCs w:val="14"/>
                <w:color w:val="auto"/>
              </w:rPr>
            </w:pPr>
          </w:p>
        </w:tc>
      </w:tr>
      <w:tr>
        <w:trPr>
          <w:trHeight w:val="17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shd w:val="clear" w:color="auto" w:fill="CCEEFF"/>
              </w:rPr>
              <w:t>All executive officers</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shd w:val="clear" w:color="auto" w:fill="CCEEFF"/>
              </w:rPr>
              <w:t>and directors as a group</w:t>
            </w:r>
          </w:p>
        </w:tc>
        <w:tc>
          <w:tcPr>
            <w:tcW w:w="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3"/>
        </w:trPr>
        <w:tc>
          <w:tcPr>
            <w:tcW w:w="6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shd w:val="clear" w:color="auto" w:fill="CCEEFF"/>
              </w:rPr>
              <w:t>(9 persons)</w:t>
            </w: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588,053</w:t>
            </w:r>
          </w:p>
        </w:tc>
        <w:tc>
          <w:tcPr>
            <w:tcW w:w="1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(1)(2)(6)</w:t>
            </w:r>
          </w:p>
        </w:tc>
        <w:tc>
          <w:tcPr>
            <w:tcW w:w="15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4.1%</w:t>
            </w:r>
          </w:p>
        </w:tc>
        <w:tc>
          <w:tcPr>
            <w:tcW w:w="80" w:type="dxa"/>
            <w:vAlign w:val="bottom"/>
            <w:shd w:val="clear" w:color="auto" w:fill="CCEEFF"/>
          </w:tcPr>
          <w:p>
            <w:pPr>
              <w:spacing w:after="0"/>
              <w:rPr>
                <w:sz w:val="13"/>
                <w:szCs w:val="13"/>
                <w:color w:val="auto"/>
              </w:rPr>
            </w:pPr>
          </w:p>
        </w:tc>
      </w:tr>
    </w:tbl>
    <w:p>
      <w:pPr>
        <w:spacing w:after="0" w:line="133" w:lineRule="exact"/>
        <w:rPr>
          <w:sz w:val="20"/>
          <w:szCs w:val="20"/>
          <w:color w:val="auto"/>
        </w:rPr>
      </w:pPr>
    </w:p>
    <w:p>
      <w:pPr>
        <w:ind w:left="108" w:hanging="108"/>
        <w:spacing w:after="0"/>
        <w:tabs>
          <w:tab w:leader="none" w:pos="1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1%.</w:t>
      </w:r>
    </w:p>
    <w:p>
      <w:pPr>
        <w:spacing w:after="0" w:line="150" w:lineRule="exact"/>
        <w:rPr>
          <w:rFonts w:ascii="Times New Roman" w:cs="Times New Roman" w:eastAsia="Times New Roman" w:hAnsi="Times New Roman"/>
          <w:sz w:val="12"/>
          <w:szCs w:val="12"/>
          <w:color w:val="auto"/>
        </w:rPr>
      </w:pPr>
    </w:p>
    <w:p>
      <w:pPr>
        <w:ind w:left="1348" w:hanging="700"/>
        <w:spacing w:after="0" w:line="264" w:lineRule="auto"/>
        <w:tabs>
          <w:tab w:leader="none" w:pos="1344" w:val="left"/>
        </w:tabs>
        <w:numPr>
          <w:ilvl w:val="1"/>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25,000 shares held in a retirement trust for the benefit of Ms. Golden. The inclusion of the shares owned by the retirement trust shall not be construed as an admission that Ms. Golden is, for purposes of Section 13(d) or 13(g) of the Exchange Act, the beneficial owner of such shares.</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both"/>
        <w:ind w:left="1340" w:hanging="700"/>
        <w:spacing w:after="0" w:line="249" w:lineRule="auto"/>
        <w:tabs>
          <w:tab w:leader="none" w:pos="133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 32,395 shares owned by Mr. Tupper’s wife, (ii) 6,675 shares held in a retirement trust for the benefit of Mr. Tupper and (iii) 810 shares held in a retirement trust for the benefit of Mr. Tupper’s wife. Mr. Tupper has sole voting and dispositive power over 122,002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p>
      <w:pPr>
        <w:spacing w:after="0" w:line="120" w:lineRule="exact"/>
        <w:rPr>
          <w:rFonts w:ascii="Times New Roman" w:cs="Times New Roman" w:eastAsia="Times New Roman" w:hAnsi="Times New Roman"/>
          <w:sz w:val="12"/>
          <w:szCs w:val="12"/>
          <w:color w:val="auto"/>
        </w:rPr>
      </w:pPr>
    </w:p>
    <w:p>
      <w:pPr>
        <w:jc w:val="both"/>
        <w:ind w:left="1340" w:hanging="700"/>
        <w:spacing w:after="0" w:line="249" w:lineRule="auto"/>
        <w:tabs>
          <w:tab w:leader="none" w:pos="133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845,612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p>
      <w:pPr>
        <w:spacing w:after="0" w:line="129" w:lineRule="exact"/>
        <w:rPr>
          <w:rFonts w:ascii="Times New Roman" w:cs="Times New Roman" w:eastAsia="Times New Roman" w:hAnsi="Times New Roman"/>
          <w:sz w:val="12"/>
          <w:szCs w:val="12"/>
          <w:color w:val="auto"/>
        </w:rPr>
      </w:pPr>
    </w:p>
    <w:p>
      <w:pPr>
        <w:jc w:val="both"/>
        <w:ind w:left="1340" w:hanging="700"/>
        <w:spacing w:after="0" w:line="243" w:lineRule="auto"/>
        <w:tabs>
          <w:tab w:leader="none" w:pos="133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regarding Gregory Fortunoff is based solely on Schedule 13D filed by him with the SEC on March 12, 2026 (the "Fortunoff 13D"). According to the Fortunoff 13D, Mr. Fortunoff has sole voting and dispositive power over 792,150 shares of common stock and shared voting and dispositive power over 56,500 shares of common stock. In addition, according to the Fortunoff 13D, the 848,650 shares of common stock beneficially owned by Mr. Fortunoff include shares owned by Mr. Fortunoff directly, shares beneficially owned by his wife and children, shares beneficially owned by 60 Squared LLC, which Mr. Fortunoff may be deemed to beneficially own as a manager of 60 Squared LLC, and shares underlying call options which are currently exercisable. Mr. Forunoff disclaims beneficial ownership of the securities that he does not directly own. The Fortunoff 13D also indicates that Scott Fortunoff has sole voting and dispositive power over 184,160 shares of common stock and shared voting and dispositive power over 56,500 shares of common stock. In addition, according to the Fortunoff 13D, the 240,660 shares of common stock beneficially owned by Scott Fortunoff include shares held directly by him, shares held by his wife, shares held in certain trusts for the benefit of his children and for which he serves as trustee and shares beneficially owned by 60 Squared LLC, which he may be deemed to beneficially own as a manager of 60 Squared LLC. He disclaims beneficial ownership of the securities that he does not directly own.</w:t>
      </w:r>
    </w:p>
    <w:p>
      <w:pPr>
        <w:spacing w:after="0" w:line="124" w:lineRule="exact"/>
        <w:rPr>
          <w:rFonts w:ascii="Times New Roman" w:cs="Times New Roman" w:eastAsia="Times New Roman" w:hAnsi="Times New Roman"/>
          <w:sz w:val="12"/>
          <w:szCs w:val="12"/>
          <w:color w:val="auto"/>
        </w:rPr>
      </w:pPr>
    </w:p>
    <w:p>
      <w:pPr>
        <w:jc w:val="both"/>
        <w:ind w:left="1340" w:hanging="700"/>
        <w:spacing w:after="0" w:line="249" w:lineRule="auto"/>
        <w:tabs>
          <w:tab w:leader="none" w:pos="1336"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regarding BlackRock, Inc. is based solely on Schedule 13G filed by it with the SEC on October 17, 2025. According to such Schedule 13G, (i) in accordance with SEC Release No. 34-39538 (January 12, 1998), the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 and (ii) various persons have the right to receive or the power to direct the receipt of dividends from, or the proceeds from the sale of, the common stock and no one person's interest in the common stock is more than 5% of the total outstanding common shares.</w:t>
      </w:r>
    </w:p>
    <w:p>
      <w:pPr>
        <w:spacing w:after="0" w:line="121" w:lineRule="exact"/>
        <w:rPr>
          <w:rFonts w:ascii="Times New Roman" w:cs="Times New Roman" w:eastAsia="Times New Roman" w:hAnsi="Times New Roman"/>
          <w:sz w:val="12"/>
          <w:szCs w:val="12"/>
          <w:color w:val="auto"/>
        </w:rPr>
      </w:pPr>
    </w:p>
    <w:p>
      <w:pPr>
        <w:ind w:left="1340" w:hanging="700"/>
        <w:spacing w:after="0"/>
        <w:tabs>
          <w:tab w:leader="none" w:pos="13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6,667 shares issuable upon exercise of currently exercisable options.</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b w:val="1"/>
          <w:bCs w:val="1"/>
          <w:i w:val="1"/>
          <w:iCs w:val="1"/>
          <w:color w:val="auto"/>
        </w:rPr>
        <w:t>Securities Authorized for Issuance Under Equity Compensation Plans</w:t>
      </w:r>
    </w:p>
    <w:p>
      <w:pPr>
        <w:spacing w:after="0" w:line="154" w:lineRule="exact"/>
        <w:rPr>
          <w:sz w:val="20"/>
          <w:szCs w:val="20"/>
          <w:color w:val="auto"/>
        </w:rPr>
      </w:pPr>
    </w:p>
    <w:p>
      <w:pPr>
        <w:ind w:firstLine="405"/>
        <w:spacing w:after="0" w:line="264" w:lineRule="auto"/>
        <w:rPr>
          <w:sz w:val="20"/>
          <w:szCs w:val="20"/>
          <w:color w:val="auto"/>
        </w:rPr>
      </w:pPr>
      <w:r>
        <w:rPr>
          <w:rFonts w:ascii="Times New Roman" w:cs="Times New Roman" w:eastAsia="Times New Roman" w:hAnsi="Times New Roman"/>
          <w:sz w:val="12"/>
          <w:szCs w:val="12"/>
          <w:color w:val="auto"/>
        </w:rPr>
        <w:t>The following table sets forth information as of December 31, 2025, with respect to compensation plans (including individual compensation arrangements) under which our common stock is authorized for issuance, aggregated as follows:</w:t>
      </w:r>
    </w:p>
    <w:p>
      <w:pPr>
        <w:spacing w:after="0" w:line="110" w:lineRule="exact"/>
        <w:rPr>
          <w:sz w:val="20"/>
          <w:szCs w:val="20"/>
          <w:color w:val="auto"/>
        </w:rPr>
      </w:pPr>
    </w:p>
    <w:p>
      <w:pPr>
        <w:ind w:left="1340" w:hanging="700"/>
        <w:spacing w:after="0"/>
        <w:tabs>
          <w:tab w:leader="none" w:pos="13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compensation plans previously approved by security holders; and</w:t>
      </w:r>
    </w:p>
    <w:p>
      <w:pPr>
        <w:spacing w:after="0" w:line="150" w:lineRule="exact"/>
        <w:rPr>
          <w:rFonts w:ascii="Times New Roman" w:cs="Times New Roman" w:eastAsia="Times New Roman" w:hAnsi="Times New Roman"/>
          <w:sz w:val="12"/>
          <w:szCs w:val="12"/>
          <w:color w:val="auto"/>
        </w:rPr>
      </w:pPr>
    </w:p>
    <w:p>
      <w:pPr>
        <w:ind w:left="1340" w:hanging="700"/>
        <w:spacing w:after="0"/>
        <w:tabs>
          <w:tab w:leader="none" w:pos="13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compensation plans not previously approved by security 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6" w:name="page77"/>
    <w:bookmarkEnd w:id="76"/>
    <w:tbl>
      <w:tblPr>
        <w:tblLayout w:type="fixed"/>
        <w:tblInd w:w="8" w:type="dxa"/>
        <w:tblCellMar>
          <w:top w:w="0" w:type="dxa"/>
          <w:left w:w="0" w:type="dxa"/>
          <w:bottom w:w="0" w:type="dxa"/>
          <w:right w:w="0" w:type="dxa"/>
        </w:tblCellMar>
      </w:tblPr>
      <w:tr>
        <w:trPr>
          <w:trHeight w:val="138"/>
        </w:trPr>
        <w:tc>
          <w:tcPr>
            <w:tcW w:w="35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2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91"/>
        </w:trPr>
        <w:tc>
          <w:tcPr>
            <w:tcW w:w="84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5160" w:type="dxa"/>
            <w:vAlign w:val="bottom"/>
            <w:gridSpan w:val="3"/>
          </w:tcPr>
          <w:p>
            <w:pPr>
              <w:jc w:val="right"/>
              <w:ind w:right="1640"/>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58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Number of securities remaining</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680" w:type="dxa"/>
            <w:vAlign w:val="bottom"/>
            <w:vMerge w:val="restart"/>
          </w:tcPr>
          <w:p>
            <w:pPr>
              <w:jc w:val="center"/>
              <w:ind w:left="260"/>
              <w:spacing w:after="0"/>
              <w:rPr>
                <w:sz w:val="20"/>
                <w:szCs w:val="20"/>
                <w:color w:val="auto"/>
              </w:rPr>
            </w:pPr>
            <w:r>
              <w:rPr>
                <w:rFonts w:ascii="Times New Roman" w:cs="Times New Roman" w:eastAsia="Times New Roman" w:hAnsi="Times New Roman"/>
                <w:sz w:val="12"/>
                <w:szCs w:val="12"/>
                <w:b w:val="1"/>
                <w:bCs w:val="1"/>
                <w:color w:val="auto"/>
                <w:w w:val="99"/>
              </w:rPr>
              <w:t>Number of securities to be issued</w:t>
            </w:r>
          </w:p>
        </w:tc>
        <w:tc>
          <w:tcPr>
            <w:tcW w:w="220" w:type="dxa"/>
            <w:vAlign w:val="bottom"/>
          </w:tcPr>
          <w:p>
            <w:pPr>
              <w:spacing w:after="0"/>
              <w:rPr>
                <w:sz w:val="11"/>
                <w:szCs w:val="11"/>
                <w:color w:val="auto"/>
              </w:rPr>
            </w:pPr>
          </w:p>
        </w:tc>
        <w:tc>
          <w:tcPr>
            <w:tcW w:w="2260" w:type="dxa"/>
            <w:vAlign w:val="bottom"/>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Weighted average exercise price</w:t>
            </w:r>
          </w:p>
        </w:tc>
        <w:tc>
          <w:tcPr>
            <w:tcW w:w="2580" w:type="dxa"/>
            <w:vAlign w:val="bottom"/>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rPr>
              <w:t>available for future issuance</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2580" w:type="dxa"/>
            <w:vAlign w:val="bottom"/>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rPr>
              <w:t>under equity compensation plans</w:t>
            </w:r>
          </w:p>
        </w:tc>
        <w:tc>
          <w:tcPr>
            <w:tcW w:w="0" w:type="dxa"/>
            <w:vAlign w:val="bottom"/>
          </w:tcPr>
          <w:p>
            <w:pPr>
              <w:spacing w:after="0"/>
              <w:rPr>
                <w:sz w:val="1"/>
                <w:szCs w:val="1"/>
                <w:color w:val="auto"/>
              </w:rPr>
            </w:pPr>
          </w:p>
        </w:tc>
      </w:tr>
      <w:tr>
        <w:trPr>
          <w:trHeight w:val="135"/>
        </w:trPr>
        <w:tc>
          <w:tcPr>
            <w:tcW w:w="84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680" w:type="dxa"/>
            <w:vAlign w:val="bottom"/>
          </w:tcPr>
          <w:p>
            <w:pPr>
              <w:jc w:val="center"/>
              <w:ind w:left="2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upon exercise of outstanding</w:t>
            </w:r>
          </w:p>
        </w:tc>
        <w:tc>
          <w:tcPr>
            <w:tcW w:w="220" w:type="dxa"/>
            <w:vAlign w:val="bottom"/>
          </w:tcPr>
          <w:p>
            <w:pPr>
              <w:spacing w:after="0"/>
              <w:rPr>
                <w:sz w:val="11"/>
                <w:szCs w:val="11"/>
                <w:color w:val="auto"/>
              </w:rPr>
            </w:pPr>
          </w:p>
        </w:tc>
        <w:tc>
          <w:tcPr>
            <w:tcW w:w="2260" w:type="dxa"/>
            <w:vAlign w:val="bottom"/>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outstanding options, warrants</w:t>
            </w:r>
          </w:p>
        </w:tc>
        <w:tc>
          <w:tcPr>
            <w:tcW w:w="2580" w:type="dxa"/>
            <w:vAlign w:val="bottom"/>
          </w:tcPr>
          <w:p>
            <w:pPr>
              <w:jc w:val="center"/>
              <w:ind w:right="420"/>
              <w:spacing w:after="0" w:line="135" w:lineRule="exact"/>
              <w:rPr>
                <w:sz w:val="20"/>
                <w:szCs w:val="20"/>
                <w:color w:val="auto"/>
              </w:rPr>
            </w:pPr>
            <w:r>
              <w:rPr>
                <w:rFonts w:ascii="Times New Roman" w:cs="Times New Roman" w:eastAsia="Times New Roman" w:hAnsi="Times New Roman"/>
                <w:sz w:val="12"/>
                <w:szCs w:val="12"/>
                <w:b w:val="1"/>
                <w:bCs w:val="1"/>
                <w:color w:val="auto"/>
              </w:rPr>
              <w:t>(excluding securities reflected in</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68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rPr>
              <w:t>options, warrants and rights</w:t>
            </w:r>
          </w:p>
        </w:tc>
        <w:tc>
          <w:tcPr>
            <w:tcW w:w="220" w:type="dxa"/>
            <w:vAlign w:val="bottom"/>
          </w:tcPr>
          <w:p>
            <w:pPr>
              <w:spacing w:after="0"/>
              <w:rPr>
                <w:sz w:val="13"/>
                <w:szCs w:val="13"/>
                <w:color w:val="auto"/>
              </w:rPr>
            </w:pPr>
          </w:p>
        </w:tc>
        <w:tc>
          <w:tcPr>
            <w:tcW w:w="2260" w:type="dxa"/>
            <w:vAlign w:val="bottom"/>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and rights</w:t>
            </w:r>
          </w:p>
        </w:tc>
        <w:tc>
          <w:tcPr>
            <w:tcW w:w="258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column (a))</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8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w w:val="99"/>
              </w:rPr>
              <w:t>(a)</w:t>
            </w:r>
          </w:p>
        </w:tc>
        <w:tc>
          <w:tcPr>
            <w:tcW w:w="220" w:type="dxa"/>
            <w:vAlign w:val="bottom"/>
          </w:tcPr>
          <w:p>
            <w:pPr>
              <w:spacing w:after="0"/>
              <w:rPr>
                <w:sz w:val="15"/>
                <w:szCs w:val="15"/>
                <w:color w:val="auto"/>
              </w:rPr>
            </w:pPr>
          </w:p>
        </w:tc>
        <w:tc>
          <w:tcPr>
            <w:tcW w:w="2260" w:type="dxa"/>
            <w:vAlign w:val="bottom"/>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5"/>
              </w:rPr>
              <w:t>(b)</w:t>
            </w:r>
          </w:p>
        </w:tc>
        <w:tc>
          <w:tcPr>
            <w:tcW w:w="2580" w:type="dxa"/>
            <w:vAlign w:val="bottom"/>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(c)</w:t>
            </w: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compensation plans approved by security holders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199,991</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2.25</w:t>
            </w:r>
          </w:p>
        </w:tc>
        <w:tc>
          <w:tcPr>
            <w:tcW w:w="25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1,166,506 (1)</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compensation plans not approved by security holders</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5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14"/>
                <w:szCs w:val="14"/>
                <w:color w:val="auto"/>
              </w:rPr>
            </w:pP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199,991</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26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2.25</w:t>
            </w:r>
          </w:p>
        </w:tc>
        <w:tc>
          <w:tcPr>
            <w:tcW w:w="25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1,166,506 (1)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48" w:hanging="648"/>
        <w:spacing w:after="0"/>
        <w:tabs>
          <w:tab w:leader="none" w:pos="648"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223,288 shares reserved for issuance pursuant to unvested restricted stock grants.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ITEM 13. CERTAIN RELATIONSHIPS AND RELATED TRANSACTIONS, AND DIRECTOR INDEPENDENCE.</w:t>
      </w:r>
    </w:p>
    <w:p>
      <w:pPr>
        <w:spacing w:after="0" w:line="141"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b w:val="1"/>
          <w:bCs w:val="1"/>
          <w:i w:val="1"/>
          <w:iCs w:val="1"/>
          <w:color w:val="auto"/>
        </w:rPr>
        <w:t>Director Independence</w:t>
      </w:r>
    </w:p>
    <w:p>
      <w:pPr>
        <w:spacing w:after="0" w:line="143"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i w:val="1"/>
          <w:iCs w:val="1"/>
          <w:color w:val="auto"/>
        </w:rPr>
        <w:t>Board of Directors</w:t>
      </w:r>
    </w:p>
    <w:p>
      <w:pPr>
        <w:spacing w:after="0" w:line="152"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color w:val="auto"/>
        </w:rPr>
        <w:t>Our Board of Directors is currently comprised of Meryl S. Golden, Thomas Newgarden, Floyd R. Tupper, William L. Yankus, Manmohan Singh and Pranav Pasricha. Our board of directors has determined that each of Messrs.</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Newgarden, Tupper, Yankus, Singh and Pasricha is independent under applicable Nasdaq listing standards and federal securities rules and regulations.</w:t>
      </w:r>
    </w:p>
    <w:p>
      <w:pPr>
        <w:spacing w:after="0" w:line="127"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152" w:lineRule="exact"/>
        <w:rPr>
          <w:sz w:val="20"/>
          <w:szCs w:val="20"/>
          <w:color w:val="auto"/>
        </w:rPr>
      </w:pPr>
    </w:p>
    <w:p>
      <w:pPr>
        <w:ind w:left="8" w:firstLine="405"/>
        <w:spacing w:after="0" w:line="264" w:lineRule="auto"/>
        <w:rPr>
          <w:sz w:val="20"/>
          <w:szCs w:val="20"/>
          <w:color w:val="auto"/>
        </w:rPr>
      </w:pPr>
      <w:r>
        <w:rPr>
          <w:rFonts w:ascii="Times New Roman" w:cs="Times New Roman" w:eastAsia="Times New Roman" w:hAnsi="Times New Roman"/>
          <w:sz w:val="12"/>
          <w:szCs w:val="12"/>
          <w:color w:val="auto"/>
        </w:rPr>
        <w:t>The members of our Board’s Audit Committee currently are Messrs. Tupper (Chair), Newgarden and Yankus, each of whom is independent under applicable Nasdaq listing standards and federal securities rules and regulations on independence of Audit Committee members.</w:t>
      </w:r>
    </w:p>
    <w:p>
      <w:pPr>
        <w:spacing w:after="0" w:line="108"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i w:val="1"/>
          <w:iCs w:val="1"/>
          <w:color w:val="auto"/>
        </w:rPr>
        <w:t>Nominating and Corporate Governance Committee</w:t>
      </w:r>
    </w:p>
    <w:p>
      <w:pPr>
        <w:spacing w:after="0" w:line="152" w:lineRule="exact"/>
        <w:rPr>
          <w:sz w:val="20"/>
          <w:szCs w:val="20"/>
          <w:color w:val="auto"/>
        </w:rPr>
      </w:pPr>
    </w:p>
    <w:p>
      <w:pPr>
        <w:ind w:left="8" w:firstLine="405"/>
        <w:spacing w:after="0" w:line="264" w:lineRule="auto"/>
        <w:rPr>
          <w:sz w:val="20"/>
          <w:szCs w:val="20"/>
          <w:color w:val="auto"/>
        </w:rPr>
      </w:pPr>
      <w:r>
        <w:rPr>
          <w:rFonts w:ascii="Times New Roman" w:cs="Times New Roman" w:eastAsia="Times New Roman" w:hAnsi="Times New Roman"/>
          <w:sz w:val="12"/>
          <w:szCs w:val="12"/>
          <w:color w:val="auto"/>
        </w:rPr>
        <w:t>The members of our Board’s Nominating and Corporate Governance Committee currently are Mr. Pasricha (Chair) and Messrs. Tupper and Singh, each of whom is independent under applicable Nasdaq listing standards and federal securities rules and regulations on independence.</w:t>
      </w:r>
    </w:p>
    <w:p>
      <w:pPr>
        <w:spacing w:after="0" w:line="108"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152" w:lineRule="exact"/>
        <w:rPr>
          <w:sz w:val="20"/>
          <w:szCs w:val="20"/>
          <w:color w:val="auto"/>
        </w:rPr>
      </w:pPr>
    </w:p>
    <w:p>
      <w:pPr>
        <w:ind w:left="8" w:firstLine="405"/>
        <w:spacing w:after="0" w:line="264" w:lineRule="auto"/>
        <w:rPr>
          <w:sz w:val="20"/>
          <w:szCs w:val="20"/>
          <w:color w:val="auto"/>
        </w:rPr>
      </w:pPr>
      <w:r>
        <w:rPr>
          <w:rFonts w:ascii="Times New Roman" w:cs="Times New Roman" w:eastAsia="Times New Roman" w:hAnsi="Times New Roman"/>
          <w:sz w:val="12"/>
          <w:szCs w:val="12"/>
          <w:color w:val="auto"/>
        </w:rPr>
        <w:t>The members of our Board’s Compensation Committee currently are Messrs. Yankus (Chair), Newgarden, Tupper and Singh, each of whom is independent under applicable Nasdaq listing standards and federal securities rules and regulations on independence.</w:t>
      </w:r>
    </w:p>
    <w:p>
      <w:pPr>
        <w:spacing w:after="0" w:line="106" w:lineRule="exact"/>
        <w:rPr>
          <w:sz w:val="20"/>
          <w:szCs w:val="20"/>
          <w:color w:val="auto"/>
        </w:rPr>
      </w:pPr>
    </w:p>
    <w:p>
      <w:pPr>
        <w:ind w:left="408"/>
        <w:spacing w:after="0"/>
        <w:rPr>
          <w:sz w:val="20"/>
          <w:szCs w:val="20"/>
          <w:color w:val="auto"/>
        </w:rPr>
      </w:pPr>
      <w:r>
        <w:rPr>
          <w:rFonts w:ascii="Times New Roman" w:cs="Times New Roman" w:eastAsia="Times New Roman" w:hAnsi="Times New Roman"/>
          <w:sz w:val="12"/>
          <w:szCs w:val="12"/>
          <w:b w:val="1"/>
          <w:bCs w:val="1"/>
          <w:i w:val="1"/>
          <w:iCs w:val="1"/>
          <w:color w:val="auto"/>
        </w:rPr>
        <w:t>Related Party Transactions</w:t>
      </w:r>
    </w:p>
    <w:p>
      <w:pPr>
        <w:spacing w:after="0" w:line="154" w:lineRule="exact"/>
        <w:rPr>
          <w:sz w:val="20"/>
          <w:szCs w:val="20"/>
          <w:color w:val="auto"/>
        </w:rPr>
      </w:pPr>
    </w:p>
    <w:p>
      <w:pPr>
        <w:ind w:left="8" w:right="20" w:firstLine="405"/>
        <w:spacing w:after="0" w:line="264" w:lineRule="auto"/>
        <w:rPr>
          <w:sz w:val="20"/>
          <w:szCs w:val="20"/>
          <w:color w:val="auto"/>
        </w:rPr>
      </w:pPr>
      <w:r>
        <w:rPr>
          <w:rFonts w:ascii="Times New Roman" w:cs="Times New Roman" w:eastAsia="Times New Roman" w:hAnsi="Times New Roman"/>
          <w:sz w:val="12"/>
          <w:szCs w:val="12"/>
          <w:color w:val="auto"/>
        </w:rPr>
        <w:t>A related person transaction is defined as any transaction or series of transactions with us in which any related person had, has, or will have a direct or indirect material interest and the amount involved exceeds $120,000. We evaluate and monitor all related party transactions. We do not consider director compensation, as disclosed in Part III, Item 11 of</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77" w:name="page78"/>
    <w:bookmarkEnd w:id="77"/>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Form 10-K to be a related party transaction. We did not have any related party transactions during the fiscal years ended December 31, 2025 and 2024.</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ITEM 14. PRINCIPAL ACCOUNTANT FEES AND SERVICES.</w:t>
      </w:r>
    </w:p>
    <w:p>
      <w:pPr>
        <w:spacing w:after="0" w:line="154" w:lineRule="exact"/>
        <w:rPr>
          <w:sz w:val="20"/>
          <w:szCs w:val="20"/>
          <w:color w:val="auto"/>
        </w:rPr>
      </w:pPr>
    </w:p>
    <w:p>
      <w:pPr>
        <w:ind w:left="8" w:right="20" w:firstLine="405"/>
        <w:spacing w:after="0" w:line="264" w:lineRule="auto"/>
        <w:rPr>
          <w:sz w:val="20"/>
          <w:szCs w:val="20"/>
          <w:color w:val="auto"/>
        </w:rPr>
      </w:pPr>
      <w:r>
        <w:rPr>
          <w:rFonts w:ascii="Times New Roman" w:cs="Times New Roman" w:eastAsia="Times New Roman" w:hAnsi="Times New Roman"/>
          <w:sz w:val="12"/>
          <w:szCs w:val="12"/>
          <w:color w:val="auto"/>
        </w:rPr>
        <w:t>The following is a summary of the fees billed to us by CBIZ CPAs P.C. and Marcum LLP, our independent registered public accounting firms, for professional services rendered for the fiscal years ended December 31, 2025 and 2024, respectively.</w:t>
      </w:r>
    </w:p>
    <w:p>
      <w:pPr>
        <w:spacing w:after="0" w:line="14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500" w:type="dxa"/>
            <w:vAlign w:val="bottom"/>
          </w:tcPr>
          <w:p>
            <w:pPr>
              <w:spacing w:after="0"/>
              <w:rPr>
                <w:sz w:val="12"/>
                <w:szCs w:val="12"/>
                <w:color w:val="auto"/>
              </w:rPr>
            </w:pPr>
          </w:p>
        </w:tc>
        <w:tc>
          <w:tcPr>
            <w:tcW w:w="3020" w:type="dxa"/>
            <w:vAlign w:val="bottom"/>
            <w:vMerge w:val="restart"/>
          </w:tcPr>
          <w:p>
            <w:pPr>
              <w:ind w:left="420"/>
              <w:spacing w:after="0"/>
              <w:rPr>
                <w:sz w:val="20"/>
                <w:szCs w:val="20"/>
                <w:color w:val="auto"/>
              </w:rPr>
            </w:pPr>
            <w:r>
              <w:rPr>
                <w:rFonts w:ascii="Times New Roman" w:cs="Times New Roman" w:eastAsia="Times New Roman" w:hAnsi="Times New Roman"/>
                <w:sz w:val="12"/>
                <w:szCs w:val="12"/>
                <w:b w:val="1"/>
                <w:bCs w:val="1"/>
                <w:color w:val="auto"/>
              </w:rPr>
              <w:t>Fee Category</w:t>
            </w:r>
          </w:p>
        </w:tc>
        <w:tc>
          <w:tcPr>
            <w:tcW w:w="8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Fiscal 2025 Fees</w:t>
            </w:r>
          </w:p>
        </w:tc>
        <w:tc>
          <w:tcPr>
            <w:tcW w:w="180" w:type="dxa"/>
            <w:vAlign w:val="bottom"/>
          </w:tcPr>
          <w:p>
            <w:pPr>
              <w:spacing w:after="0"/>
              <w:rPr>
                <w:sz w:val="12"/>
                <w:szCs w:val="12"/>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Fiscal 2024 Fees</w:t>
            </w:r>
          </w:p>
        </w:tc>
        <w:tc>
          <w:tcPr>
            <w:tcW w:w="0" w:type="dxa"/>
            <w:vAlign w:val="bottom"/>
          </w:tcPr>
          <w:p>
            <w:pPr>
              <w:spacing w:after="0"/>
              <w:rPr>
                <w:sz w:val="1"/>
                <w:szCs w:val="1"/>
                <w:color w:val="auto"/>
              </w:rPr>
            </w:pPr>
          </w:p>
        </w:tc>
      </w:tr>
      <w:tr>
        <w:trPr>
          <w:trHeight w:val="159"/>
        </w:trPr>
        <w:tc>
          <w:tcPr>
            <w:tcW w:w="150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2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CBIZ CPAs P.C.</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Marcum LLP</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Fees(1)</w:t>
            </w:r>
          </w:p>
        </w:tc>
        <w:tc>
          <w:tcPr>
            <w:tcW w:w="3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802,298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428,995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Tax Fees(2)</w:t>
            </w:r>
          </w:p>
        </w:tc>
        <w:tc>
          <w:tcPr>
            <w:tcW w:w="32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Audit-Related Fees(3)</w:t>
            </w:r>
          </w:p>
        </w:tc>
        <w:tc>
          <w:tcPr>
            <w:tcW w:w="3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All Other Fees(4)</w:t>
            </w:r>
          </w:p>
        </w:tc>
        <w:tc>
          <w:tcPr>
            <w:tcW w:w="3100" w:type="dxa"/>
            <w:vAlign w:val="bottom"/>
            <w:tcBorders>
              <w:bottom w:val="single" w:sz="8" w:color="CCEEFF"/>
            </w:tcBorders>
            <w:gridSpan w:val="2"/>
          </w:tcPr>
          <w:p>
            <w:pPr>
              <w:spacing w:after="0"/>
              <w:rPr>
                <w:sz w:val="14"/>
                <w:szCs w:val="14"/>
                <w:color w:val="auto"/>
              </w:rPr>
            </w:pP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500" w:type="dxa"/>
            <w:vAlign w:val="bottom"/>
            <w:shd w:val="clear" w:color="auto" w:fill="CCEEFF"/>
          </w:tcPr>
          <w:p>
            <w:pPr>
              <w:spacing w:after="0"/>
              <w:rPr>
                <w:sz w:val="14"/>
                <w:szCs w:val="14"/>
                <w:color w:val="auto"/>
              </w:rPr>
            </w:pPr>
          </w:p>
        </w:tc>
        <w:tc>
          <w:tcPr>
            <w:tcW w:w="3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802,298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428,995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48" w:right="20" w:hanging="648"/>
        <w:spacing w:after="0" w:line="233" w:lineRule="auto"/>
        <w:tabs>
          <w:tab w:leader="none" w:pos="645"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Audit Fees consist of fees and expenses billed for services rendered for the audit of our consolidated financial statements and review of our condensed consolidated financial statements included in our Quarterly Reports on Form 10-Q. Fees in 2024 also include services rendered in connection with the filing of Forms S-3 and S-8, comfort letter, and billings for services rendered with regard to statutory audit filing of KICO. Fees in 2025 also include audit of internal control over financial of the Company and the statutory audit filing of KICO by CBIZ CPAs P.C.</w:t>
      </w:r>
    </w:p>
    <w:p>
      <w:pPr>
        <w:spacing w:after="0" w:line="133" w:lineRule="exact"/>
        <w:rPr>
          <w:rFonts w:ascii="Times New Roman" w:cs="Times New Roman" w:eastAsia="Times New Roman" w:hAnsi="Times New Roman"/>
          <w:sz w:val="14"/>
          <w:szCs w:val="14"/>
          <w:color w:val="auto"/>
        </w:rPr>
      </w:pPr>
    </w:p>
    <w:p>
      <w:pPr>
        <w:ind w:left="648" w:hanging="648"/>
        <w:spacing w:after="0"/>
        <w:tabs>
          <w:tab w:leader="none" w:pos="64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Marcum LLP nor CBIZ CPAs P.C. provided any tax services during the fiscal years.</w:t>
      </w:r>
    </w:p>
    <w:p>
      <w:pPr>
        <w:spacing w:after="0" w:line="141" w:lineRule="exact"/>
        <w:rPr>
          <w:rFonts w:ascii="Times New Roman" w:cs="Times New Roman" w:eastAsia="Times New Roman" w:hAnsi="Times New Roman"/>
          <w:sz w:val="12"/>
          <w:szCs w:val="12"/>
          <w:color w:val="auto"/>
        </w:rPr>
      </w:pPr>
    </w:p>
    <w:p>
      <w:pPr>
        <w:ind w:left="648" w:hanging="648"/>
        <w:spacing w:after="0"/>
        <w:tabs>
          <w:tab w:leader="none" w:pos="64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Marcum LLP nor CBIZ CPAs P.C. provided any “Audit-Related” services during the fiscal years.</w:t>
      </w:r>
    </w:p>
    <w:p>
      <w:pPr>
        <w:spacing w:after="0" w:line="141" w:lineRule="exact"/>
        <w:rPr>
          <w:rFonts w:ascii="Times New Roman" w:cs="Times New Roman" w:eastAsia="Times New Roman" w:hAnsi="Times New Roman"/>
          <w:sz w:val="12"/>
          <w:szCs w:val="12"/>
          <w:color w:val="auto"/>
        </w:rPr>
      </w:pPr>
    </w:p>
    <w:p>
      <w:pPr>
        <w:ind w:left="648" w:hanging="648"/>
        <w:spacing w:after="0"/>
        <w:tabs>
          <w:tab w:leader="none" w:pos="648"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Marcum LLP nor CBIZ CPAs P.C. provided any other services during the fiscal years.</w:t>
      </w:r>
    </w:p>
    <w:p>
      <w:pPr>
        <w:spacing w:after="0" w:line="150" w:lineRule="exact"/>
        <w:rPr>
          <w:sz w:val="20"/>
          <w:szCs w:val="20"/>
          <w:color w:val="auto"/>
        </w:rPr>
      </w:pPr>
    </w:p>
    <w:p>
      <w:pPr>
        <w:jc w:val="both"/>
        <w:ind w:left="8" w:firstLine="405"/>
        <w:spacing w:after="0" w:line="249" w:lineRule="auto"/>
        <w:rPr>
          <w:sz w:val="20"/>
          <w:szCs w:val="20"/>
          <w:color w:val="auto"/>
        </w:rPr>
      </w:pPr>
      <w:r>
        <w:rPr>
          <w:rFonts w:ascii="Times New Roman" w:cs="Times New Roman" w:eastAsia="Times New Roman" w:hAnsi="Times New Roman"/>
          <w:sz w:val="12"/>
          <w:szCs w:val="12"/>
          <w:color w:val="auto"/>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940" w:type="dxa"/>
            <w:vAlign w:val="bottom"/>
            <w:gridSpan w:val="11"/>
          </w:tcPr>
          <w:p>
            <w:pPr>
              <w:jc w:val="center"/>
              <w:ind w:right="5460"/>
              <w:spacing w:after="0"/>
              <w:rPr>
                <w:sz w:val="20"/>
                <w:szCs w:val="20"/>
                <w:color w:val="auto"/>
              </w:rPr>
            </w:pPr>
            <w:r>
              <w:rPr>
                <w:rFonts w:ascii="Times New Roman" w:cs="Times New Roman" w:eastAsia="Times New Roman" w:hAnsi="Times New Roman"/>
                <w:sz w:val="12"/>
                <w:szCs w:val="12"/>
                <w:b w:val="1"/>
                <w:bCs w:val="1"/>
                <w:color w:val="auto"/>
                <w:w w:val="97"/>
              </w:rPr>
              <w:t>PART IV</w:t>
            </w:r>
          </w:p>
        </w:tc>
        <w:tc>
          <w:tcPr>
            <w:tcW w:w="0" w:type="dxa"/>
            <w:vAlign w:val="bottom"/>
          </w:tcPr>
          <w:p>
            <w:pPr>
              <w:spacing w:after="0"/>
              <w:rPr>
                <w:sz w:val="1"/>
                <w:szCs w:val="1"/>
                <w:color w:val="auto"/>
              </w:rPr>
            </w:pPr>
          </w:p>
        </w:tc>
      </w:tr>
      <w:tr>
        <w:trPr>
          <w:trHeight w:val="259"/>
        </w:trPr>
        <w:tc>
          <w:tcPr>
            <w:tcW w:w="5400" w:type="dxa"/>
            <w:vAlign w:val="bottom"/>
            <w:gridSpan w:val="16"/>
          </w:tcPr>
          <w:p>
            <w:pPr>
              <w:spacing w:after="0"/>
              <w:rPr>
                <w:sz w:val="20"/>
                <w:szCs w:val="20"/>
                <w:color w:val="auto"/>
              </w:rPr>
            </w:pPr>
            <w:r>
              <w:rPr>
                <w:rFonts w:ascii="Times New Roman" w:cs="Times New Roman" w:eastAsia="Times New Roman" w:hAnsi="Times New Roman"/>
                <w:sz w:val="12"/>
                <w:szCs w:val="12"/>
                <w:b w:val="1"/>
                <w:bCs w:val="1"/>
                <w:color w:val="auto"/>
              </w:rPr>
              <w:t>ITEM 15. EXHIBITS AND FINANCIAL STATEMENT SCHEDULES.</w:t>
            </w:r>
          </w:p>
        </w:tc>
        <w:tc>
          <w:tcPr>
            <w:tcW w:w="480" w:type="dxa"/>
            <w:vAlign w:val="bottom"/>
            <w:tcBorders>
              <w:top w:val="single" w:sz="8" w:color="auto"/>
            </w:tcBorders>
          </w:tcPr>
          <w:p>
            <w:pPr>
              <w:spacing w:after="0"/>
              <w:rPr>
                <w:sz w:val="22"/>
                <w:szCs w:val="22"/>
                <w:color w:val="auto"/>
              </w:rPr>
            </w:pPr>
          </w:p>
        </w:tc>
        <w:tc>
          <w:tcPr>
            <w:tcW w:w="546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c>
          <w:tcPr>
            <w:tcW w:w="7680" w:type="dxa"/>
            <w:vAlign w:val="bottom"/>
            <w:gridSpan w:val="1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vMerge w:val="continue"/>
          </w:tcPr>
          <w:p>
            <w:pPr>
              <w:spacing w:after="0"/>
              <w:rPr>
                <w:sz w:val="13"/>
                <w:szCs w:val="13"/>
                <w:color w:val="auto"/>
              </w:rPr>
            </w:pPr>
          </w:p>
        </w:tc>
        <w:tc>
          <w:tcPr>
            <w:tcW w:w="7680" w:type="dxa"/>
            <w:vAlign w:val="bottom"/>
            <w:tcBorders>
              <w:bottom w:val="single" w:sz="8" w:color="auto"/>
            </w:tcBorders>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0" w:type="dxa"/>
            <w:vAlign w:val="bottom"/>
            <w:shd w:val="clear" w:color="auto" w:fill="CCEEFF"/>
          </w:tcPr>
          <w:p>
            <w:pPr>
              <w:spacing w:after="0"/>
              <w:rPr>
                <w:rFonts w:ascii="Times New Roman" w:cs="Times New Roman" w:eastAsia="Times New Roman" w:hAnsi="Times New Roman"/>
                <w:sz w:val="12"/>
                <w:szCs w:val="12"/>
                <w:color w:val="0000EE"/>
                <w:w w:val="92"/>
                <w:shd w:val="clear" w:color="auto" w:fill="CCEEFF"/>
              </w:rPr>
            </w:pPr>
            <w:hyperlink r:id="rId101">
              <w:r>
                <w:rPr>
                  <w:rFonts w:ascii="Times New Roman" w:cs="Times New Roman" w:eastAsia="Times New Roman" w:hAnsi="Times New Roman"/>
                  <w:sz w:val="12"/>
                  <w:szCs w:val="12"/>
                  <w:color w:val="0000EE"/>
                  <w:w w:val="92"/>
                  <w:shd w:val="clear" w:color="auto" w:fill="CCEEFF"/>
                </w:rPr>
                <w:t>3(a)</w:t>
              </w:r>
            </w:hyperlink>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60" w:type="dxa"/>
            <w:vAlign w:val="bottom"/>
            <w:gridSpan w:val="20"/>
            <w:shd w:val="clear" w:color="auto" w:fill="CCEEFF"/>
          </w:tcPr>
          <w:p>
            <w:pPr>
              <w:spacing w:after="0"/>
              <w:rPr>
                <w:rFonts w:ascii="Times New Roman" w:cs="Times New Roman" w:eastAsia="Times New Roman" w:hAnsi="Times New Roman"/>
                <w:sz w:val="12"/>
                <w:szCs w:val="12"/>
                <w:color w:val="0000EE"/>
                <w:shd w:val="clear" w:color="auto" w:fill="CCEEFF"/>
              </w:rPr>
            </w:pPr>
            <w:hyperlink r:id="rId101">
              <w:r>
                <w:rPr>
                  <w:rFonts w:ascii="Times New Roman" w:cs="Times New Roman" w:eastAsia="Times New Roman" w:hAnsi="Times New Roman"/>
                  <w:sz w:val="12"/>
                  <w:szCs w:val="12"/>
                  <w:color w:val="0000EE"/>
                  <w:shd w:val="clear" w:color="auto" w:fill="CCEEFF"/>
                </w:rPr>
                <w:t>Restated Certificate of Incorporation, as amended (incorporated by reference to Exhibit 3(a) to the Company’s Quarterly Report on Form 10-Q for the period ended March 31, 2014, filed on May 15,</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gridSpan w:val="3"/>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spacing w:after="0" w:line="135" w:lineRule="exact"/>
              <w:rPr>
                <w:rFonts w:ascii="Times New Roman" w:cs="Times New Roman" w:eastAsia="Times New Roman" w:hAnsi="Times New Roman"/>
                <w:sz w:val="12"/>
                <w:szCs w:val="12"/>
                <w:color w:val="0000EE"/>
                <w:w w:val="96"/>
                <w:shd w:val="clear" w:color="auto" w:fill="CCEEFF"/>
              </w:rPr>
            </w:pPr>
            <w:hyperlink r:id="rId101">
              <w:r>
                <w:rPr>
                  <w:rFonts w:ascii="Times New Roman" w:cs="Times New Roman" w:eastAsia="Times New Roman" w:hAnsi="Times New Roman"/>
                  <w:sz w:val="12"/>
                  <w:szCs w:val="12"/>
                  <w:color w:val="0000EE"/>
                  <w:w w:val="96"/>
                  <w:shd w:val="clear" w:color="auto" w:fill="CCEEFF"/>
                </w:rPr>
                <w:t>2014).</w:t>
              </w:r>
            </w:hyperlink>
          </w:p>
        </w:tc>
        <w:tc>
          <w:tcPr>
            <w:tcW w:w="5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gridSpan w:val="3"/>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0" w:type="dxa"/>
            <w:vAlign w:val="bottom"/>
            <w:tcBorders>
              <w:bottom w:val="single" w:sz="8" w:color="0000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89"/>
                <w:shd w:val="clear" w:color="auto" w:fill="CCEEFF"/>
              </w:rPr>
              <w:t>3(b)</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0000FF"/>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6"/>
                <w:shd w:val="clear" w:color="auto" w:fill="CCEEFF"/>
              </w:rPr>
              <w:t>By-laws, as amended.*</w:t>
            </w:r>
          </w:p>
        </w:tc>
        <w:tc>
          <w:tcPr>
            <w:tcW w:w="5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gridSpan w:val="3"/>
            <w:shd w:val="clear" w:color="auto" w:fill="CCEEFF"/>
          </w:tcPr>
          <w:p>
            <w:pPr>
              <w:spacing w:after="0"/>
              <w:rPr>
                <w:sz w:val="13"/>
                <w:szCs w:val="13"/>
                <w:color w:val="auto"/>
              </w:rPr>
            </w:pPr>
          </w:p>
        </w:tc>
        <w:tc>
          <w:tcPr>
            <w:tcW w:w="1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gridSpan w:val="3"/>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4(d)</w:t>
            </w: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880" w:type="dxa"/>
            <w:vAlign w:val="bottom"/>
            <w:gridSpan w:val="21"/>
            <w:shd w:val="clear" w:color="auto" w:fill="CCEEFF"/>
          </w:tcPr>
          <w:p>
            <w:pPr>
              <w:spacing w:after="0" w:line="135" w:lineRule="exact"/>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Description of Securities Registered Under Section 12 of the Securities Exchange Act of 1934. (incorporated by reference to Exhibit 4(d) to the Company's Annual Report on Form 10-K for the year ended</w:t>
              </w:r>
            </w:hyperlink>
          </w:p>
        </w:tc>
        <w:tc>
          <w:tcPr>
            <w:tcW w:w="0" w:type="dxa"/>
            <w:vAlign w:val="bottom"/>
          </w:tcPr>
          <w:p>
            <w:pPr>
              <w:spacing w:after="0"/>
              <w:rPr>
                <w:sz w:val="1"/>
                <w:szCs w:val="1"/>
                <w:color w:val="auto"/>
              </w:rPr>
            </w:pPr>
          </w:p>
        </w:tc>
      </w:tr>
      <w:tr>
        <w:trPr>
          <w:trHeight w:val="131"/>
        </w:trPr>
        <w:tc>
          <w:tcPr>
            <w:tcW w:w="2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820" w:type="dxa"/>
            <w:vAlign w:val="bottom"/>
            <w:tcBorders>
              <w:top w:val="single" w:sz="8" w:color="0000FF"/>
            </w:tcBorders>
            <w:gridSpan w:val="18"/>
            <w:shd w:val="clear" w:color="auto" w:fill="CCEEFF"/>
          </w:tcPr>
          <w:p>
            <w:pPr>
              <w:spacing w:after="0" w:line="115" w:lineRule="exact"/>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December 31, 2024, filed on March 18, 2025).</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gridSpan w:val="2"/>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gridSpan w:val="3"/>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00" w:type="dxa"/>
            <w:vAlign w:val="bottom"/>
            <w:gridSpan w:val="2"/>
            <w:shd w:val="clear" w:color="auto" w:fill="CCEEFF"/>
          </w:tcPr>
          <w:p>
            <w:pPr>
              <w:spacing w:after="0" w:line="106" w:lineRule="exact"/>
              <w:rPr>
                <w:rFonts w:ascii="Times New Roman" w:cs="Times New Roman" w:eastAsia="Times New Roman" w:hAnsi="Times New Roman"/>
                <w:sz w:val="12"/>
                <w:szCs w:val="12"/>
                <w:color w:val="3051F2"/>
              </w:rPr>
            </w:pPr>
            <w:hyperlink r:id="rId103">
              <w:r>
                <w:rPr>
                  <w:rFonts w:ascii="Times New Roman" w:cs="Times New Roman" w:eastAsia="Times New Roman" w:hAnsi="Times New Roman"/>
                  <w:sz w:val="12"/>
                  <w:szCs w:val="12"/>
                  <w:color w:val="3051F2"/>
                </w:rPr>
                <w:t>10(a)</w:t>
              </w:r>
            </w:hyperlink>
          </w:p>
        </w:tc>
        <w:tc>
          <w:tcPr>
            <w:tcW w:w="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9880" w:type="dxa"/>
            <w:vAlign w:val="bottom"/>
            <w:gridSpan w:val="21"/>
            <w:shd w:val="clear" w:color="auto" w:fill="CCEEFF"/>
          </w:tcPr>
          <w:p>
            <w:pPr>
              <w:spacing w:after="0" w:line="106" w:lineRule="exact"/>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Amended and Restated 2014 Equity Participation Plan (incorporated by reference to Exhibit 10(a) to the Company's Annual Report on Form 10-K for the year ended December 31, 2023, filed on April 1,</w:t>
              </w:r>
            </w:hyperlink>
          </w:p>
        </w:tc>
        <w:tc>
          <w:tcPr>
            <w:tcW w:w="0" w:type="dxa"/>
            <w:vAlign w:val="bottom"/>
          </w:tcPr>
          <w:p>
            <w:pPr>
              <w:spacing w:after="0"/>
              <w:rPr>
                <w:sz w:val="1"/>
                <w:szCs w:val="1"/>
                <w:color w:val="auto"/>
              </w:rPr>
            </w:pPr>
          </w:p>
        </w:tc>
      </w:tr>
      <w:tr>
        <w:trPr>
          <w:trHeight w:val="113"/>
        </w:trPr>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tcBorders>
            <w:shd w:val="clear" w:color="auto" w:fill="CCEEFF"/>
          </w:tcPr>
          <w:p>
            <w:pPr>
              <w:spacing w:after="0"/>
              <w:rPr>
                <w:sz w:val="9"/>
                <w:szCs w:val="9"/>
                <w:color w:val="auto"/>
              </w:rPr>
            </w:pPr>
          </w:p>
        </w:tc>
        <w:tc>
          <w:tcPr>
            <w:tcW w:w="960" w:type="dxa"/>
            <w:vAlign w:val="bottom"/>
            <w:tcBorders>
              <w:top w:val="single" w:sz="8" w:color="CCEEFF"/>
              <w:bottom w:val="single" w:sz="8" w:color="CCEEFF"/>
            </w:tcBorders>
            <w:gridSpan w:val="4"/>
            <w:shd w:val="clear" w:color="auto" w:fill="CCEEFF"/>
          </w:tcPr>
          <w:p>
            <w:pPr>
              <w:spacing w:after="0"/>
              <w:rPr>
                <w:sz w:val="9"/>
                <w:szCs w:val="9"/>
                <w:color w:val="auto"/>
              </w:rPr>
            </w:pPr>
          </w:p>
        </w:tc>
        <w:tc>
          <w:tcPr>
            <w:tcW w:w="300" w:type="dxa"/>
            <w:vAlign w:val="bottom"/>
            <w:tcBorders>
              <w:top w:val="single" w:sz="8" w:color="0000FF"/>
              <w:bottom w:val="single" w:sz="8" w:color="0000FF"/>
            </w:tcBorders>
            <w:shd w:val="clear" w:color="auto" w:fill="CCEEFF"/>
          </w:tcPr>
          <w:p>
            <w:pPr>
              <w:spacing w:after="0" w:line="97" w:lineRule="exact"/>
              <w:rPr>
                <w:rFonts w:ascii="Times New Roman" w:cs="Times New Roman" w:eastAsia="Times New Roman" w:hAnsi="Times New Roman"/>
                <w:sz w:val="11"/>
                <w:szCs w:val="11"/>
                <w:color w:val="0000FF"/>
                <w:w w:val="98"/>
              </w:rPr>
            </w:pPr>
            <w:hyperlink r:id="rId103">
              <w:r>
                <w:rPr>
                  <w:rFonts w:ascii="Times New Roman" w:cs="Times New Roman" w:eastAsia="Times New Roman" w:hAnsi="Times New Roman"/>
                  <w:sz w:val="11"/>
                  <w:szCs w:val="11"/>
                  <w:color w:val="0000FF"/>
                  <w:w w:val="98"/>
                </w:rPr>
                <w:t>2024).</w:t>
              </w:r>
            </w:hyperlink>
          </w:p>
        </w:tc>
        <w:tc>
          <w:tcPr>
            <w:tcW w:w="500" w:type="dxa"/>
            <w:vAlign w:val="bottom"/>
            <w:tcBorders>
              <w:top w:val="single" w:sz="8" w:color="0000FF"/>
              <w:bottom w:val="single" w:sz="8" w:color="CCEEFF"/>
            </w:tcBorders>
            <w:shd w:val="clear" w:color="auto" w:fill="CCEEFF"/>
          </w:tcPr>
          <w:p>
            <w:pPr>
              <w:spacing w:after="0"/>
              <w:rPr>
                <w:sz w:val="9"/>
                <w:szCs w:val="9"/>
                <w:color w:val="auto"/>
              </w:rPr>
            </w:pPr>
          </w:p>
        </w:tc>
        <w:tc>
          <w:tcPr>
            <w:tcW w:w="300" w:type="dxa"/>
            <w:vAlign w:val="bottom"/>
            <w:tcBorders>
              <w:top w:val="single" w:sz="8" w:color="0000FF"/>
              <w:bottom w:val="single" w:sz="8" w:color="CCEEFF"/>
            </w:tcBorders>
            <w:shd w:val="clear" w:color="auto" w:fill="CCEEFF"/>
          </w:tcPr>
          <w:p>
            <w:pPr>
              <w:spacing w:after="0"/>
              <w:rPr>
                <w:sz w:val="9"/>
                <w:szCs w:val="9"/>
                <w:color w:val="auto"/>
              </w:rPr>
            </w:pPr>
          </w:p>
        </w:tc>
        <w:tc>
          <w:tcPr>
            <w:tcW w:w="560" w:type="dxa"/>
            <w:vAlign w:val="bottom"/>
            <w:tcBorders>
              <w:top w:val="single" w:sz="8" w:color="0000FF"/>
              <w:bottom w:val="single" w:sz="8" w:color="CCEEFF"/>
            </w:tcBorders>
            <w:shd w:val="clear" w:color="auto" w:fill="CCEEFF"/>
          </w:tcPr>
          <w:p>
            <w:pPr>
              <w:spacing w:after="0"/>
              <w:rPr>
                <w:sz w:val="9"/>
                <w:szCs w:val="9"/>
                <w:color w:val="auto"/>
              </w:rPr>
            </w:pPr>
          </w:p>
        </w:tc>
        <w:tc>
          <w:tcPr>
            <w:tcW w:w="540" w:type="dxa"/>
            <w:vAlign w:val="bottom"/>
            <w:tcBorders>
              <w:top w:val="single" w:sz="8" w:color="0000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280" w:type="dxa"/>
            <w:vAlign w:val="bottom"/>
            <w:tcBorders>
              <w:top w:val="single" w:sz="8" w:color="0000FF"/>
              <w:bottom w:val="single" w:sz="8" w:color="CCEEFF"/>
            </w:tcBorders>
            <w:shd w:val="clear" w:color="auto" w:fill="CCEEFF"/>
          </w:tcPr>
          <w:p>
            <w:pPr>
              <w:spacing w:after="0"/>
              <w:rPr>
                <w:sz w:val="9"/>
                <w:szCs w:val="9"/>
                <w:color w:val="auto"/>
              </w:rPr>
            </w:pPr>
          </w:p>
        </w:tc>
        <w:tc>
          <w:tcPr>
            <w:tcW w:w="20" w:type="dxa"/>
            <w:vAlign w:val="bottom"/>
            <w:tcBorders>
              <w:top w:val="single" w:sz="8" w:color="0000FF"/>
              <w:bottom w:val="single" w:sz="8" w:color="CCEEFF"/>
            </w:tcBorders>
            <w:shd w:val="clear" w:color="auto" w:fill="CCEEFF"/>
          </w:tcPr>
          <w:p>
            <w:pPr>
              <w:spacing w:after="0"/>
              <w:rPr>
                <w:sz w:val="9"/>
                <w:szCs w:val="9"/>
                <w:color w:val="auto"/>
              </w:rPr>
            </w:pPr>
          </w:p>
        </w:tc>
        <w:tc>
          <w:tcPr>
            <w:tcW w:w="600" w:type="dxa"/>
            <w:vAlign w:val="bottom"/>
            <w:tcBorders>
              <w:top w:val="single" w:sz="8" w:color="0000FF"/>
              <w:bottom w:val="single" w:sz="8" w:color="CCEEFF"/>
            </w:tcBorders>
            <w:shd w:val="clear" w:color="auto" w:fill="CCEEFF"/>
          </w:tcPr>
          <w:p>
            <w:pPr>
              <w:spacing w:after="0"/>
              <w:rPr>
                <w:sz w:val="9"/>
                <w:szCs w:val="9"/>
                <w:color w:val="auto"/>
              </w:rPr>
            </w:pPr>
          </w:p>
        </w:tc>
        <w:tc>
          <w:tcPr>
            <w:tcW w:w="820" w:type="dxa"/>
            <w:vAlign w:val="bottom"/>
            <w:tcBorders>
              <w:top w:val="single" w:sz="8" w:color="0000FF"/>
              <w:bottom w:val="single" w:sz="8" w:color="CCEEFF"/>
            </w:tcBorders>
            <w:shd w:val="clear" w:color="auto" w:fill="CCEEFF"/>
          </w:tcPr>
          <w:p>
            <w:pPr>
              <w:spacing w:after="0"/>
              <w:rPr>
                <w:sz w:val="9"/>
                <w:szCs w:val="9"/>
                <w:color w:val="auto"/>
              </w:rPr>
            </w:pPr>
          </w:p>
        </w:tc>
        <w:tc>
          <w:tcPr>
            <w:tcW w:w="480" w:type="dxa"/>
            <w:vAlign w:val="bottom"/>
            <w:tcBorders>
              <w:top w:val="single" w:sz="8" w:color="0000FF"/>
              <w:bottom w:val="single" w:sz="8" w:color="CCEEFF"/>
            </w:tcBorders>
            <w:shd w:val="clear" w:color="auto" w:fill="CCEEFF"/>
          </w:tcPr>
          <w:p>
            <w:pPr>
              <w:spacing w:after="0"/>
              <w:rPr>
                <w:sz w:val="9"/>
                <w:szCs w:val="9"/>
                <w:color w:val="auto"/>
              </w:rPr>
            </w:pPr>
          </w:p>
        </w:tc>
        <w:tc>
          <w:tcPr>
            <w:tcW w:w="1000" w:type="dxa"/>
            <w:vAlign w:val="bottom"/>
            <w:tcBorders>
              <w:top w:val="single" w:sz="8" w:color="0000FF"/>
              <w:bottom w:val="single" w:sz="8" w:color="CCEEFF"/>
            </w:tcBorders>
            <w:shd w:val="clear" w:color="auto" w:fill="CCEEFF"/>
          </w:tcPr>
          <w:p>
            <w:pPr>
              <w:spacing w:after="0"/>
              <w:rPr>
                <w:sz w:val="9"/>
                <w:szCs w:val="9"/>
                <w:color w:val="auto"/>
              </w:rPr>
            </w:pPr>
          </w:p>
        </w:tc>
        <w:tc>
          <w:tcPr>
            <w:tcW w:w="1680" w:type="dxa"/>
            <w:vAlign w:val="bottom"/>
            <w:tcBorders>
              <w:top w:val="single" w:sz="8" w:color="0000FF"/>
              <w:bottom w:val="single" w:sz="8" w:color="CCEEFF"/>
            </w:tcBorders>
            <w:shd w:val="clear" w:color="auto" w:fill="CCEEFF"/>
          </w:tcPr>
          <w:p>
            <w:pPr>
              <w:spacing w:after="0"/>
              <w:rPr>
                <w:sz w:val="9"/>
                <w:szCs w:val="9"/>
                <w:color w:val="auto"/>
              </w:rPr>
            </w:pPr>
          </w:p>
        </w:tc>
        <w:tc>
          <w:tcPr>
            <w:tcW w:w="120" w:type="dxa"/>
            <w:vAlign w:val="bottom"/>
            <w:tcBorders>
              <w:top w:val="single" w:sz="8" w:color="0000FF"/>
              <w:bottom w:val="single" w:sz="8" w:color="CCEEFF"/>
            </w:tcBorders>
            <w:shd w:val="clear" w:color="auto" w:fill="CCEEFF"/>
          </w:tcPr>
          <w:p>
            <w:pPr>
              <w:spacing w:after="0"/>
              <w:rPr>
                <w:sz w:val="9"/>
                <w:szCs w:val="9"/>
                <w:color w:val="auto"/>
              </w:rPr>
            </w:pPr>
          </w:p>
        </w:tc>
        <w:tc>
          <w:tcPr>
            <w:tcW w:w="600" w:type="dxa"/>
            <w:vAlign w:val="bottom"/>
            <w:tcBorders>
              <w:top w:val="single" w:sz="8" w:color="0000FF"/>
              <w:bottom w:val="single" w:sz="8" w:color="CCEEFF"/>
            </w:tcBorders>
            <w:shd w:val="clear" w:color="auto" w:fill="CCEEFF"/>
          </w:tcPr>
          <w:p>
            <w:pPr>
              <w:spacing w:after="0"/>
              <w:rPr>
                <w:sz w:val="9"/>
                <w:szCs w:val="9"/>
                <w:color w:val="auto"/>
              </w:rPr>
            </w:pPr>
          </w:p>
        </w:tc>
        <w:tc>
          <w:tcPr>
            <w:tcW w:w="1220" w:type="dxa"/>
            <w:vAlign w:val="bottom"/>
            <w:tcBorders>
              <w:top w:val="single" w:sz="8" w:color="0000FF"/>
              <w:bottom w:val="single" w:sz="8" w:color="CCEEFF"/>
            </w:tcBorders>
            <w:shd w:val="clear" w:color="auto" w:fill="CCEEFF"/>
          </w:tcPr>
          <w:p>
            <w:pPr>
              <w:spacing w:after="0"/>
              <w:rPr>
                <w:sz w:val="9"/>
                <w:szCs w:val="9"/>
                <w:color w:val="auto"/>
              </w:rPr>
            </w:pPr>
          </w:p>
        </w:tc>
        <w:tc>
          <w:tcPr>
            <w:tcW w:w="680" w:type="dxa"/>
            <w:vAlign w:val="bottom"/>
            <w:tcBorders>
              <w:top w:val="single" w:sz="8" w:color="0000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gridSpan w:val="3"/>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0" w:type="dxa"/>
            <w:vAlign w:val="bottom"/>
            <w:gridSpan w:val="2"/>
            <w:shd w:val="clear" w:color="auto" w:fill="CCEEFF"/>
          </w:tcPr>
          <w:p>
            <w:pPr>
              <w:spacing w:after="0" w:line="106" w:lineRule="exact"/>
              <w:rPr>
                <w:rFonts w:ascii="Times New Roman" w:cs="Times New Roman" w:eastAsia="Times New Roman" w:hAnsi="Times New Roman"/>
                <w:sz w:val="12"/>
                <w:szCs w:val="12"/>
                <w:color w:val="0000EE"/>
                <w:shd w:val="clear" w:color="auto" w:fill="CCEEFF"/>
              </w:rPr>
            </w:pPr>
            <w:hyperlink r:id="rId104">
              <w:r>
                <w:rPr>
                  <w:rFonts w:ascii="Times New Roman" w:cs="Times New Roman" w:eastAsia="Times New Roman" w:hAnsi="Times New Roman"/>
                  <w:sz w:val="12"/>
                  <w:szCs w:val="12"/>
                  <w:color w:val="0000EE"/>
                  <w:shd w:val="clear" w:color="auto" w:fill="CCEEFF"/>
                </w:rPr>
                <w:t>10(b)</w:t>
              </w:r>
            </w:hyperlink>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80" w:type="dxa"/>
            <w:vAlign w:val="bottom"/>
            <w:gridSpan w:val="21"/>
            <w:shd w:val="clear" w:color="auto" w:fill="CCEEFF"/>
          </w:tcPr>
          <w:p>
            <w:pPr>
              <w:spacing w:after="0" w:line="106" w:lineRule="exact"/>
              <w:rPr>
                <w:rFonts w:ascii="Times New Roman" w:cs="Times New Roman" w:eastAsia="Times New Roman" w:hAnsi="Times New Roman"/>
                <w:sz w:val="12"/>
                <w:szCs w:val="12"/>
                <w:color w:val="0000FF"/>
              </w:rPr>
            </w:pPr>
            <w:hyperlink r:id="rId105">
              <w:r>
                <w:rPr>
                  <w:rFonts w:ascii="Times New Roman" w:cs="Times New Roman" w:eastAsia="Times New Roman" w:hAnsi="Times New Roman"/>
                  <w:sz w:val="12"/>
                  <w:szCs w:val="12"/>
                  <w:color w:val="0000FF"/>
                </w:rPr>
                <w:t>2024 Equity Participation Plan.(incorporated by reference to Exhibit 10(b) to the Company's Annual Report on Form 10-K for the year ended December 31, 2024, filed on March 18, 2025).</w:t>
              </w:r>
            </w:hyperlink>
          </w:p>
        </w:tc>
        <w:tc>
          <w:tcPr>
            <w:tcW w:w="0" w:type="dxa"/>
            <w:vAlign w:val="bottom"/>
          </w:tcPr>
          <w:p>
            <w:pPr>
              <w:spacing w:after="0"/>
              <w:rPr>
                <w:sz w:val="1"/>
                <w:szCs w:val="1"/>
                <w:color w:val="auto"/>
              </w:rPr>
            </w:pPr>
          </w:p>
        </w:tc>
      </w:tr>
      <w:tr>
        <w:trPr>
          <w:trHeight w:val="171"/>
        </w:trPr>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gridSpan w:val="2"/>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2300" w:type="dxa"/>
            <w:vAlign w:val="bottom"/>
            <w:tcBorders>
              <w:top w:val="single" w:sz="8" w:color="0000FF"/>
            </w:tcBorders>
            <w:gridSpan w:val="3"/>
          </w:tcPr>
          <w:p>
            <w:pPr>
              <w:spacing w:after="0"/>
              <w:rPr>
                <w:sz w:val="14"/>
                <w:szCs w:val="14"/>
                <w:color w:val="auto"/>
              </w:rPr>
            </w:pPr>
          </w:p>
        </w:tc>
        <w:tc>
          <w:tcPr>
            <w:tcW w:w="16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 w:type="dxa"/>
            <w:vAlign w:val="bottom"/>
            <w:tcBorders>
              <w:bottom w:val="single" w:sz="8" w:color="CCEEFF"/>
            </w:tcBorders>
            <w:gridSpan w:val="2"/>
            <w:shd w:val="clear" w:color="auto" w:fill="CCEEFF"/>
          </w:tcPr>
          <w:p>
            <w:pPr>
              <w:spacing w:after="0" w:line="106" w:lineRule="exact"/>
              <w:rPr>
                <w:rFonts w:ascii="Times New Roman" w:cs="Times New Roman" w:eastAsia="Times New Roman" w:hAnsi="Times New Roman"/>
                <w:sz w:val="12"/>
                <w:szCs w:val="12"/>
                <w:color w:val="0000EE"/>
                <w:shd w:val="clear" w:color="auto" w:fill="CCEEFF"/>
              </w:rPr>
            </w:pPr>
            <w:hyperlink r:id="rId106">
              <w:r>
                <w:rPr>
                  <w:rFonts w:ascii="Times New Roman" w:cs="Times New Roman" w:eastAsia="Times New Roman" w:hAnsi="Times New Roman"/>
                  <w:sz w:val="12"/>
                  <w:szCs w:val="12"/>
                  <w:color w:val="0000EE"/>
                  <w:shd w:val="clear" w:color="auto" w:fill="CCEEFF"/>
                </w:rPr>
                <w:t>10(</w:t>
              </w:r>
              <w:r>
                <w:rPr>
                  <w:rFonts w:ascii="Times New Roman" w:cs="Times New Roman" w:eastAsia="Times New Roman" w:hAnsi="Times New Roman"/>
                  <w:sz w:val="12"/>
                  <w:szCs w:val="12"/>
                  <w:u w:val="single" w:color="auto"/>
                  <w:color w:val="0000EE"/>
                  <w:shd w:val="clear" w:color="auto" w:fill="CCEEFF"/>
                </w:rPr>
                <w:t>c</w:t>
              </w:r>
              <w:r>
                <w:rPr>
                  <w:rFonts w:ascii="Times New Roman" w:cs="Times New Roman" w:eastAsia="Times New Roman" w:hAnsi="Times New Roman"/>
                  <w:sz w:val="12"/>
                  <w:szCs w:val="12"/>
                  <w:color w:val="0000EE"/>
                  <w:shd w:val="clear" w:color="auto" w:fill="CCEEFF"/>
                </w:rPr>
                <w:t>)</w:t>
              </w:r>
            </w:hyperlink>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100" w:type="dxa"/>
            <w:vAlign w:val="bottom"/>
            <w:tcBorders>
              <w:bottom w:val="single" w:sz="8" w:color="0000FF"/>
            </w:tcBorders>
            <w:gridSpan w:val="13"/>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99"/>
                <w:shd w:val="clear" w:color="auto" w:fill="CCEEFF"/>
              </w:rPr>
              <w:t>Third Amended and Restated Employment Agreement, dated as of April 15, 2024, by and between Kingstone Companies, Inc. and Meryl S. Golden</w:t>
            </w:r>
          </w:p>
        </w:tc>
        <w:tc>
          <w:tcPr>
            <w:tcW w:w="120" w:type="dxa"/>
            <w:vAlign w:val="bottom"/>
            <w:tcBorders>
              <w:bottom w:val="single" w:sz="8" w:color="0000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87"/>
                <w:shd w:val="clear" w:color="auto" w:fill="CCEEFF"/>
              </w:rPr>
              <w:t>, a</w:t>
            </w:r>
          </w:p>
        </w:tc>
        <w:tc>
          <w:tcPr>
            <w:tcW w:w="600" w:type="dxa"/>
            <w:vAlign w:val="bottom"/>
            <w:tcBorders>
              <w:bottom w:val="single" w:sz="8" w:color="0000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96"/>
                <w:shd w:val="clear" w:color="auto" w:fill="CCEEFF"/>
              </w:rPr>
              <w:t>s amended.*</w:t>
            </w:r>
          </w:p>
        </w:tc>
        <w:tc>
          <w:tcPr>
            <w:tcW w:w="2000" w:type="dxa"/>
            <w:vAlign w:val="bottom"/>
            <w:tcBorders>
              <w:bottom w:val="single" w:sz="8" w:color="CCEEFF"/>
            </w:tcBorders>
            <w:gridSpan w:val="3"/>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gridSpan w:val="2"/>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300" w:type="dxa"/>
            <w:vAlign w:val="bottom"/>
            <w:tcBorders>
              <w:top w:val="single" w:sz="8" w:color="CCEEFF"/>
            </w:tcBorders>
            <w:gridSpan w:val="3"/>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10(d)</w:t>
            </w: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880" w:type="dxa"/>
            <w:vAlign w:val="bottom"/>
            <w:gridSpan w:val="21"/>
            <w:shd w:val="clear" w:color="auto" w:fill="CCEEFF"/>
          </w:tcPr>
          <w:p>
            <w:pPr>
              <w:spacing w:after="0" w:line="135" w:lineRule="exact"/>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Employment Agreement, dated July 23, 2025, between Kingstone Companies, Inc. and Randy Patten (incorporated by reference to Exhibit 99.2 to the Company's Current Report on Form 8-K, filed on</w:t>
              </w:r>
            </w:hyperlink>
          </w:p>
        </w:tc>
        <w:tc>
          <w:tcPr>
            <w:tcW w:w="0" w:type="dxa"/>
            <w:vAlign w:val="bottom"/>
          </w:tcPr>
          <w:p>
            <w:pPr>
              <w:spacing w:after="0"/>
              <w:rPr>
                <w:sz w:val="1"/>
                <w:szCs w:val="1"/>
                <w:color w:val="auto"/>
              </w:rPr>
            </w:pPr>
          </w:p>
        </w:tc>
      </w:tr>
      <w:tr>
        <w:trPr>
          <w:trHeight w:val="131"/>
        </w:trPr>
        <w:tc>
          <w:tcPr>
            <w:tcW w:w="2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860" w:type="dxa"/>
            <w:vAlign w:val="bottom"/>
            <w:tcBorders>
              <w:top w:val="single" w:sz="8" w:color="0000FF"/>
            </w:tcBorders>
            <w:gridSpan w:val="20"/>
            <w:shd w:val="clear" w:color="auto" w:fill="CCEEFF"/>
          </w:tcPr>
          <w:p>
            <w:pPr>
              <w:spacing w:after="0" w:line="115" w:lineRule="exact"/>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August 5, 2025).</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gridSpan w:val="2"/>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gridSpan w:val="3"/>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5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10(e)</w:t>
            </w:r>
          </w:p>
        </w:tc>
        <w:tc>
          <w:tcPr>
            <w:tcW w:w="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880" w:type="dxa"/>
            <w:vAlign w:val="bottom"/>
            <w:gridSpan w:val="21"/>
            <w:shd w:val="clear" w:color="auto" w:fill="CCEEFF"/>
          </w:tcPr>
          <w:p>
            <w:pPr>
              <w:spacing w:after="0" w:line="135" w:lineRule="exact"/>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Sales Agreement, dated as of May 24, 2024, by and between Kingstone Companies, Inc. and Janney Montgomery Scott LLC (incorporated by reference to Exhibit 1.1 to the Company's Current Report on</w:t>
              </w:r>
            </w:hyperlink>
          </w:p>
        </w:tc>
        <w:tc>
          <w:tcPr>
            <w:tcW w:w="0" w:type="dxa"/>
            <w:vAlign w:val="bottom"/>
          </w:tcPr>
          <w:p>
            <w:pPr>
              <w:spacing w:after="0"/>
              <w:rPr>
                <w:sz w:val="1"/>
                <w:szCs w:val="1"/>
                <w:color w:val="auto"/>
              </w:rPr>
            </w:pPr>
          </w:p>
        </w:tc>
      </w:tr>
      <w:tr>
        <w:trPr>
          <w:trHeight w:val="131"/>
        </w:trPr>
        <w:tc>
          <w:tcPr>
            <w:tcW w:w="2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9840" w:type="dxa"/>
            <w:vAlign w:val="bottom"/>
            <w:tcBorders>
              <w:top w:val="single" w:sz="8" w:color="0000FF"/>
            </w:tcBorders>
            <w:gridSpan w:val="19"/>
            <w:shd w:val="clear" w:color="auto" w:fill="CCEEFF"/>
          </w:tcPr>
          <w:p>
            <w:pPr>
              <w:spacing w:after="0" w:line="115" w:lineRule="exact"/>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Form 8-K, filed on May 24, 2024).</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0" w:type="dxa"/>
            <w:vAlign w:val="bottom"/>
            <w:tcBorders>
              <w:top w:val="single" w:sz="8" w:color="CCEE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560" w:type="dxa"/>
            <w:vAlign w:val="bottom"/>
            <w:tcBorders>
              <w:top w:val="single" w:sz="8" w:color="CCEEFF"/>
            </w:tcBorders>
            <w:gridSpan w:val="2"/>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2300" w:type="dxa"/>
            <w:vAlign w:val="bottom"/>
            <w:tcBorders>
              <w:top w:val="single" w:sz="8" w:color="CCEEFF"/>
            </w:tcBorders>
            <w:gridSpan w:val="3"/>
          </w:tcPr>
          <w:p>
            <w:pPr>
              <w:spacing w:after="0"/>
              <w:rPr>
                <w:sz w:val="14"/>
                <w:szCs w:val="14"/>
                <w:color w:val="auto"/>
              </w:rPr>
            </w:pPr>
          </w:p>
        </w:tc>
        <w:tc>
          <w:tcPr>
            <w:tcW w:w="16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0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10(f)</w:t>
            </w:r>
          </w:p>
        </w:tc>
        <w:tc>
          <w:tcPr>
            <w:tcW w:w="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9820" w:type="dxa"/>
            <w:vAlign w:val="bottom"/>
            <w:tcBorders>
              <w:bottom w:val="single" w:sz="8" w:color="0000FF"/>
            </w:tcBorders>
            <w:gridSpan w:val="18"/>
            <w:shd w:val="clear" w:color="auto" w:fill="CCEEFF"/>
          </w:tcPr>
          <w:p>
            <w:pPr>
              <w:spacing w:after="0" w:line="135" w:lineRule="exact"/>
              <w:rPr>
                <w:rFonts w:ascii="Times New Roman" w:cs="Times New Roman" w:eastAsia="Times New Roman" w:hAnsi="Times New Roman"/>
                <w:sz w:val="12"/>
                <w:szCs w:val="12"/>
                <w:color w:val="0000FF"/>
                <w:shd w:val="clear" w:color="auto" w:fill="CCEEFF"/>
              </w:rPr>
            </w:pPr>
            <w:hyperlink r:id="rId109">
              <w:r>
                <w:rPr>
                  <w:rFonts w:ascii="Times New Roman" w:cs="Times New Roman" w:eastAsia="Times New Roman" w:hAnsi="Times New Roman"/>
                  <w:sz w:val="12"/>
                  <w:szCs w:val="12"/>
                  <w:color w:val="0000FF"/>
                  <w:shd w:val="clear" w:color="auto" w:fill="CCEEFF"/>
                </w:rPr>
                <w:t>Stock Grant Agreement, dated as of January 2, 2025, between Kingstone Companies, Inc. and Meryl S. Golden (incorporated by reference to Exhibit 10(n) to the Company's Annual Report on Form 10-K</w:t>
              </w:r>
            </w:hyperlink>
          </w:p>
        </w:tc>
        <w:tc>
          <w:tcPr>
            <w:tcW w:w="60" w:type="dxa"/>
            <w:vAlign w:val="bottom"/>
            <w:tcBorders>
              <w:bottom w:val="single" w:sz="8" w:color="CCEEFF"/>
            </w:tcBorders>
            <w:gridSpan w:val="3"/>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120" w:type="dxa"/>
            <w:vAlign w:val="bottom"/>
            <w:tcBorders>
              <w:bottom w:val="single" w:sz="8" w:color="0000FF"/>
            </w:tcBorders>
            <w:gridSpan w:val="9"/>
            <w:shd w:val="clear" w:color="auto" w:fill="CCEEFF"/>
          </w:tcPr>
          <w:p>
            <w:pPr>
              <w:spacing w:after="0" w:line="115" w:lineRule="exact"/>
              <w:rPr>
                <w:rFonts w:ascii="Times New Roman" w:cs="Times New Roman" w:eastAsia="Times New Roman" w:hAnsi="Times New Roman"/>
                <w:sz w:val="12"/>
                <w:szCs w:val="12"/>
                <w:color w:val="0000FF"/>
                <w:w w:val="98"/>
                <w:shd w:val="clear" w:color="auto" w:fill="CCEEFF"/>
              </w:rPr>
            </w:pPr>
            <w:hyperlink r:id="rId109">
              <w:r>
                <w:rPr>
                  <w:rFonts w:ascii="Times New Roman" w:cs="Times New Roman" w:eastAsia="Times New Roman" w:hAnsi="Times New Roman"/>
                  <w:sz w:val="12"/>
                  <w:szCs w:val="12"/>
                  <w:color w:val="0000FF"/>
                  <w:w w:val="98"/>
                  <w:shd w:val="clear" w:color="auto" w:fill="CCEEFF"/>
                </w:rPr>
                <w:t>for the year ended December 31, 2024, filed on March 18, 2025).</w:t>
              </w:r>
            </w:hyperlink>
          </w:p>
        </w:tc>
        <w:tc>
          <w:tcPr>
            <w:tcW w:w="2300" w:type="dxa"/>
            <w:vAlign w:val="bottom"/>
            <w:tcBorders>
              <w:bottom w:val="single" w:sz="8" w:color="CCEEFF"/>
            </w:tcBorders>
            <w:gridSpan w:val="3"/>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2720" w:type="dxa"/>
            <w:vAlign w:val="bottom"/>
            <w:tcBorders>
              <w:bottom w:val="single" w:sz="8" w:color="CCEEFF"/>
            </w:tcBorders>
            <w:gridSpan w:val="5"/>
            <w:shd w:val="clear" w:color="auto" w:fill="CCEEFF"/>
          </w:tcPr>
          <w:p>
            <w:pPr>
              <w:spacing w:after="0"/>
              <w:rPr>
                <w:sz w:val="12"/>
                <w:szCs w:val="12"/>
                <w:color w:val="auto"/>
              </w:rPr>
            </w:pPr>
          </w:p>
        </w:tc>
        <w:tc>
          <w:tcPr>
            <w:tcW w:w="60" w:type="dxa"/>
            <w:vAlign w:val="bottom"/>
            <w:tcBorders>
              <w:bottom w:val="single" w:sz="8" w:color="CCEEFF"/>
            </w:tcBorders>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gridSpan w:val="2"/>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gridSpan w:val="3"/>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rPr>
              <w:t>10(g)</w:t>
            </w: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2"/>
                <w:szCs w:val="12"/>
                <w:color w:val="0000EE"/>
              </w:rPr>
              <w:t>Stock Grant Agreement, dated as of March 3, 2025, between Kingstone Companies, Inc. and Sarah (Minlei) Chen (incorporated by reference to Exhibit 10(q) to the Company's Annual Report on Form 10-</w:t>
            </w:r>
          </w:p>
        </w:tc>
        <w:tc>
          <w:tcPr>
            <w:tcW w:w="0" w:type="dxa"/>
            <w:vAlign w:val="bottom"/>
          </w:tcPr>
          <w:p>
            <w:pPr>
              <w:spacing w:after="0"/>
              <w:rPr>
                <w:sz w:val="1"/>
                <w:szCs w:val="1"/>
                <w:color w:val="auto"/>
              </w:rPr>
            </w:pPr>
          </w:p>
        </w:tc>
      </w:tr>
      <w:tr>
        <w:trPr>
          <w:trHeight w:val="164"/>
        </w:trPr>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88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2"/>
                <w:szCs w:val="12"/>
                <w:color w:val="0000EE"/>
              </w:rPr>
              <w:t>K for the year ended December 31, 2024, filed on March 18, 2025).</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00" w:type="dxa"/>
            <w:vAlign w:val="bottom"/>
            <w:gridSpan w:val="3"/>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10(h)</w:t>
            </w:r>
          </w:p>
        </w:tc>
        <w:tc>
          <w:tcPr>
            <w:tcW w:w="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80" w:type="dxa"/>
            <w:vAlign w:val="bottom"/>
            <w:gridSpan w:val="21"/>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Stock Grant Agreement, dated as of August 25, 2025, between Kingstone Companies, Inc. and Randy L. Patten.*</w:t>
            </w:r>
          </w:p>
        </w:tc>
        <w:tc>
          <w:tcPr>
            <w:tcW w:w="0" w:type="dxa"/>
            <w:vAlign w:val="bottom"/>
          </w:tcPr>
          <w:p>
            <w:pPr>
              <w:spacing w:after="0"/>
              <w:rPr>
                <w:sz w:val="1"/>
                <w:szCs w:val="1"/>
                <w:color w:val="auto"/>
              </w:rPr>
            </w:pPr>
          </w:p>
        </w:tc>
      </w:tr>
      <w:tr>
        <w:trPr>
          <w:trHeight w:val="180"/>
        </w:trPr>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gridSpan w:val="2"/>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0" w:type="dxa"/>
            <w:vAlign w:val="bottom"/>
            <w:tcBorders>
              <w:top w:val="single" w:sz="8" w:color="0000FF"/>
            </w:tcBorders>
          </w:tcPr>
          <w:p>
            <w:pPr>
              <w:spacing w:after="0"/>
              <w:rPr>
                <w:sz w:val="15"/>
                <w:szCs w:val="15"/>
                <w:color w:val="auto"/>
              </w:rPr>
            </w:pPr>
          </w:p>
        </w:tc>
        <w:tc>
          <w:tcPr>
            <w:tcW w:w="2300" w:type="dxa"/>
            <w:vAlign w:val="bottom"/>
            <w:tcBorders>
              <w:top w:val="single" w:sz="8" w:color="0000FF"/>
            </w:tcBorders>
            <w:gridSpan w:val="3"/>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12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shd w:val="clear" w:color="auto" w:fill="CCEEFF"/>
              </w:rPr>
              <w:t>10(i)</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0000FF"/>
                <w:w w:val="98"/>
                <w:shd w:val="clear" w:color="auto" w:fill="CCEEFF"/>
              </w:rPr>
              <w:t>Stock Grant Agreement, dated as of January 2, 202</w:t>
            </w:r>
            <w:r>
              <w:rPr>
                <w:rFonts w:ascii="Times New Roman" w:cs="Times New Roman" w:eastAsia="Times New Roman" w:hAnsi="Times New Roman"/>
                <w:sz w:val="12"/>
                <w:szCs w:val="12"/>
                <w:u w:val="single" w:color="auto"/>
                <w:color w:val="0000FF"/>
                <w:w w:val="98"/>
                <w:shd w:val="clear" w:color="auto" w:fill="CCEEFF"/>
              </w:rPr>
              <w:t>6,</w:t>
            </w:r>
          </w:p>
        </w:tc>
        <w:tc>
          <w:tcPr>
            <w:tcW w:w="29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2"/>
                <w:szCs w:val="12"/>
                <w:color w:val="0000FF"/>
                <w:w w:val="99"/>
                <w:shd w:val="clear" w:color="auto" w:fill="CCEEFF"/>
              </w:rPr>
              <w:t>between Kingstone Companies, Inc. and Floyd R. Tupper.*</w:t>
            </w:r>
          </w:p>
        </w:tc>
        <w:tc>
          <w:tcPr>
            <w:tcW w:w="1680" w:type="dxa"/>
            <w:vAlign w:val="bottom"/>
            <w:shd w:val="clear" w:color="auto" w:fill="CCEEFF"/>
          </w:tcPr>
          <w:p>
            <w:pPr>
              <w:spacing w:after="0"/>
              <w:rPr>
                <w:sz w:val="14"/>
                <w:szCs w:val="14"/>
                <w:color w:val="auto"/>
              </w:rPr>
            </w:pPr>
          </w:p>
        </w:tc>
        <w:tc>
          <w:tcPr>
            <w:tcW w:w="2780" w:type="dxa"/>
            <w:vAlign w:val="bottom"/>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gridSpan w:val="3"/>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shd w:val="clear" w:color="auto" w:fill="CCEEFF"/>
              </w:rPr>
              <w:t>10(j)</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0000FF"/>
                <w:w w:val="98"/>
                <w:shd w:val="clear" w:color="auto" w:fill="CCEEFF"/>
              </w:rPr>
              <w:t>Stock Grant Agreement, dated as of January 2, 202</w:t>
            </w:r>
            <w:r>
              <w:rPr>
                <w:rFonts w:ascii="Times New Roman" w:cs="Times New Roman" w:eastAsia="Times New Roman" w:hAnsi="Times New Roman"/>
                <w:sz w:val="12"/>
                <w:szCs w:val="12"/>
                <w:u w:val="single" w:color="auto"/>
                <w:color w:val="0000FF"/>
                <w:w w:val="98"/>
                <w:shd w:val="clear" w:color="auto" w:fill="CCEEFF"/>
              </w:rPr>
              <w:t>6,</w:t>
            </w:r>
          </w:p>
        </w:tc>
        <w:tc>
          <w:tcPr>
            <w:tcW w:w="45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2"/>
                <w:szCs w:val="12"/>
                <w:color w:val="0000FF"/>
                <w:shd w:val="clear" w:color="auto" w:fill="CCEEFF"/>
              </w:rPr>
              <w:t>between Kingstone Companies, Inc. and William L. Yankus.*</w:t>
            </w:r>
          </w:p>
        </w:tc>
        <w:tc>
          <w:tcPr>
            <w:tcW w:w="2780" w:type="dxa"/>
            <w:vAlign w:val="bottom"/>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00" w:type="dxa"/>
            <w:vAlign w:val="bottom"/>
            <w:gridSpan w:val="3"/>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rPr>
              <w:t>10(k)</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5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0000FF"/>
                <w:w w:val="98"/>
                <w:shd w:val="clear" w:color="auto" w:fill="CCEEFF"/>
              </w:rPr>
              <w:t>Stock Grant Agreement, dated as of January 2, 2026</w:t>
            </w:r>
          </w:p>
        </w:tc>
        <w:tc>
          <w:tcPr>
            <w:tcW w:w="46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2"/>
                <w:szCs w:val="12"/>
                <w:color w:val="0000FF"/>
                <w:shd w:val="clear" w:color="auto" w:fill="CCEEFF"/>
              </w:rPr>
              <w:t>, between Kingstone Companies, Inc. and Thomas Newgarden.*</w:t>
            </w:r>
          </w:p>
        </w:tc>
        <w:tc>
          <w:tcPr>
            <w:tcW w:w="2780" w:type="dxa"/>
            <w:vAlign w:val="bottom"/>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03"/>
        </w:trPr>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80" w:type="dxa"/>
            <w:vAlign w:val="bottom"/>
            <w:gridSpan w:val="15"/>
          </w:tcPr>
          <w:p>
            <w:pPr>
              <w:jc w:val="right"/>
              <w:ind w:right="120"/>
              <w:spacing w:after="0"/>
              <w:rPr>
                <w:sz w:val="20"/>
                <w:szCs w:val="20"/>
                <w:color w:val="auto"/>
              </w:rPr>
            </w:pPr>
            <w:r>
              <w:rPr>
                <w:rFonts w:ascii="Times New Roman" w:cs="Times New Roman" w:eastAsia="Times New Roman" w:hAnsi="Times New Roman"/>
                <w:sz w:val="12"/>
                <w:szCs w:val="12"/>
                <w:color w:val="auto"/>
              </w:rPr>
              <w:t>79</w:t>
            </w:r>
          </w:p>
        </w:tc>
        <w:tc>
          <w:tcPr>
            <w:tcW w:w="1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6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-456565</wp:posOffset>
            </wp:positionV>
            <wp:extent cx="3556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35560" cy="57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38"/>
        </w:trPr>
        <w:tc>
          <w:tcPr>
            <w:tcW w:w="14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745"/>
        </w:trPr>
        <w:tc>
          <w:tcPr>
            <w:tcW w:w="8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rPr>
              <w:t>10(l)</w:t>
            </w:r>
          </w:p>
        </w:tc>
        <w:tc>
          <w:tcPr>
            <w:tcW w:w="25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2"/>
                <w:szCs w:val="12"/>
                <w:color w:val="0000FF"/>
                <w:w w:val="99"/>
                <w:shd w:val="clear" w:color="auto" w:fill="CCEEFF"/>
              </w:rPr>
              <w:t>Stock Grant Agreement, dated as of January 2, 2026</w:t>
            </w:r>
          </w:p>
        </w:tc>
        <w:tc>
          <w:tcPr>
            <w:tcW w:w="64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2"/>
                <w:szCs w:val="12"/>
                <w:color w:val="0000FF"/>
                <w:shd w:val="clear" w:color="auto" w:fill="CCEEFF"/>
              </w:rPr>
              <w:t>, between Kingstone Companies, Inc. and Manmohan Singh.*</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0"/>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1"/>
        </w:trPr>
        <w:tc>
          <w:tcPr>
            <w:tcW w:w="1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10(m)</w:t>
            </w:r>
          </w:p>
        </w:tc>
        <w:tc>
          <w:tcPr>
            <w:tcW w:w="2520" w:type="dxa"/>
            <w:vAlign w:val="bottom"/>
            <w:gridSpan w:val="7"/>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9"/>
                <w:shd w:val="clear" w:color="auto" w:fill="CCEEFF"/>
              </w:rPr>
              <w:t>Stock Grant Agreement, dated as of January 2, 2026</w:t>
            </w:r>
          </w:p>
        </w:tc>
        <w:tc>
          <w:tcPr>
            <w:tcW w:w="2380" w:type="dxa"/>
            <w:vAlign w:val="bottom"/>
            <w:gridSpan w:val="4"/>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9"/>
                <w:shd w:val="clear" w:color="auto" w:fill="CCEEFF"/>
              </w:rPr>
              <w:t>, between Kingstone Companies, Inc. and Pranav</w:t>
            </w:r>
          </w:p>
        </w:tc>
        <w:tc>
          <w:tcPr>
            <w:tcW w:w="42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8"/>
                <w:shd w:val="clear" w:color="auto" w:fill="CCEEFF"/>
              </w:rPr>
              <w:t>Pasricha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0000FF"/>
                <w:w w:val="72"/>
                <w:shd w:val="clear" w:color="auto" w:fill="CCEEFF"/>
              </w:rPr>
              <w:t>.*</w:t>
            </w:r>
          </w:p>
        </w:tc>
        <w:tc>
          <w:tcPr>
            <w:tcW w:w="3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5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51"/>
        </w:trPr>
        <w:tc>
          <w:tcPr>
            <w:tcW w:w="1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10(n)</w:t>
            </w:r>
          </w:p>
        </w:tc>
        <w:tc>
          <w:tcPr>
            <w:tcW w:w="986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Stock Grant Agreement, dated as of January 9, 2026, between Kingstone Companies, Inc. and Meryl S. Golden.*</w:t>
            </w:r>
          </w:p>
        </w:tc>
      </w:tr>
      <w:tr>
        <w:trPr>
          <w:trHeight w:val="180"/>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9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35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71"/>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rPr>
              <w:t>10(q)</w:t>
            </w:r>
          </w:p>
        </w:tc>
        <w:tc>
          <w:tcPr>
            <w:tcW w:w="9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0000FF"/>
                <w:shd w:val="clear" w:color="auto" w:fill="CCEEFF"/>
              </w:rPr>
              <w:t>Stock Grant Agreement, dated as of March 3, 202</w:t>
            </w:r>
            <w:r>
              <w:rPr>
                <w:rFonts w:ascii="Times New Roman" w:cs="Times New Roman" w:eastAsia="Times New Roman" w:hAnsi="Times New Roman"/>
                <w:sz w:val="12"/>
                <w:szCs w:val="12"/>
                <w:u w:val="single" w:color="auto"/>
                <w:color w:val="0000FF"/>
                <w:shd w:val="clear" w:color="auto" w:fill="CCEEFF"/>
              </w:rPr>
              <w:t>6</w:t>
            </w:r>
            <w:r>
              <w:rPr>
                <w:rFonts w:ascii="Times New Roman" w:cs="Times New Roman" w:eastAsia="Times New Roman" w:hAnsi="Times New Roman"/>
                <w:sz w:val="12"/>
                <w:szCs w:val="12"/>
                <w:color w:val="0000FF"/>
                <w:shd w:val="clear" w:color="auto" w:fill="CCEEFF"/>
              </w:rPr>
              <w:t>, between Kingstone Companies, Inc. and Sarah (Minlei) Chen.*</w:t>
            </w: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0"/>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1"/>
        </w:trPr>
        <w:tc>
          <w:tcPr>
            <w:tcW w:w="1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10(r)</w:t>
            </w:r>
          </w:p>
        </w:tc>
        <w:tc>
          <w:tcPr>
            <w:tcW w:w="4800" w:type="dxa"/>
            <w:vAlign w:val="bottom"/>
            <w:gridSpan w:val="10"/>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w w:val="99"/>
                <w:shd w:val="clear" w:color="auto" w:fill="CCEEFF"/>
              </w:rPr>
              <w:t>Stock Grant Agreement, dated as of March 3, 202</w:t>
            </w:r>
            <w:r>
              <w:rPr>
                <w:rFonts w:ascii="Times New Roman" w:cs="Times New Roman" w:eastAsia="Times New Roman" w:hAnsi="Times New Roman"/>
                <w:sz w:val="12"/>
                <w:szCs w:val="12"/>
                <w:u w:val="single" w:color="auto"/>
                <w:color w:val="0000FF"/>
                <w:w w:val="99"/>
                <w:shd w:val="clear" w:color="auto" w:fill="CCEEFF"/>
              </w:rPr>
              <w:t>6</w:t>
            </w:r>
            <w:r>
              <w:rPr>
                <w:rFonts w:ascii="Times New Roman" w:cs="Times New Roman" w:eastAsia="Times New Roman" w:hAnsi="Times New Roman"/>
                <w:sz w:val="12"/>
                <w:szCs w:val="12"/>
                <w:color w:val="0000FF"/>
                <w:w w:val="99"/>
                <w:shd w:val="clear" w:color="auto" w:fill="CCEEFF"/>
              </w:rPr>
              <w:t>, between Kingstone Companies, Inc. and Randy</w:t>
            </w:r>
          </w:p>
        </w:tc>
        <w:tc>
          <w:tcPr>
            <w:tcW w:w="46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color w:val="0000FF"/>
                <w:w w:val="96"/>
              </w:rPr>
              <w:t>L. Patten</w:t>
            </w:r>
          </w:p>
        </w:tc>
        <w:tc>
          <w:tcPr>
            <w:tcW w:w="1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0000FF"/>
                <w:w w:val="72"/>
                <w:shd w:val="clear" w:color="auto" w:fill="CCEEFF"/>
              </w:rPr>
              <w:t>.*</w:t>
            </w:r>
          </w:p>
        </w:tc>
        <w:tc>
          <w:tcPr>
            <w:tcW w:w="3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5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51"/>
        </w:trPr>
        <w:tc>
          <w:tcPr>
            <w:tcW w:w="144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10(s)</w:t>
            </w:r>
          </w:p>
        </w:tc>
        <w:tc>
          <w:tcPr>
            <w:tcW w:w="9000" w:type="dxa"/>
            <w:vAlign w:val="bottom"/>
            <w:tcBorders>
              <w:bottom w:val="single" w:sz="8" w:color="0000FF"/>
            </w:tcBorders>
            <w:gridSpan w:val="16"/>
            <w:shd w:val="clear" w:color="auto" w:fill="CCEEFF"/>
          </w:tcPr>
          <w:p>
            <w:pPr>
              <w:spacing w:after="0" w:line="135" w:lineRule="exact"/>
              <w:rPr>
                <w:rFonts w:ascii="Times New Roman" w:cs="Times New Roman" w:eastAsia="Times New Roman" w:hAnsi="Times New Roman"/>
                <w:sz w:val="12"/>
                <w:szCs w:val="12"/>
                <w:color w:val="0000FF"/>
                <w:w w:val="99"/>
                <w:shd w:val="clear" w:color="auto" w:fill="CCEEFF"/>
              </w:rPr>
            </w:pPr>
            <w:hyperlink r:id="rId113">
              <w:r>
                <w:rPr>
                  <w:rFonts w:ascii="Times New Roman" w:cs="Times New Roman" w:eastAsia="Times New Roman" w:hAnsi="Times New Roman"/>
                  <w:sz w:val="12"/>
                  <w:szCs w:val="12"/>
                  <w:color w:val="0000FF"/>
                  <w:w w:val="99"/>
                  <w:shd w:val="clear" w:color="auto" w:fill="CCEEFF"/>
                </w:rPr>
                <w:t>2025 Employee Bonus Plan (incorporated by reference to Exhibit 10(s) to the Company's Annual Report on Form 10-K for the year ended December 31, 2024, filed on March 18, 2025). #</w:t>
              </w:r>
            </w:hyperlink>
          </w:p>
        </w:tc>
        <w:tc>
          <w:tcPr>
            <w:tcW w:w="8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1"/>
        </w:trPr>
        <w:tc>
          <w:tcPr>
            <w:tcW w:w="1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10(t)</w:t>
            </w:r>
          </w:p>
        </w:tc>
        <w:tc>
          <w:tcPr>
            <w:tcW w:w="986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2026 Employee Bonus Plan*#</w:t>
            </w:r>
          </w:p>
        </w:tc>
      </w:tr>
      <w:tr>
        <w:trPr>
          <w:trHeight w:val="180"/>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5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35"/>
        </w:trPr>
        <w:tc>
          <w:tcPr>
            <w:tcW w:w="84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19</w:t>
            </w:r>
          </w:p>
        </w:tc>
        <w:tc>
          <w:tcPr>
            <w:tcW w:w="600" w:type="dxa"/>
            <w:vAlign w:val="bottom"/>
            <w:tcBorders>
              <w:bottom w:val="single" w:sz="8" w:color="CCEEFF"/>
            </w:tcBorders>
            <w:shd w:val="clear" w:color="auto" w:fill="CCEEFF"/>
          </w:tcPr>
          <w:p>
            <w:pPr>
              <w:spacing w:after="0"/>
              <w:rPr>
                <w:sz w:val="11"/>
                <w:szCs w:val="11"/>
                <w:color w:val="auto"/>
              </w:rPr>
            </w:pPr>
          </w:p>
        </w:tc>
        <w:tc>
          <w:tcPr>
            <w:tcW w:w="2460" w:type="dxa"/>
            <w:vAlign w:val="bottom"/>
            <w:tcBorders>
              <w:bottom w:val="single" w:sz="8" w:color="0000FF"/>
            </w:tcBorders>
            <w:gridSpan w:val="5"/>
            <w:shd w:val="clear" w:color="auto" w:fill="CCEEFF"/>
          </w:tcPr>
          <w:p>
            <w:pPr>
              <w:spacing w:after="0" w:line="135" w:lineRule="exact"/>
              <w:rPr>
                <w:rFonts w:ascii="Times New Roman" w:cs="Times New Roman" w:eastAsia="Times New Roman" w:hAnsi="Times New Roman"/>
                <w:sz w:val="12"/>
                <w:szCs w:val="12"/>
                <w:color w:val="0000FF"/>
                <w:shd w:val="clear" w:color="auto" w:fill="CCEEFF"/>
              </w:rPr>
            </w:pPr>
            <w:hyperlink r:id="rId114">
              <w:r>
                <w:rPr>
                  <w:rFonts w:ascii="Times New Roman" w:cs="Times New Roman" w:eastAsia="Times New Roman" w:hAnsi="Times New Roman"/>
                  <w:sz w:val="12"/>
                  <w:szCs w:val="12"/>
                  <w:color w:val="0000FF"/>
                  <w:shd w:val="clear" w:color="auto" w:fill="CCEEFF"/>
                </w:rPr>
                <w:t>Kingstone Companies, Inc. Insider Trading Policy</w:t>
              </w:r>
            </w:hyperlink>
          </w:p>
        </w:tc>
        <w:tc>
          <w:tcPr>
            <w:tcW w:w="40" w:type="dxa"/>
            <w:vAlign w:val="bottom"/>
            <w:tcBorders>
              <w:bottom w:val="single" w:sz="8" w:color="CCEEFF"/>
            </w:tcBorders>
            <w:shd w:val="clear" w:color="auto" w:fill="CCEEFF"/>
          </w:tcPr>
          <w:p>
            <w:pPr>
              <w:spacing w:after="0"/>
              <w:rPr>
                <w:sz w:val="11"/>
                <w:szCs w:val="11"/>
                <w:color w:val="auto"/>
              </w:rPr>
            </w:pPr>
          </w:p>
        </w:tc>
        <w:tc>
          <w:tcPr>
            <w:tcW w:w="7340" w:type="dxa"/>
            <w:vAlign w:val="bottom"/>
            <w:tcBorders>
              <w:bottom w:val="single" w:sz="8" w:color="0000FF"/>
            </w:tcBorders>
            <w:gridSpan w:val="11"/>
            <w:shd w:val="clear" w:color="auto" w:fill="CCEEFF"/>
          </w:tcPr>
          <w:p>
            <w:pPr>
              <w:spacing w:after="0" w:line="135" w:lineRule="exact"/>
              <w:rPr>
                <w:rFonts w:ascii="Times New Roman" w:cs="Times New Roman" w:eastAsia="Times New Roman" w:hAnsi="Times New Roman"/>
                <w:sz w:val="12"/>
                <w:szCs w:val="12"/>
                <w:color w:val="0000FF"/>
                <w:shd w:val="clear" w:color="auto" w:fill="CCEEFF"/>
              </w:rPr>
            </w:pPr>
            <w:hyperlink r:id="rId114">
              <w:r>
                <w:rPr>
                  <w:rFonts w:ascii="Times New Roman" w:cs="Times New Roman" w:eastAsia="Times New Roman" w:hAnsi="Times New Roman"/>
                  <w:sz w:val="12"/>
                  <w:szCs w:val="12"/>
                  <w:color w:val="0000FF"/>
                  <w:shd w:val="clear" w:color="auto" w:fill="CCEEFF"/>
                </w:rPr>
                <w:t>(incorporated by reference to Exhibit 19 to the Company's Annual Report on Form 10-K for the year ended December 31, 2024, filed on March 18,</w:t>
              </w:r>
            </w:hyperlink>
          </w:p>
        </w:tc>
        <w:tc>
          <w:tcPr>
            <w:tcW w:w="20" w:type="dxa"/>
            <w:vAlign w:val="bottom"/>
            <w:tcBorders>
              <w:bottom w:val="single" w:sz="8" w:color="CCEEFF"/>
            </w:tcBorders>
            <w:shd w:val="clear" w:color="auto" w:fill="CCEEFF"/>
          </w:tcPr>
          <w:p>
            <w:pPr>
              <w:spacing w:after="0"/>
              <w:rPr>
                <w:sz w:val="11"/>
                <w:szCs w:val="11"/>
                <w:color w:val="auto"/>
              </w:rPr>
            </w:pPr>
          </w:p>
        </w:tc>
      </w:tr>
      <w:tr>
        <w:trPr>
          <w:trHeight w:val="145"/>
        </w:trPr>
        <w:tc>
          <w:tcPr>
            <w:tcW w:w="8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0000FF"/>
            </w:tcBorders>
            <w:shd w:val="clear" w:color="auto" w:fill="CCEEFF"/>
          </w:tcPr>
          <w:p>
            <w:pPr>
              <w:spacing w:after="0" w:line="115" w:lineRule="exact"/>
              <w:rPr>
                <w:rFonts w:ascii="Times New Roman" w:cs="Times New Roman" w:eastAsia="Times New Roman" w:hAnsi="Times New Roman"/>
                <w:sz w:val="12"/>
                <w:szCs w:val="12"/>
                <w:color w:val="0000FF"/>
                <w:w w:val="96"/>
                <w:shd w:val="clear" w:color="auto" w:fill="CCEEFF"/>
              </w:rPr>
            </w:pPr>
            <w:hyperlink r:id="rId114">
              <w:r>
                <w:rPr>
                  <w:rFonts w:ascii="Times New Roman" w:cs="Times New Roman" w:eastAsia="Times New Roman" w:hAnsi="Times New Roman"/>
                  <w:sz w:val="12"/>
                  <w:szCs w:val="12"/>
                  <w:color w:val="0000FF"/>
                  <w:w w:val="96"/>
                  <w:shd w:val="clear" w:color="auto" w:fill="CCEEFF"/>
                </w:rPr>
                <w:t>2025).</w:t>
              </w:r>
            </w:hyperlink>
          </w:p>
        </w:tc>
        <w:tc>
          <w:tcPr>
            <w:tcW w:w="5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9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5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80"/>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5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EE"/>
              </w:rPr>
              <w:t>21</w:t>
            </w:r>
          </w:p>
        </w:tc>
        <w:tc>
          <w:tcPr>
            <w:tcW w:w="600" w:type="dxa"/>
            <w:vAlign w:val="bottom"/>
            <w:shd w:val="clear" w:color="auto" w:fill="CCEEFF"/>
          </w:tcPr>
          <w:p>
            <w:pPr>
              <w:spacing w:after="0"/>
              <w:rPr>
                <w:sz w:val="14"/>
                <w:szCs w:val="14"/>
                <w:color w:val="auto"/>
              </w:rPr>
            </w:pPr>
          </w:p>
        </w:tc>
        <w:tc>
          <w:tcPr>
            <w:tcW w:w="9000" w:type="dxa"/>
            <w:vAlign w:val="bottom"/>
            <w:gridSpan w:val="16"/>
            <w:shd w:val="clear" w:color="auto" w:fill="CCEEFF"/>
          </w:tcPr>
          <w:p>
            <w:pPr>
              <w:spacing w:after="0"/>
              <w:rPr>
                <w:rFonts w:ascii="Times New Roman" w:cs="Times New Roman" w:eastAsia="Times New Roman" w:hAnsi="Times New Roman"/>
                <w:sz w:val="12"/>
                <w:szCs w:val="12"/>
                <w:color w:val="0000EE"/>
                <w:shd w:val="clear" w:color="auto" w:fill="CCEEFF"/>
              </w:rPr>
            </w:pPr>
            <w:hyperlink r:id="rId115">
              <w:r>
                <w:rPr>
                  <w:rFonts w:ascii="Times New Roman" w:cs="Times New Roman" w:eastAsia="Times New Roman" w:hAnsi="Times New Roman"/>
                  <w:sz w:val="12"/>
                  <w:szCs w:val="12"/>
                  <w:color w:val="0000EE"/>
                  <w:shd w:val="clear" w:color="auto" w:fill="CCEEFF"/>
                </w:rPr>
                <w:t>Subsidiaries (incorporated by reference to Exhibit 21 to the Company’s Annual Report on Form 10-K for the year ended December 31, 2016, filed on March 16, 2017).</w:t>
              </w:r>
            </w:hyperlink>
          </w:p>
        </w:tc>
        <w:tc>
          <w:tcPr>
            <w:tcW w:w="860" w:type="dxa"/>
            <w:vAlign w:val="bottom"/>
            <w:gridSpan w:val="2"/>
            <w:shd w:val="clear" w:color="auto" w:fill="CCEEFF"/>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EE"/>
              </w:rPr>
              <w:t>23(a)</w:t>
            </w:r>
          </w:p>
        </w:tc>
        <w:tc>
          <w:tcPr>
            <w:tcW w:w="1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0000FF"/>
                <w:shd w:val="clear" w:color="auto" w:fill="CCEEFF"/>
              </w:rPr>
              <w:t>Consent of Marcum LLP.*</w:t>
            </w:r>
          </w:p>
        </w:tc>
        <w:tc>
          <w:tcPr>
            <w:tcW w:w="7580" w:type="dxa"/>
            <w:vAlign w:val="bottom"/>
            <w:gridSpan w:val="13"/>
            <w:shd w:val="clear" w:color="auto" w:fill="CCEEFF"/>
          </w:tcPr>
          <w:p>
            <w:pPr>
              <w:spacing w:after="0"/>
              <w:rPr>
                <w:sz w:val="14"/>
                <w:szCs w:val="14"/>
                <w:color w:val="auto"/>
              </w:rPr>
            </w:pPr>
          </w:p>
        </w:tc>
        <w:tc>
          <w:tcPr>
            <w:tcW w:w="860" w:type="dxa"/>
            <w:vAlign w:val="bottom"/>
            <w:gridSpan w:val="2"/>
            <w:shd w:val="clear" w:color="auto" w:fill="CCEEFF"/>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1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EE"/>
              </w:rPr>
              <w:t>23(b)</w:t>
            </w:r>
          </w:p>
        </w:tc>
        <w:tc>
          <w:tcPr>
            <w:tcW w:w="9860" w:type="dxa"/>
            <w:vAlign w:val="bottom"/>
            <w:gridSpan w:val="18"/>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0000FF"/>
              </w:rPr>
              <w:t>Consent of CBIZ CPAs P.C.*</w:t>
            </w:r>
          </w:p>
        </w:tc>
      </w:tr>
      <w:tr>
        <w:trPr>
          <w:trHeight w:val="180"/>
        </w:trPr>
        <w:tc>
          <w:tcPr>
            <w:tcW w:w="8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56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EE"/>
                <w:shd w:val="clear" w:color="auto" w:fill="CCEEFF"/>
              </w:rPr>
              <w:t>31(a)</w:t>
            </w:r>
          </w:p>
        </w:tc>
        <w:tc>
          <w:tcPr>
            <w:tcW w:w="600" w:type="dxa"/>
            <w:vAlign w:val="bottom"/>
            <w:shd w:val="clear" w:color="auto" w:fill="CCEEFF"/>
          </w:tcPr>
          <w:p>
            <w:pPr>
              <w:spacing w:after="0"/>
              <w:rPr>
                <w:sz w:val="14"/>
                <w:szCs w:val="14"/>
                <w:color w:val="auto"/>
              </w:rPr>
            </w:pPr>
          </w:p>
        </w:tc>
        <w:tc>
          <w:tcPr>
            <w:tcW w:w="9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0000FF"/>
                <w:shd w:val="clear" w:color="auto" w:fill="CCEEFF"/>
              </w:rPr>
              <w:t>Rule 13a-14(a)/15d-14(a) Certification of Chief Executive Officer as Adopted Pursuant to Section 302 of the Sarbanes-Oxley Act of 2002.*</w:t>
            </w:r>
          </w:p>
        </w:tc>
        <w:tc>
          <w:tcPr>
            <w:tcW w:w="860" w:type="dxa"/>
            <w:vAlign w:val="bottom"/>
            <w:gridSpan w:val="2"/>
            <w:shd w:val="clear" w:color="auto" w:fill="CCEEFF"/>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EE"/>
                <w:shd w:val="clear" w:color="auto" w:fill="CCEEFF"/>
              </w:rPr>
              <w:t>31(b)</w:t>
            </w:r>
          </w:p>
        </w:tc>
        <w:tc>
          <w:tcPr>
            <w:tcW w:w="600" w:type="dxa"/>
            <w:vAlign w:val="bottom"/>
            <w:shd w:val="clear" w:color="auto" w:fill="CCEEFF"/>
          </w:tcPr>
          <w:p>
            <w:pPr>
              <w:spacing w:after="0"/>
              <w:rPr>
                <w:sz w:val="14"/>
                <w:szCs w:val="14"/>
                <w:color w:val="auto"/>
              </w:rPr>
            </w:pPr>
          </w:p>
        </w:tc>
        <w:tc>
          <w:tcPr>
            <w:tcW w:w="9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0000FF"/>
                <w:shd w:val="clear" w:color="auto" w:fill="CCEEFF"/>
              </w:rPr>
              <w:t>Rule 13a-14(a)/15d-14(a) Certification of Principal Financial Officer as Adopted Pursuant to Section 302 of the Sarbanes-Oxley Act of 2002.*</w:t>
            </w:r>
          </w:p>
        </w:tc>
        <w:tc>
          <w:tcPr>
            <w:tcW w:w="860" w:type="dxa"/>
            <w:vAlign w:val="bottom"/>
            <w:gridSpan w:val="2"/>
            <w:shd w:val="clear" w:color="auto" w:fill="CCEEFF"/>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EE"/>
              </w:rPr>
              <w:t>32</w:t>
            </w:r>
          </w:p>
        </w:tc>
        <w:tc>
          <w:tcPr>
            <w:tcW w:w="600" w:type="dxa"/>
            <w:vAlign w:val="bottom"/>
            <w:shd w:val="clear" w:color="auto" w:fill="CCEEFF"/>
          </w:tcPr>
          <w:p>
            <w:pPr>
              <w:spacing w:after="0"/>
              <w:rPr>
                <w:sz w:val="14"/>
                <w:szCs w:val="14"/>
                <w:color w:val="auto"/>
              </w:rPr>
            </w:pPr>
          </w:p>
        </w:tc>
        <w:tc>
          <w:tcPr>
            <w:tcW w:w="90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2"/>
                <w:szCs w:val="12"/>
                <w:color w:val="0000FF"/>
                <w:shd w:val="clear" w:color="auto" w:fill="CCEEFF"/>
              </w:rPr>
              <w:t>Certification of Chief Executive Officer and Principal Financial Officer Pursuant to 18 U.S.C. Section 1350, as Adopted Pursuant to Section 906 of the Sarbanes-Oxley Act of 2002.**</w:t>
            </w:r>
          </w:p>
        </w:tc>
        <w:tc>
          <w:tcPr>
            <w:tcW w:w="860" w:type="dxa"/>
            <w:vAlign w:val="bottom"/>
            <w:gridSpan w:val="2"/>
            <w:shd w:val="clear" w:color="auto" w:fill="CCEEFF"/>
          </w:tcPr>
          <w:p>
            <w:pPr>
              <w:spacing w:after="0"/>
              <w:rPr>
                <w:sz w:val="14"/>
                <w:szCs w:val="14"/>
                <w:color w:val="auto"/>
              </w:rPr>
            </w:pPr>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EE"/>
              </w:rPr>
              <w:t>97</w:t>
            </w:r>
          </w:p>
        </w:tc>
        <w:tc>
          <w:tcPr>
            <w:tcW w:w="6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spacing w:after="0"/>
              <w:rPr>
                <w:rFonts w:ascii="Times New Roman" w:cs="Times New Roman" w:eastAsia="Times New Roman" w:hAnsi="Times New Roman"/>
                <w:sz w:val="12"/>
                <w:szCs w:val="12"/>
                <w:color w:val="0000FF"/>
                <w:shd w:val="clear" w:color="auto" w:fill="CCEEFF"/>
              </w:rPr>
            </w:pPr>
            <w:hyperlink r:id="rId116">
              <w:r>
                <w:rPr>
                  <w:rFonts w:ascii="Times New Roman" w:cs="Times New Roman" w:eastAsia="Times New Roman" w:hAnsi="Times New Roman"/>
                  <w:sz w:val="12"/>
                  <w:szCs w:val="12"/>
                  <w:color w:val="0000FF"/>
                  <w:shd w:val="clear" w:color="auto" w:fill="CCEEFF"/>
                </w:rPr>
                <w:t>Clawback Policy</w:t>
              </w:r>
            </w:hyperlink>
          </w:p>
        </w:tc>
        <w:tc>
          <w:tcPr>
            <w:tcW w:w="9020" w:type="dxa"/>
            <w:vAlign w:val="bottom"/>
            <w:gridSpan w:val="16"/>
            <w:shd w:val="clear" w:color="auto" w:fill="CCEEFF"/>
          </w:tcPr>
          <w:p>
            <w:pPr>
              <w:ind w:left="20"/>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(incorporated by reference to Exhibit 97 to the Company's Annual Report on Form 10-K for the year ended December 31, 2023, filed on April 1, 2024).</w:t>
              </w:r>
            </w:hyperlink>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101.INS</w:t>
            </w:r>
          </w:p>
        </w:tc>
        <w:tc>
          <w:tcPr>
            <w:tcW w:w="98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auto"/>
              </w:rPr>
              <w:t>XBRL Instance Document.*</w:t>
            </w:r>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w:t>
            </w:r>
          </w:p>
        </w:tc>
        <w:tc>
          <w:tcPr>
            <w:tcW w:w="98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 XBRL Taxonomy Extension Schema.*</w:t>
            </w:r>
          </w:p>
        </w:tc>
      </w:tr>
      <w:tr>
        <w:trPr>
          <w:trHeight w:val="171"/>
        </w:trPr>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101.CAL</w:t>
            </w:r>
          </w:p>
        </w:tc>
        <w:tc>
          <w:tcPr>
            <w:tcW w:w="98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2"/>
                <w:szCs w:val="12"/>
                <w:color w:val="auto"/>
              </w:rPr>
              <w:t>101.CAL XBRL Taxonomy Extension Calculation Linkbase.*</w:t>
            </w:r>
          </w:p>
        </w:tc>
      </w:tr>
      <w:tr>
        <w:trPr>
          <w:trHeight w:val="603"/>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80" w:type="dxa"/>
            <w:vAlign w:val="bottom"/>
            <w:gridSpan w:val="8"/>
          </w:tcPr>
          <w:p>
            <w:pPr>
              <w:ind w:left="4140"/>
              <w:spacing w:after="0"/>
              <w:rPr>
                <w:sz w:val="20"/>
                <w:szCs w:val="20"/>
                <w:color w:val="auto"/>
              </w:rPr>
            </w:pPr>
            <w:r>
              <w:rPr>
                <w:rFonts w:ascii="Times New Roman" w:cs="Times New Roman" w:eastAsia="Times New Roman" w:hAnsi="Times New Roman"/>
                <w:sz w:val="12"/>
                <w:szCs w:val="12"/>
                <w:color w:val="auto"/>
              </w:rPr>
              <w:t>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8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5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-4297045</wp:posOffset>
            </wp:positionV>
            <wp:extent cx="3556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-4074160</wp:posOffset>
            </wp:positionV>
            <wp:extent cx="3556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5560" cy="571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-2736850</wp:posOffset>
            </wp:positionV>
            <wp:extent cx="2476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24765" cy="5715"/>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i w:val="1"/>
                <w:iCs w:val="1"/>
                <w:color w:val="0000FF"/>
                <w:w w:val="96"/>
              </w:rPr>
              <w:t>Table of Contents</w:t>
            </w:r>
          </w:p>
        </w:tc>
        <w:tc>
          <w:tcPr>
            <w:tcW w:w="300" w:type="dxa"/>
            <w:vAlign w:val="bottom"/>
          </w:tcPr>
          <w:p>
            <w:pPr>
              <w:spacing w:after="0"/>
              <w:rPr>
                <w:sz w:val="12"/>
                <w:szCs w:val="12"/>
                <w:color w:val="auto"/>
              </w:rPr>
            </w:pPr>
          </w:p>
        </w:tc>
        <w:tc>
          <w:tcPr>
            <w:tcW w:w="10160" w:type="dxa"/>
            <w:vAlign w:val="bottom"/>
          </w:tcPr>
          <w:p>
            <w:pPr>
              <w:spacing w:after="0"/>
              <w:rPr>
                <w:sz w:val="12"/>
                <w:szCs w:val="12"/>
                <w:color w:val="auto"/>
              </w:rPr>
            </w:pPr>
          </w:p>
        </w:tc>
      </w:tr>
      <w:tr>
        <w:trPr>
          <w:trHeight w:val="736"/>
        </w:trPr>
        <w:tc>
          <w:tcPr>
            <w:tcW w:w="1140" w:type="dxa"/>
            <w:vAlign w:val="bottom"/>
            <w:gridSpan w:val="2"/>
          </w:tcPr>
          <w:p>
            <w:pPr>
              <w:spacing w:after="0"/>
              <w:rPr>
                <w:sz w:val="24"/>
                <w:szCs w:val="24"/>
                <w:color w:val="auto"/>
              </w:rPr>
            </w:pPr>
          </w:p>
        </w:tc>
        <w:tc>
          <w:tcPr>
            <w:tcW w:w="10160" w:type="dxa"/>
            <w:vAlign w:val="bottom"/>
          </w:tcPr>
          <w:p>
            <w:pPr>
              <w:spacing w:after="0"/>
              <w:rPr>
                <w:sz w:val="24"/>
                <w:szCs w:val="24"/>
                <w:color w:val="auto"/>
              </w:rPr>
            </w:pPr>
          </w:p>
        </w:tc>
      </w:tr>
      <w:tr>
        <w:trPr>
          <w:trHeight w:val="171"/>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101.DEF</w:t>
            </w:r>
          </w:p>
        </w:tc>
        <w:tc>
          <w:tcPr>
            <w:tcW w:w="10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101.DEF XBRL Taxonomy Extension Definition Linkbase.*</w:t>
            </w:r>
          </w:p>
        </w:tc>
      </w:tr>
      <w:tr>
        <w:trPr>
          <w:trHeight w:val="171"/>
        </w:trPr>
        <w:tc>
          <w:tcPr>
            <w:tcW w:w="1140" w:type="dxa"/>
            <w:vAlign w:val="bottom"/>
            <w:gridSpan w:val="2"/>
          </w:tcPr>
          <w:p>
            <w:pPr>
              <w:spacing w:after="0"/>
              <w:rPr>
                <w:sz w:val="14"/>
                <w:szCs w:val="14"/>
                <w:color w:val="auto"/>
              </w:rPr>
            </w:pPr>
          </w:p>
        </w:tc>
        <w:tc>
          <w:tcPr>
            <w:tcW w:w="10160" w:type="dxa"/>
            <w:vAlign w:val="bottom"/>
          </w:tcPr>
          <w:p>
            <w:pPr>
              <w:spacing w:after="0"/>
              <w:rPr>
                <w:sz w:val="14"/>
                <w:szCs w:val="14"/>
                <w:color w:val="auto"/>
              </w:rPr>
            </w:pPr>
          </w:p>
        </w:tc>
      </w:tr>
      <w:tr>
        <w:trPr>
          <w:trHeight w:val="171"/>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w:t>
            </w:r>
          </w:p>
        </w:tc>
        <w:tc>
          <w:tcPr>
            <w:tcW w:w="10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101.LAB XBRL Taxonomy Extension Label Linkbase.*</w:t>
            </w:r>
          </w:p>
        </w:tc>
      </w:tr>
      <w:tr>
        <w:trPr>
          <w:trHeight w:val="171"/>
        </w:trPr>
        <w:tc>
          <w:tcPr>
            <w:tcW w:w="1140" w:type="dxa"/>
            <w:vAlign w:val="bottom"/>
            <w:gridSpan w:val="2"/>
          </w:tcPr>
          <w:p>
            <w:pPr>
              <w:spacing w:after="0"/>
              <w:rPr>
                <w:sz w:val="14"/>
                <w:szCs w:val="14"/>
                <w:color w:val="auto"/>
              </w:rPr>
            </w:pPr>
          </w:p>
        </w:tc>
        <w:tc>
          <w:tcPr>
            <w:tcW w:w="10160" w:type="dxa"/>
            <w:vAlign w:val="bottom"/>
          </w:tcPr>
          <w:p>
            <w:pPr>
              <w:spacing w:after="0"/>
              <w:rPr>
                <w:sz w:val="14"/>
                <w:szCs w:val="14"/>
                <w:color w:val="auto"/>
              </w:rPr>
            </w:pPr>
          </w:p>
        </w:tc>
      </w:tr>
      <w:tr>
        <w:trPr>
          <w:trHeight w:val="171"/>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101.PRE</w:t>
            </w:r>
          </w:p>
        </w:tc>
        <w:tc>
          <w:tcPr>
            <w:tcW w:w="10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101.PRE XBRL Taxonomy Extension Presentation Linkbase.*</w:t>
            </w: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*Filed herewith</w:t>
      </w:r>
    </w:p>
    <w:p>
      <w:pPr>
        <w:ind w:left="420"/>
        <w:spacing w:after="0" w:line="234" w:lineRule="auto"/>
        <w:rPr>
          <w:sz w:val="20"/>
          <w:szCs w:val="20"/>
          <w:color w:val="auto"/>
        </w:rPr>
      </w:pPr>
      <w:r>
        <w:rPr>
          <w:rFonts w:ascii="Times New Roman" w:cs="Times New Roman" w:eastAsia="Times New Roman" w:hAnsi="Times New Roman"/>
          <w:sz w:val="12"/>
          <w:szCs w:val="12"/>
          <w:color w:val="auto"/>
        </w:rPr>
        <w:t>**Furnished herewith</w:t>
      </w:r>
    </w:p>
    <w:p>
      <w:pPr>
        <w:ind w:left="420"/>
        <w:spacing w:after="0"/>
        <w:rPr>
          <w:sz w:val="20"/>
          <w:szCs w:val="20"/>
          <w:color w:val="auto"/>
        </w:rPr>
      </w:pPr>
      <w:r>
        <w:rPr>
          <w:rFonts w:ascii="Times New Roman" w:cs="Times New Roman" w:eastAsia="Times New Roman" w:hAnsi="Times New Roman"/>
          <w:sz w:val="12"/>
          <w:szCs w:val="12"/>
          <w:color w:val="auto"/>
        </w:rPr>
        <w:t># Portions of the exhibit (indicated by asterisks) have been omitted pursuant to Item 601(b)(10)(iv) of Regulation 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ITEM 16. FORM 10-K SUMMARY.</w:t>
      </w:r>
    </w:p>
    <w:p>
      <w:pPr>
        <w:spacing w:after="0" w:line="1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u w:val="single" w:color="auto"/>
          <w:color w:val="auto"/>
        </w:rPr>
        <w:t>SIGNATURES</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1"/>
          <w:szCs w:val="11"/>
          <w:color w:val="auto"/>
        </w:rPr>
        <w:t>Pursuant to the requirements of Section 13 or 15(d) of the Securities Exchange Act of 1934, the registrant has duly caused this report to be signed on its behalf by the undersigned, there-unto duly authorized.</w:t>
      </w:r>
    </w:p>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b w:val="1"/>
          <w:bCs w:val="1"/>
          <w:color w:val="auto"/>
        </w:rPr>
        <w:t>KINGSTONE COMPANIES, INC.</w:t>
      </w:r>
    </w:p>
    <w:p>
      <w:pPr>
        <w:spacing w:after="0" w:line="208" w:lineRule="exact"/>
        <w:rPr>
          <w:sz w:val="20"/>
          <w:szCs w:val="20"/>
          <w:color w:val="auto"/>
        </w:rPr>
      </w:pPr>
    </w:p>
    <w:p>
      <w:pPr>
        <w:spacing w:after="0"/>
        <w:tabs>
          <w:tab w:leader="none" w:pos="5600" w:val="left"/>
          <w:tab w:leader="none" w:pos="6060" w:val="left"/>
        </w:tabs>
        <w:rPr>
          <w:sz w:val="20"/>
          <w:szCs w:val="20"/>
          <w:color w:val="auto"/>
        </w:rPr>
      </w:pPr>
      <w:r>
        <w:rPr>
          <w:rFonts w:ascii="Times New Roman" w:cs="Times New Roman" w:eastAsia="Times New Roman" w:hAnsi="Times New Roman"/>
          <w:sz w:val="12"/>
          <w:szCs w:val="12"/>
          <w:color w:val="auto"/>
        </w:rPr>
        <w:t>Dated: March 16,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16510</wp:posOffset>
            </wp:positionV>
            <wp:extent cx="23717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371725" cy="5715"/>
                    </a:xfrm>
                    <a:prstGeom prst="rect">
                      <a:avLst/>
                    </a:prstGeom>
                    <a:noFill/>
                  </pic:spPr>
                </pic:pic>
              </a:graphicData>
            </a:graphic>
          </wp:anchor>
        </w:drawing>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Meryl S. Golden</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Signature</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b w:val="1"/>
                <w:bCs w:val="1"/>
                <w:color w:val="auto"/>
              </w:rPr>
              <w:t>Capacity</w:t>
            </w:r>
          </w:p>
        </w:tc>
        <w:tc>
          <w:tcPr>
            <w:tcW w:w="100" w:type="dxa"/>
            <w:vAlign w:val="bottom"/>
          </w:tcPr>
          <w:p>
            <w:pPr>
              <w:spacing w:after="0"/>
              <w:rPr>
                <w:sz w:val="14"/>
                <w:szCs w:val="14"/>
                <w:color w:val="auto"/>
              </w:rPr>
            </w:pPr>
          </w:p>
        </w:tc>
        <w:tc>
          <w:tcPr>
            <w:tcW w:w="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Date</w:t>
            </w:r>
          </w:p>
        </w:tc>
        <w:tc>
          <w:tcPr>
            <w:tcW w:w="0" w:type="dxa"/>
            <w:vAlign w:val="bottom"/>
          </w:tcPr>
          <w:p>
            <w:pPr>
              <w:spacing w:after="0"/>
              <w:rPr>
                <w:sz w:val="1"/>
                <w:szCs w:val="1"/>
                <w:color w:val="auto"/>
              </w:rPr>
            </w:pPr>
          </w:p>
        </w:tc>
      </w:tr>
      <w:tr>
        <w:trPr>
          <w:trHeight w:val="245"/>
        </w:trPr>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Chief Executive</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March</w:t>
            </w: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20"/>
              <w:spacing w:after="0" w:line="124" w:lineRule="exact"/>
              <w:rPr>
                <w:sz w:val="20"/>
                <w:szCs w:val="20"/>
                <w:color w:val="auto"/>
              </w:rPr>
            </w:pPr>
            <w:r>
              <w:rPr>
                <w:rFonts w:ascii="Times New Roman" w:cs="Times New Roman" w:eastAsia="Times New Roman" w:hAnsi="Times New Roman"/>
                <w:sz w:val="12"/>
                <w:szCs w:val="12"/>
                <w:color w:val="auto"/>
              </w:rPr>
              <w:t>Officer, President and</w:t>
            </w: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5"/>
              </w:rPr>
              <w:t>Meryl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w:t>
            </w: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line="20" w:lineRule="exact"/>
              <w:rPr>
                <w:sz w:val="1"/>
                <w:szCs w:val="1"/>
                <w:color w:val="auto"/>
              </w:rPr>
            </w:pPr>
          </w:p>
        </w:tc>
      </w:tr>
      <w:tr>
        <w:trPr>
          <w:trHeight w:val="119"/>
        </w:trPr>
        <w:tc>
          <w:tcPr>
            <w:tcW w:w="1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2"/>
                <w:szCs w:val="12"/>
                <w:color w:val="auto"/>
              </w:rPr>
              <w:t>Director (Principal</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Golden</w:t>
            </w: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Executive Officer)</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31"/>
        </w:trPr>
        <w:tc>
          <w:tcPr>
            <w:tcW w:w="66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color w:val="auto"/>
              </w:rPr>
              <w:t>Meryl 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Golden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Thomas</w:t>
            </w: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Non-Executive</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w:t>
            </w:r>
          </w:p>
        </w:tc>
        <w:tc>
          <w:tcPr>
            <w:tcW w:w="0" w:type="dxa"/>
            <w:vAlign w:val="bottom"/>
          </w:tcPr>
          <w:p>
            <w:pPr>
              <w:spacing w:after="0"/>
              <w:rPr>
                <w:sz w:val="1"/>
                <w:szCs w:val="1"/>
                <w:color w:val="auto"/>
              </w:rPr>
            </w:pPr>
          </w:p>
        </w:tc>
      </w:tr>
      <w:tr>
        <w:trPr>
          <w:trHeight w:val="135"/>
        </w:trPr>
        <w:tc>
          <w:tcPr>
            <w:tcW w:w="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Newgarden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Chairman of the</w:t>
            </w: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64"/>
        </w:trPr>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Board and Director</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40"/>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Thomas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Newgarden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Vice President, Chief</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Financial Officer and</w:t>
            </w: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March</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20"/>
              <w:spacing w:after="0" w:line="119" w:lineRule="exact"/>
              <w:rPr>
                <w:sz w:val="20"/>
                <w:szCs w:val="20"/>
                <w:color w:val="auto"/>
              </w:rPr>
            </w:pPr>
            <w:r>
              <w:rPr>
                <w:rFonts w:ascii="Times New Roman" w:cs="Times New Roman" w:eastAsia="Times New Roman" w:hAnsi="Times New Roman"/>
                <w:sz w:val="12"/>
                <w:szCs w:val="12"/>
                <w:color w:val="auto"/>
              </w:rPr>
              <w:t>Treasurer</w:t>
            </w: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Randy</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6"/>
              </w:rPr>
              <w:t>L.</w:t>
            </w: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line="20" w:lineRule="exact"/>
              <w:rPr>
                <w:sz w:val="1"/>
                <w:szCs w:val="1"/>
                <w:color w:val="auto"/>
              </w:rPr>
            </w:pPr>
          </w:p>
        </w:tc>
      </w:tr>
      <w:tr>
        <w:trPr>
          <w:trHeight w:val="117"/>
        </w:trPr>
        <w:tc>
          <w:tcPr>
            <w:tcW w:w="14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2"/>
                <w:szCs w:val="12"/>
                <w:color w:val="auto"/>
              </w:rPr>
              <w:t>(Principal Financial</w:t>
            </w: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Patten</w:t>
            </w:r>
          </w:p>
        </w:tc>
        <w:tc>
          <w:tcPr>
            <w:tcW w:w="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Officer)</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55"/>
        </w:trPr>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Randy L. Patten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Chief Accounting</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w:t>
            </w:r>
          </w:p>
        </w:tc>
        <w:tc>
          <w:tcPr>
            <w:tcW w:w="0" w:type="dxa"/>
            <w:vAlign w:val="bottom"/>
          </w:tcPr>
          <w:p>
            <w:pPr>
              <w:spacing w:after="0"/>
              <w:rPr>
                <w:sz w:val="1"/>
                <w:szCs w:val="1"/>
                <w:color w:val="auto"/>
              </w:rPr>
            </w:pPr>
          </w:p>
        </w:tc>
      </w:tr>
      <w:tr>
        <w:trPr>
          <w:trHeight w:val="135"/>
        </w:trPr>
        <w:tc>
          <w:tcPr>
            <w:tcW w:w="14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/s/</w:t>
            </w: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2"/>
                <w:szCs w:val="12"/>
                <w:color w:val="auto"/>
              </w:rPr>
              <w:t>Victor</w:t>
            </w:r>
          </w:p>
        </w:tc>
        <w:tc>
          <w:tcPr>
            <w:tcW w:w="1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Officer (Principal</w:t>
            </w: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68"/>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Brodsky</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Accounting Officer)</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56"/>
        </w:trPr>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Victor Brodsky</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/s/</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Floyd</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0"/>
              </w:rPr>
              <w:t>R.</w:t>
            </w: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Secretary and</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w:t>
            </w:r>
          </w:p>
        </w:tc>
        <w:tc>
          <w:tcPr>
            <w:tcW w:w="0" w:type="dxa"/>
            <w:vAlign w:val="bottom"/>
          </w:tcPr>
          <w:p>
            <w:pPr>
              <w:spacing w:after="0"/>
              <w:rPr>
                <w:sz w:val="1"/>
                <w:szCs w:val="1"/>
                <w:color w:val="auto"/>
              </w:rPr>
            </w:pPr>
          </w:p>
        </w:tc>
      </w:tr>
      <w:tr>
        <w:trPr>
          <w:trHeight w:val="135"/>
        </w:trPr>
        <w:tc>
          <w:tcPr>
            <w:tcW w:w="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Tupper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color w:val="auto"/>
              </w:rPr>
              <w:t>Director</w:t>
            </w: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64"/>
        </w:trPr>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40"/>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Floyd 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Tupper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Pranav</w:t>
            </w: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w:t>
            </w:r>
          </w:p>
        </w:tc>
        <w:tc>
          <w:tcPr>
            <w:tcW w:w="0" w:type="dxa"/>
            <w:vAlign w:val="bottom"/>
          </w:tcPr>
          <w:p>
            <w:pPr>
              <w:spacing w:after="0"/>
              <w:rPr>
                <w:sz w:val="1"/>
                <w:szCs w:val="1"/>
                <w:color w:val="auto"/>
              </w:rPr>
            </w:pPr>
          </w:p>
        </w:tc>
      </w:tr>
      <w:tr>
        <w:trPr>
          <w:trHeight w:val="135"/>
        </w:trPr>
        <w:tc>
          <w:tcPr>
            <w:tcW w:w="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Pasricha</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64"/>
        </w:trPr>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60"/>
        </w:trPr>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Pranav Pasricha</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/s/</w:t>
            </w: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William</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L.</w:t>
            </w: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w:t>
            </w:r>
          </w:p>
        </w:tc>
        <w:tc>
          <w:tcPr>
            <w:tcW w:w="0" w:type="dxa"/>
            <w:vAlign w:val="bottom"/>
          </w:tcPr>
          <w:p>
            <w:pPr>
              <w:spacing w:after="0"/>
              <w:rPr>
                <w:sz w:val="1"/>
                <w:szCs w:val="1"/>
                <w:color w:val="auto"/>
              </w:rPr>
            </w:pPr>
          </w:p>
        </w:tc>
      </w:tr>
      <w:tr>
        <w:trPr>
          <w:trHeight w:val="135"/>
        </w:trPr>
        <w:tc>
          <w:tcPr>
            <w:tcW w:w="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Yankus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64"/>
        </w:trPr>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r>
        <w:trPr>
          <w:trHeight w:val="140"/>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William</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L.</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Yankus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Manmohan</w:t>
            </w: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March</w:t>
            </w:r>
          </w:p>
        </w:tc>
        <w:tc>
          <w:tcPr>
            <w:tcW w:w="0" w:type="dxa"/>
            <w:vAlign w:val="bottom"/>
          </w:tcPr>
          <w:p>
            <w:pPr>
              <w:spacing w:after="0"/>
              <w:rPr>
                <w:sz w:val="1"/>
                <w:szCs w:val="1"/>
                <w:color w:val="auto"/>
              </w:rPr>
            </w:pPr>
          </w:p>
        </w:tc>
      </w:tr>
      <w:tr>
        <w:trPr>
          <w:trHeight w:val="135"/>
        </w:trPr>
        <w:tc>
          <w:tcPr>
            <w:tcW w:w="6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Singh</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Times New Roman" w:cs="Times New Roman" w:eastAsia="Times New Roman" w:hAnsi="Times New Roman"/>
                <w:sz w:val="12"/>
                <w:szCs w:val="12"/>
                <w:color w:val="auto"/>
              </w:rPr>
              <w:t>16,</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51435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Manmohan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Singh</w:t>
      </w:r>
    </w:p>
    <w:p>
      <w:pPr>
        <w:spacing w:after="0" w:line="200" w:lineRule="exact"/>
        <w:rPr>
          <w:sz w:val="20"/>
          <w:szCs w:val="20"/>
          <w:color w:val="auto"/>
        </w:rPr>
      </w:pPr>
    </w:p>
    <w:p>
      <w:pPr>
        <w:spacing w:after="0" w:line="26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320"/>
          </w:cols>
          <w:pgMar w:left="300" w:top="127" w:right="1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38"/>
        </w:trPr>
        <w:tc>
          <w:tcPr>
            <w:tcW w:w="9840" w:type="dxa"/>
            <w:vAlign w:val="bottom"/>
            <w:gridSpan w:val="8"/>
          </w:tcPr>
          <w:p>
            <w:pPr>
              <w:spacing w:after="0"/>
              <w:rPr>
                <w:sz w:val="20"/>
                <w:szCs w:val="20"/>
                <w:color w:val="auto"/>
              </w:rPr>
            </w:pPr>
            <w:r>
              <w:rPr>
                <w:rFonts w:ascii="Times New Roman" w:cs="Times New Roman" w:eastAsia="Times New Roman" w:hAnsi="Times New Roman"/>
                <w:sz w:val="12"/>
                <w:szCs w:val="12"/>
                <w:i w:val="1"/>
                <w:iCs w:val="1"/>
                <w:color w:val="0000FF"/>
              </w:rPr>
              <w:t>Table of Contents</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547"/>
        </w:trPr>
        <w:tc>
          <w:tcPr>
            <w:tcW w:w="84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540" w:type="dxa"/>
            <w:vAlign w:val="bottom"/>
            <w:gridSpan w:val="3"/>
          </w:tcPr>
          <w:p>
            <w:pPr>
              <w:jc w:val="center"/>
              <w:ind w:right="280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9"/>
        </w:trPr>
        <w:tc>
          <w:tcPr>
            <w:tcW w:w="84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436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Page</w:t>
            </w:r>
          </w:p>
        </w:tc>
        <w:tc>
          <w:tcPr>
            <w:tcW w:w="80" w:type="dxa"/>
            <w:vAlign w:val="bottom"/>
            <w:tcBorders>
              <w:bottom w:val="single" w:sz="8" w:color="CCEEFF"/>
            </w:tcBorders>
          </w:tcPr>
          <w:p>
            <w:pPr>
              <w:spacing w:after="0"/>
              <w:rPr>
                <w:sz w:val="24"/>
                <w:szCs w:val="24"/>
                <w:color w:val="auto"/>
              </w:rPr>
            </w:pPr>
          </w:p>
        </w:tc>
      </w:tr>
      <w:tr>
        <w:trPr>
          <w:trHeight w:val="120"/>
        </w:trPr>
        <w:tc>
          <w:tcPr>
            <w:tcW w:w="9840" w:type="dxa"/>
            <w:vAlign w:val="bottom"/>
            <w:gridSpan w:val="8"/>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0000FF"/>
              </w:rPr>
              <w:t xml:space="preserve">Report of Independent Registered Public Accounting Firm </w:t>
            </w:r>
            <w:r>
              <w:rPr>
                <w:rFonts w:ascii="Times New Roman" w:cs="Times New Roman" w:eastAsia="Times New Roman" w:hAnsi="Times New Roman"/>
                <w:sz w:val="12"/>
                <w:szCs w:val="12"/>
                <w:color w:val="000000"/>
              </w:rPr>
              <w:t>(CBIZ CPAs P.C.)</w:t>
            </w:r>
          </w:p>
        </w:tc>
        <w:tc>
          <w:tcPr>
            <w:tcW w:w="1460" w:type="dxa"/>
            <w:vAlign w:val="bottom"/>
            <w:gridSpan w:val="2"/>
            <w:shd w:val="clear" w:color="auto" w:fill="CCEEFF"/>
          </w:tcPr>
          <w:p>
            <w:pPr>
              <w:jc w:val="center"/>
              <w:ind w:right="80"/>
              <w:spacing w:after="0" w:line="120" w:lineRule="exact"/>
              <w:rPr>
                <w:sz w:val="20"/>
                <w:szCs w:val="20"/>
                <w:color w:val="auto"/>
              </w:rPr>
            </w:pPr>
            <w:r>
              <w:rPr>
                <w:rFonts w:ascii="Times New Roman" w:cs="Times New Roman" w:eastAsia="Times New Roman" w:hAnsi="Times New Roman"/>
                <w:sz w:val="12"/>
                <w:szCs w:val="12"/>
                <w:color w:val="auto"/>
              </w:rPr>
              <w:t>F-2</w:t>
            </w:r>
          </w:p>
        </w:tc>
      </w:tr>
      <w:tr>
        <w:trPr>
          <w:trHeight w:val="25"/>
        </w:trPr>
        <w:tc>
          <w:tcPr>
            <w:tcW w:w="8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36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35"/>
        </w:trPr>
        <w:tc>
          <w:tcPr>
            <w:tcW w:w="9840" w:type="dxa"/>
            <w:vAlign w:val="bottom"/>
            <w:gridSpan w:val="8"/>
          </w:tcPr>
          <w:p>
            <w:pPr>
              <w:spacing w:after="0" w:line="135" w:lineRule="exact"/>
              <w:rPr>
                <w:sz w:val="20"/>
                <w:szCs w:val="20"/>
                <w:color w:val="auto"/>
              </w:rPr>
            </w:pPr>
            <w:r>
              <w:rPr>
                <w:rFonts w:ascii="Times New Roman" w:cs="Times New Roman" w:eastAsia="Times New Roman" w:hAnsi="Times New Roman"/>
                <w:sz w:val="12"/>
                <w:szCs w:val="12"/>
                <w:color w:val="0000FF"/>
              </w:rPr>
              <w:t xml:space="preserve">Report of Independent Registered Public Accounting Firm </w:t>
            </w:r>
            <w:r>
              <w:rPr>
                <w:rFonts w:ascii="Times New Roman" w:cs="Times New Roman" w:eastAsia="Times New Roman" w:hAnsi="Times New Roman"/>
                <w:sz w:val="12"/>
                <w:szCs w:val="12"/>
                <w:color w:val="000000"/>
              </w:rPr>
              <w:t>(Marcum LLP)</w:t>
            </w:r>
          </w:p>
        </w:tc>
        <w:tc>
          <w:tcPr>
            <w:tcW w:w="14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color w:val="auto"/>
              </w:rPr>
              <w:t>F-4</w:t>
            </w:r>
          </w:p>
        </w:tc>
      </w:tr>
      <w:tr>
        <w:trPr>
          <w:trHeight w:val="28"/>
        </w:trPr>
        <w:tc>
          <w:tcPr>
            <w:tcW w:w="84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43"/>
        </w:trPr>
        <w:tc>
          <w:tcPr>
            <w:tcW w:w="98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0000FF"/>
              </w:rPr>
              <w:t>Consolidated Balance Sheets as of December 31, 2025 and 2024</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F-5</w:t>
            </w:r>
          </w:p>
        </w:tc>
      </w:tr>
      <w:tr>
        <w:trPr>
          <w:trHeight w:val="36"/>
        </w:trPr>
        <w:tc>
          <w:tcPr>
            <w:tcW w:w="840" w:type="dxa"/>
            <w:vAlign w:val="bottom"/>
            <w:shd w:val="clear" w:color="auto" w:fill="0000FF"/>
          </w:tcPr>
          <w:p>
            <w:pPr>
              <w:spacing w:after="0"/>
              <w:rPr>
                <w:sz w:val="3"/>
                <w:szCs w:val="3"/>
                <w:color w:val="auto"/>
              </w:rPr>
            </w:pPr>
          </w:p>
        </w:tc>
        <w:tc>
          <w:tcPr>
            <w:tcW w:w="126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36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43"/>
        </w:trPr>
        <w:tc>
          <w:tcPr>
            <w:tcW w:w="5480" w:type="dxa"/>
            <w:vAlign w:val="bottom"/>
            <w:tcBorders>
              <w:bottom w:val="single" w:sz="8" w:color="0000FF"/>
            </w:tcBorders>
            <w:gridSpan w:val="7"/>
          </w:tcPr>
          <w:p>
            <w:pPr>
              <w:spacing w:after="0" w:line="135" w:lineRule="exact"/>
              <w:rPr>
                <w:sz w:val="20"/>
                <w:szCs w:val="20"/>
                <w:color w:val="auto"/>
              </w:rPr>
            </w:pPr>
            <w:r>
              <w:rPr>
                <w:rFonts w:ascii="Times New Roman" w:cs="Times New Roman" w:eastAsia="Times New Roman" w:hAnsi="Times New Roman"/>
                <w:sz w:val="12"/>
                <w:szCs w:val="12"/>
                <w:color w:val="0000FF"/>
                <w:w w:val="99"/>
              </w:rPr>
              <w:t>Consolidated Statements of Income and Comprehensive Income for the years ended December 31, 2025 and 2024</w:t>
            </w:r>
          </w:p>
        </w:tc>
        <w:tc>
          <w:tcPr>
            <w:tcW w:w="4360" w:type="dxa"/>
            <w:vAlign w:val="bottom"/>
          </w:tcPr>
          <w:p>
            <w:pPr>
              <w:spacing w:after="0"/>
              <w:rPr>
                <w:sz w:val="12"/>
                <w:szCs w:val="12"/>
                <w:color w:val="auto"/>
              </w:rPr>
            </w:pPr>
          </w:p>
        </w:tc>
        <w:tc>
          <w:tcPr>
            <w:tcW w:w="14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color w:val="auto"/>
              </w:rPr>
              <w:t>F-6</w:t>
            </w:r>
          </w:p>
        </w:tc>
      </w:tr>
      <w:tr>
        <w:trPr>
          <w:trHeight w:val="159"/>
        </w:trPr>
        <w:tc>
          <w:tcPr>
            <w:tcW w:w="98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2"/>
                <w:szCs w:val="12"/>
                <w:color w:val="0000FF"/>
              </w:rPr>
              <w:t>Consolidated Statements of Stockholders’ Equity for the years ended December 31, 2025 and 2024</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F-7</w:t>
            </w:r>
          </w:p>
        </w:tc>
      </w:tr>
      <w:tr>
        <w:trPr>
          <w:trHeight w:val="143"/>
        </w:trPr>
        <w:tc>
          <w:tcPr>
            <w:tcW w:w="4760" w:type="dxa"/>
            <w:vAlign w:val="bottom"/>
            <w:tcBorders>
              <w:top w:val="single" w:sz="8" w:color="0000FF"/>
            </w:tcBorders>
            <w:gridSpan w:val="6"/>
          </w:tcPr>
          <w:p>
            <w:pPr>
              <w:spacing w:after="0" w:line="135" w:lineRule="exact"/>
              <w:rPr>
                <w:sz w:val="20"/>
                <w:szCs w:val="20"/>
                <w:color w:val="auto"/>
              </w:rPr>
            </w:pPr>
            <w:r>
              <w:rPr>
                <w:rFonts w:ascii="Times New Roman" w:cs="Times New Roman" w:eastAsia="Times New Roman" w:hAnsi="Times New Roman"/>
                <w:sz w:val="12"/>
                <w:szCs w:val="12"/>
                <w:color w:val="0000FF"/>
              </w:rPr>
              <w:t>Consolidated Statements of Cash Flows for the years ended December 31, 2025 and 2024</w:t>
            </w:r>
          </w:p>
        </w:tc>
        <w:tc>
          <w:tcPr>
            <w:tcW w:w="5080" w:type="dxa"/>
            <w:vAlign w:val="bottom"/>
            <w:tcBorders>
              <w:top w:val="single" w:sz="8" w:color="CCEEFF"/>
            </w:tcBorders>
            <w:gridSpan w:val="2"/>
          </w:tcPr>
          <w:p>
            <w:pPr>
              <w:spacing w:after="0"/>
              <w:rPr>
                <w:sz w:val="12"/>
                <w:szCs w:val="12"/>
                <w:color w:val="auto"/>
              </w:rPr>
            </w:pPr>
          </w:p>
        </w:tc>
        <w:tc>
          <w:tcPr>
            <w:tcW w:w="1460" w:type="dxa"/>
            <w:vAlign w:val="bottom"/>
            <w:tcBorders>
              <w:top w:val="single" w:sz="8" w:color="CCEEFF"/>
            </w:tcBorders>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color w:val="auto"/>
              </w:rPr>
              <w:t>F-8 – F-9</w:t>
            </w:r>
          </w:p>
        </w:tc>
      </w:tr>
      <w:tr>
        <w:trPr>
          <w:trHeight w:val="159"/>
        </w:trPr>
        <w:tc>
          <w:tcPr>
            <w:tcW w:w="430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2"/>
                <w:szCs w:val="12"/>
                <w:color w:val="0000FF"/>
              </w:rPr>
              <w:t>Notes to Consolidated Financial Statements</w:t>
            </w:r>
          </w:p>
        </w:tc>
        <w:tc>
          <w:tcPr>
            <w:tcW w:w="5540" w:type="dxa"/>
            <w:vAlign w:val="bottom"/>
            <w:gridSpan w:val="3"/>
            <w:shd w:val="clear" w:color="auto" w:fill="CCEEFF"/>
          </w:tcPr>
          <w:p>
            <w:pPr>
              <w:spacing w:after="0"/>
              <w:rPr>
                <w:sz w:val="13"/>
                <w:szCs w:val="13"/>
                <w:color w:val="auto"/>
              </w:rPr>
            </w:pP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6"/>
              </w:rPr>
              <w:t>F-10</w:t>
            </w:r>
          </w:p>
        </w:tc>
      </w:tr>
      <w:tr>
        <w:trPr>
          <w:trHeight w:val="612"/>
        </w:trPr>
        <w:tc>
          <w:tcPr>
            <w:tcW w:w="84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tcPr>
          <w:p>
            <w:pPr>
              <w:jc w:val="center"/>
              <w:ind w:right="3980"/>
              <w:spacing w:after="0"/>
              <w:rPr>
                <w:sz w:val="20"/>
                <w:szCs w:val="20"/>
                <w:color w:val="auto"/>
              </w:rPr>
            </w:pPr>
            <w:r>
              <w:rPr>
                <w:rFonts w:ascii="Times New Roman" w:cs="Times New Roman" w:eastAsia="Times New Roman" w:hAnsi="Times New Roman"/>
                <w:sz w:val="12"/>
                <w:szCs w:val="12"/>
                <w:color w:val="auto"/>
                <w:w w:val="95"/>
              </w:rPr>
              <w:t>F-1</w:t>
            </w:r>
          </w:p>
        </w:tc>
        <w:tc>
          <w:tcPr>
            <w:tcW w:w="13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63"/>
        </w:trPr>
        <w:tc>
          <w:tcPr>
            <w:tcW w:w="84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4360" w:type="dxa"/>
            <w:vAlign w:val="bottom"/>
            <w:tcBorders>
              <w:bottom w:val="single" w:sz="8" w:color="9A9A9A"/>
            </w:tcBorders>
          </w:tcPr>
          <w:p>
            <w:pPr>
              <w:spacing w:after="0"/>
              <w:rPr>
                <w:sz w:val="5"/>
                <w:szCs w:val="5"/>
                <w:color w:val="auto"/>
              </w:rPr>
            </w:pPr>
          </w:p>
        </w:tc>
        <w:tc>
          <w:tcPr>
            <w:tcW w:w="13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Board of Directors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Kingstone Companies,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 of Kingstone Companies, Inc. (the “Company”) as of December 31, 2025, the related consolidated statements of income and comprehensive income, stockholders’ equity and cash flows for the year ended December 31, 2025, and the related notes (collectively referred to as the “financial statements”).</w:t>
      </w:r>
    </w:p>
    <w:p>
      <w:pPr>
        <w:spacing w:after="0" w:line="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2"/>
          <w:szCs w:val="12"/>
          <w:color w:val="auto"/>
        </w:rPr>
        <w:t>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41" w:lineRule="exact"/>
        <w:rPr>
          <w:sz w:val="20"/>
          <w:szCs w:val="20"/>
          <w:color w:val="auto"/>
        </w:rPr>
      </w:pPr>
    </w:p>
    <w:p>
      <w:pPr>
        <w:jc w:val="both"/>
        <w:ind w:right="100"/>
        <w:spacing w:after="0" w:line="241" w:lineRule="auto"/>
        <w:rPr>
          <w:sz w:val="20"/>
          <w:szCs w:val="20"/>
          <w:color w:val="auto"/>
        </w:rPr>
      </w:pPr>
      <w:r>
        <w:rPr>
          <w:rFonts w:ascii="Times New Roman" w:cs="Times New Roman" w:eastAsia="Times New Roman" w:hAnsi="Times New Roman"/>
          <w:sz w:val="12"/>
          <w:szCs w:val="12"/>
          <w:color w:val="auto"/>
        </w:rPr>
        <w:t>We also have audited, in accordance with the standards of the Public Company Accounting Oversight Board (United States) ("PCAOB"), the Company's internal control over financial reporting as of December 31, 2025, based on the criteria established in internal control - integrated framework issued by the committee of sponsoring organizations of the treadway commission (“COSO”) in 2013 and our report dated March 16, 2026</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expressed an adverse opinion on the effectiveness of the Company’s internal control over financial reporting because of the existence of a material weakness.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2"/>
          <w:szCs w:val="12"/>
          <w:color w:val="auto"/>
        </w:rPr>
        <w:t xml:space="preserv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Audit Matter</w:t>
      </w:r>
    </w:p>
    <w:p>
      <w:pPr>
        <w:spacing w:after="0" w:line="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2"/>
          <w:szCs w:val="12"/>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Evaluation of the Estimate of Loss and Loss Adjustment Expense (“LAE”) Reserves</w:t>
      </w:r>
    </w:p>
    <w:p>
      <w:pPr>
        <w:spacing w:after="0" w:line="1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As discussed in Notes 2 and 11 to the financial statements, the loss and LAE reserves represent the Company’s estimate of the ultimate liability for unpaid losses. These reserves are based on facts and circumstances then known and include provisions for claims that have been reported and claims that have been incurred but not reported (“IBNR”). The projection of future claim payments and reporting is based on analyses of the Company’s historical experience, supplemented by analyses of industry loss data. At December 31, 2025, the Company’s loss and LAE reserves balance was approximately $140.5 million. The principal considerations that led us to conclude the estimate of loss and LAE reserves was a critical audit matter include the significance of the reserves to the Company’s financial statements, the inherent judgment necessary to estimate the reserves, and the degree of variability involved in determining the estimate. Therefore, we determined that the liability for loss and LAE reserves was a critical audit matter, which required significant auditor judgment and specialized skill and knowledge including the involvement of actuarial specialists.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the Critical Audit Matter Was Addressed in the Audit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primary procedures we performed to address the Company’s loss and LAE reserves included, but were not limited to, testing the Company’s reserving process, including the actuarial analyses and the determination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Company’s estimate of the loss and LAE reserves as follows:</w:t>
      </w:r>
    </w:p>
    <w:p>
      <w:pPr>
        <w:spacing w:after="0" w:line="147" w:lineRule="exact"/>
        <w:rPr>
          <w:sz w:val="20"/>
          <w:szCs w:val="20"/>
          <w:color w:val="auto"/>
        </w:rPr>
      </w:pPr>
    </w:p>
    <w:p>
      <w:pPr>
        <w:ind w:left="420" w:hanging="212"/>
        <w:spacing w:after="0" w:line="264" w:lineRule="auto"/>
        <w:tabs>
          <w:tab w:leader="none" w:pos="41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Utilizing consulting actuarial professionals with specialized skills and knowledge to analyze the appropriateness of the methodologies and assumptions utilized by the Company to estimate reserves and to determine the reasonableness of the gross and net loss and LAE reserves recorded by the Company as of December 31, 2025.</w:t>
      </w:r>
    </w:p>
    <w:p>
      <w:pPr>
        <w:spacing w:after="0" w:line="128" w:lineRule="exact"/>
        <w:rPr>
          <w:rFonts w:ascii="Times New Roman" w:cs="Times New Roman" w:eastAsia="Times New Roman" w:hAnsi="Times New Roman"/>
          <w:sz w:val="12"/>
          <w:szCs w:val="12"/>
          <w:color w:val="auto"/>
        </w:rPr>
      </w:pPr>
    </w:p>
    <w:p>
      <w:pPr>
        <w:ind w:left="420" w:hanging="212"/>
        <w:spacing w:after="0" w:line="264" w:lineRule="auto"/>
        <w:tabs>
          <w:tab w:leader="none" w:pos="41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Analyzing the consistency of the Company’s recorded reserves relative to the actuarial central estimates of the reserve range determined by the Company’s independent actuarial firm at December 31, 2025 in comparison to December 31, 2024.</w:t>
      </w:r>
    </w:p>
    <w:p>
      <w:pPr>
        <w:spacing w:after="0" w:line="11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Performing hindsight analysis to determine the completeness and accuracy of reserves recorded in the prior year and performing analytical procedures on current year reserves.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Analyzing the 2025 quarterly actuarial reports prepared by the Company’s Chief Actuary.</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Testing a sample of claims, including the establishment of individual case reserves and the settlement and payment.</w:t>
      </w:r>
    </w:p>
    <w:p>
      <w:pPr>
        <w:spacing w:after="0" w:line="159" w:lineRule="exact"/>
        <w:rPr>
          <w:rFonts w:ascii="Times New Roman" w:cs="Times New Roman" w:eastAsia="Times New Roman" w:hAnsi="Times New Roman"/>
          <w:sz w:val="12"/>
          <w:szCs w:val="12"/>
          <w:color w:val="auto"/>
        </w:rPr>
      </w:pPr>
    </w:p>
    <w:p>
      <w:pPr>
        <w:ind w:left="420" w:hanging="212"/>
        <w:spacing w:after="0" w:line="264" w:lineRule="auto"/>
        <w:tabs>
          <w:tab w:leader="none" w:pos="417"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Verifying the accuracy and completeness of the underlying data, including historical claims data, provided to the independent actuarial firm engaged by the Company for the purpose of preparing the actuarial analysis at December 31, 2025.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CBIZ CPAs P.C.</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2012 (such date takes into account the acquisition of the attest business of Marcum LLP by CBIZ CPAs P.C. effective November 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CBIZ CPAs P.C.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Hartford, CT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16, 2026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PCAOB ID Number 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Board of Directors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Kingstone Companies,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 of Kingstone Companies, Inc. and subsidiaries (the “Company”) as of December 31, 2024, the related consolidated statements of income and comprehensive income, stockholders’ equity and cash flows for the year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Marcum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from 2012 through 2025</w:t>
      </w:r>
      <w:r>
        <w:rPr>
          <w:rFonts w:ascii="Times New Roman" w:cs="Times New Roman" w:eastAsia="Times New Roman" w:hAnsi="Times New Roman"/>
          <w:sz w:val="12"/>
          <w:szCs w:val="12"/>
          <w:b w:val="1"/>
          <w:bCs w:val="1"/>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Marcum LLP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Hartford, CT</w:t>
      </w:r>
    </w:p>
    <w:p>
      <w:pPr>
        <w:spacing w:after="0"/>
        <w:rPr>
          <w:sz w:val="20"/>
          <w:szCs w:val="20"/>
          <w:color w:val="auto"/>
        </w:rPr>
      </w:pPr>
      <w:r>
        <w:rPr>
          <w:rFonts w:ascii="Times New Roman" w:cs="Times New Roman" w:eastAsia="Times New Roman" w:hAnsi="Times New Roman"/>
          <w:sz w:val="12"/>
          <w:szCs w:val="12"/>
          <w:color w:val="auto"/>
        </w:rPr>
        <w:t>March 18,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PCAOB ID Number 688</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80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220"/>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426"/>
              <w:spacing w:after="0" w:line="12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1"/>
        </w:trPr>
        <w:tc>
          <w:tcPr>
            <w:tcW w:w="80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80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Fixed-maturity securities, held-to-maturity, at amortized cost (fair value of $5,137,267 at December 31, 2025 and $5,959,265 at December 31, 2024)</w:t>
            </w: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6,042,348</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7,047,342</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Fixed-maturity securities, available-for-sale, at fair value (amortized cost of $296,738,055 at December 31, 2025 and $202,308,158 at December 31, 2024)</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289,037,190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186,893,438</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Equity securities, at fair value (cost of $13,546,654 at December 31, 2025 and $13,527,554 at December 31, 2024)</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10,056,595</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10,296,505</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investments</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4,552,378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4,380,656</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8020" w:type="dxa"/>
            <w:vAlign w:val="bottom"/>
            <w:tcBorders>
              <w:bottom w:val="single" w:sz="8" w:color="CCEEFF"/>
            </w:tcBorders>
            <w:shd w:val="clear" w:color="auto" w:fill="CCEEFF"/>
          </w:tcPr>
          <w:p>
            <w:pPr>
              <w:ind w:left="240"/>
              <w:spacing w:after="0" w:line="121" w:lineRule="exact"/>
              <w:rPr>
                <w:sz w:val="20"/>
                <w:szCs w:val="20"/>
                <w:color w:val="auto"/>
              </w:rPr>
            </w:pPr>
            <w:r>
              <w:rPr>
                <w:rFonts w:ascii="Times New Roman" w:cs="Times New Roman" w:eastAsia="Times New Roman" w:hAnsi="Times New Roman"/>
                <w:sz w:val="11"/>
                <w:szCs w:val="11"/>
                <w:color w:val="auto"/>
              </w:rPr>
              <w:t>Total investments</w:t>
            </w:r>
          </w:p>
        </w:tc>
        <w:tc>
          <w:tcPr>
            <w:tcW w:w="28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309,688,511</w:t>
            </w: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208,617,941</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12,178,730</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28,669,441</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Premiums receivable, net of allowance for credit losses of $20,831 at December 31, 2025 and $402,290 at December 31, 2024</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21,012,408</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21,766,988</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Reinsurance receivables, net</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58,996,945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69,322,436</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Prepaid reinsurance</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2,142,329</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policy acquisition costs</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27,867,207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24,732,371</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Intangible assets</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7,897,675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9,283,970</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income taxes, net</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4,179,559</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5,597,920</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assets</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8,961,787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6,424,776</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02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453,425,151</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374,915,843</w:t>
            </w:r>
          </w:p>
        </w:tc>
        <w:tc>
          <w:tcPr>
            <w:tcW w:w="0" w:type="dxa"/>
            <w:vAlign w:val="bottom"/>
          </w:tcPr>
          <w:p>
            <w:pPr>
              <w:spacing w:after="0"/>
              <w:rPr>
                <w:sz w:val="1"/>
                <w:szCs w:val="1"/>
                <w:color w:val="auto"/>
              </w:rPr>
            </w:pPr>
          </w:p>
        </w:tc>
      </w:tr>
      <w:tr>
        <w:trPr>
          <w:trHeight w:val="154"/>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Loss and loss adjustment expense reserves</w:t>
            </w: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140,538,618</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126,210,428</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Unearned premiums</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154,028,072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134,701,733</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Advance premiums</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4,003,453</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3,503,063</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Reinsurance balances payable</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5,232,319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10,509,121</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ceding commission revenue</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8,362,529</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11,541,239</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11,253,649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10,570,388</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Income taxes payable</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2,835,135</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Debt, net (Current $1,296,900 and long-term $3,143,227 at December 31, 2025 and current $6,849,257 and long-term $4,322,163 at December 31, 2024)</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4,440,127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11,171,420</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802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330,693,902</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308,207,392</w:t>
            </w:r>
          </w:p>
        </w:tc>
        <w:tc>
          <w:tcPr>
            <w:tcW w:w="0" w:type="dxa"/>
            <w:vAlign w:val="bottom"/>
          </w:tcPr>
          <w:p>
            <w:pPr>
              <w:spacing w:after="0"/>
              <w:rPr>
                <w:sz w:val="1"/>
                <w:szCs w:val="1"/>
                <w:color w:val="auto"/>
              </w:rPr>
            </w:pPr>
          </w:p>
        </w:tc>
      </w:tr>
      <w:tr>
        <w:trPr>
          <w:trHeight w:val="132"/>
        </w:trPr>
        <w:tc>
          <w:tcPr>
            <w:tcW w:w="8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Commitments and Contingencies (Note 17)</w:t>
            </w: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Preferred stock, $0.01 par value; authorized 2,500,000 shares</w:t>
            </w:r>
          </w:p>
        </w:tc>
        <w:tc>
          <w:tcPr>
            <w:tcW w:w="280" w:type="dxa"/>
            <w:vAlign w:val="bottom"/>
          </w:tcPr>
          <w:p>
            <w:pPr>
              <w:spacing w:after="0"/>
              <w:rPr>
                <w:sz w:val="12"/>
                <w:szCs w:val="12"/>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02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1"/>
                <w:szCs w:val="11"/>
                <w:color w:val="auto"/>
                <w:w w:val="98"/>
              </w:rPr>
              <w:t>Common stock, $0.01 par value; authorized 20,000,000 shares; issued 15,921,651 shares at December 31, 2025 and 14,448,205 shares at December 31, 2024; outstanding 14,397,526</w:t>
            </w:r>
          </w:p>
        </w:tc>
        <w:tc>
          <w:tcPr>
            <w:tcW w:w="2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shares at December 31, 2025 and 12,924,080 shares at December 31, 2024</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159,216</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144,482</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Capital in excess of par</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99,624,713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89,063,326</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(6,081,530)</w:t>
            </w: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(12,175,476)</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Retained earnings (accumulated deficit)</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34,596,857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(4,755,874)</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80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128,299,256</w:t>
            </w: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72,276,458</w:t>
            </w:r>
          </w:p>
        </w:tc>
        <w:tc>
          <w:tcPr>
            <w:tcW w:w="0" w:type="dxa"/>
            <w:vAlign w:val="bottom"/>
          </w:tcPr>
          <w:p>
            <w:pPr>
              <w:spacing w:after="0"/>
              <w:rPr>
                <w:sz w:val="1"/>
                <w:szCs w:val="1"/>
                <w:color w:val="auto"/>
              </w:rPr>
            </w:pPr>
          </w:p>
        </w:tc>
      </w:tr>
      <w:tr>
        <w:trPr>
          <w:trHeight w:val="140"/>
        </w:trPr>
        <w:tc>
          <w:tcPr>
            <w:tcW w:w="8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Treasury stock, at cost, 1,524,125 shares at December 31, 2025 and 1,524,125 shares at December 31, 2024</w:t>
            </w: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(5,568,007)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(5,568,007)</w:t>
            </w:r>
          </w:p>
        </w:tc>
        <w:tc>
          <w:tcPr>
            <w:tcW w:w="0" w:type="dxa"/>
            <w:vAlign w:val="bottom"/>
          </w:tcPr>
          <w:p>
            <w:pPr>
              <w:spacing w:after="0"/>
              <w:rPr>
                <w:sz w:val="1"/>
                <w:szCs w:val="1"/>
                <w:color w:val="auto"/>
              </w:rPr>
            </w:pPr>
          </w:p>
        </w:tc>
      </w:tr>
      <w:tr>
        <w:trPr>
          <w:trHeight w:val="22"/>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802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122,731,249</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66,708,451</w:t>
            </w:r>
          </w:p>
        </w:tc>
        <w:tc>
          <w:tcPr>
            <w:tcW w:w="0" w:type="dxa"/>
            <w:vAlign w:val="bottom"/>
          </w:tcPr>
          <w:p>
            <w:pPr>
              <w:spacing w:after="0"/>
              <w:rPr>
                <w:sz w:val="1"/>
                <w:szCs w:val="1"/>
                <w:color w:val="auto"/>
              </w:rPr>
            </w:pPr>
          </w:p>
        </w:tc>
      </w:tr>
      <w:tr>
        <w:trPr>
          <w:trHeight w:val="129"/>
        </w:trPr>
        <w:tc>
          <w:tcPr>
            <w:tcW w:w="8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28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453,425,151</w:t>
            </w:r>
          </w:p>
        </w:tc>
        <w:tc>
          <w:tcPr>
            <w:tcW w:w="80" w:type="dxa"/>
            <w:vAlign w:val="bottom"/>
          </w:tcPr>
          <w:p>
            <w:pPr>
              <w:spacing w:after="0"/>
              <w:rPr>
                <w:sz w:val="11"/>
                <w:szCs w:val="11"/>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374,915,843</w:t>
            </w:r>
          </w:p>
        </w:tc>
        <w:tc>
          <w:tcPr>
            <w:tcW w:w="0" w:type="dxa"/>
            <w:vAlign w:val="bottom"/>
          </w:tcPr>
          <w:p>
            <w:pPr>
              <w:spacing w:after="0"/>
              <w:rPr>
                <w:sz w:val="1"/>
                <w:szCs w:val="1"/>
                <w:color w:val="auto"/>
              </w:rPr>
            </w:pPr>
          </w:p>
        </w:tc>
      </w:tr>
      <w:tr>
        <w:trPr>
          <w:trHeight w:val="22"/>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40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2"/>
          <w:szCs w:val="12"/>
          <w:b w:val="1"/>
          <w:bCs w:val="1"/>
          <w:color w:val="auto"/>
        </w:rPr>
        <w:t>Consolidated Statements of Income and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i w:val="1"/>
                <w:iCs w:val="1"/>
                <w:color w:val="auto"/>
              </w:rPr>
              <w:t>Years ended December 31,</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238"/>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premiums earned</w:t>
            </w: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187,126,722</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128,497,920</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Ceding commission revenue</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15,674,971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18,837,946</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investment income</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9,798,764</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6,823,590</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Net (losses) gains on investments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(309,994)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414,551</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Realized gain on sale of real estate</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1,965,989</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Other income</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610,849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568,096</w:t>
            </w: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1"/>
        </w:trPr>
        <w:tc>
          <w:tcPr>
            <w:tcW w:w="8020" w:type="dxa"/>
            <w:vAlign w:val="bottom"/>
            <w:tcBorders>
              <w:bottom w:val="single" w:sz="8" w:color="CCEEFF"/>
            </w:tcBorders>
            <w:gridSpan w:val="2"/>
            <w:shd w:val="clear" w:color="auto" w:fill="CCEEFF"/>
          </w:tcPr>
          <w:p>
            <w:pPr>
              <w:ind w:left="240"/>
              <w:spacing w:after="0" w:line="121" w:lineRule="exact"/>
              <w:rPr>
                <w:sz w:val="20"/>
                <w:szCs w:val="20"/>
                <w:color w:val="auto"/>
              </w:rPr>
            </w:pPr>
            <w:r>
              <w:rPr>
                <w:rFonts w:ascii="Times New Roman" w:cs="Times New Roman" w:eastAsia="Times New Roman" w:hAnsi="Times New Roman"/>
                <w:sz w:val="11"/>
                <w:szCs w:val="11"/>
                <w:color w:val="auto"/>
              </w:rPr>
              <w:t>Total revenues</w:t>
            </w: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214,867,301</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155,142,103</w:t>
            </w:r>
          </w:p>
        </w:tc>
      </w:tr>
      <w:tr>
        <w:trPr>
          <w:trHeight w:val="52"/>
        </w:trPr>
        <w:tc>
          <w:tcPr>
            <w:tcW w:w="79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r>
      <w:tr>
        <w:trPr>
          <w:trHeight w:val="162"/>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Loss and loss adjustment expenses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84,265,722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62,634,716</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Commission expense</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40,726,801</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33,929,333</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Other underwriting expenses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31,718,770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25,692,727</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4,105,310</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3,634,583</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2,559,835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2,448,932</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expense</w:t>
            </w: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445,213</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3,513,655</w:t>
            </w:r>
          </w:p>
        </w:tc>
      </w:tr>
      <w:tr>
        <w:trPr>
          <w:trHeight w:val="129"/>
        </w:trPr>
        <w:tc>
          <w:tcPr>
            <w:tcW w:w="8020" w:type="dxa"/>
            <w:vAlign w:val="bottom"/>
            <w:gridSpan w:val="2"/>
          </w:tcPr>
          <w:p>
            <w:pPr>
              <w:ind w:left="240"/>
              <w:spacing w:after="0" w:line="121" w:lineRule="exact"/>
              <w:rPr>
                <w:sz w:val="20"/>
                <w:szCs w:val="20"/>
                <w:color w:val="auto"/>
              </w:rPr>
            </w:pPr>
            <w:r>
              <w:rPr>
                <w:rFonts w:ascii="Times New Roman" w:cs="Times New Roman" w:eastAsia="Times New Roman" w:hAnsi="Times New Roman"/>
                <w:sz w:val="11"/>
                <w:szCs w:val="11"/>
                <w:color w:val="auto"/>
              </w:rPr>
              <w:t>Total expenses</w:t>
            </w: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163,821,651</w:t>
            </w: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131,853,946</w:t>
            </w:r>
          </w:p>
        </w:tc>
      </w:tr>
      <w:tr>
        <w:trPr>
          <w:trHeight w:val="79"/>
        </w:trPr>
        <w:tc>
          <w:tcPr>
            <w:tcW w:w="79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140"/>
        </w:trPr>
        <w:tc>
          <w:tcPr>
            <w:tcW w:w="8020" w:type="dxa"/>
            <w:vAlign w:val="bottom"/>
            <w:tcBorders>
              <w:top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Income from operations before taxes</w:t>
            </w:r>
          </w:p>
        </w:tc>
        <w:tc>
          <w:tcPr>
            <w:tcW w:w="38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51,045,650</w:t>
            </w: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23,288,157</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Income tax expense</w:t>
            </w: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10,278,522</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4,929,721</w:t>
            </w:r>
          </w:p>
        </w:tc>
      </w:tr>
      <w:tr>
        <w:trPr>
          <w:trHeight w:val="129"/>
        </w:trPr>
        <w:tc>
          <w:tcPr>
            <w:tcW w:w="8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40,767,128</w:t>
            </w: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18,358,436</w:t>
            </w: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1"/>
        </w:trPr>
        <w:tc>
          <w:tcPr>
            <w:tcW w:w="8020" w:type="dxa"/>
            <w:vAlign w:val="bottom"/>
            <w:tcBorders>
              <w:bottom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Other comprehensive income, net of tax</w:t>
            </w: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r>
      <w:tr>
        <w:trPr>
          <w:trHeight w:val="14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Gross decrease in unrealized losses on available-for-sale-securities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7,491,149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111,446</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2"/>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Reclassification adjustment for losses included in net income</w:t>
            </w: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222,706</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13,979</w:t>
            </w:r>
          </w:p>
        </w:tc>
      </w:tr>
      <w:tr>
        <w:trPr>
          <w:trHeight w:val="129"/>
        </w:trPr>
        <w:tc>
          <w:tcPr>
            <w:tcW w:w="8020" w:type="dxa"/>
            <w:vAlign w:val="bottom"/>
            <w:gridSpan w:val="2"/>
          </w:tcPr>
          <w:p>
            <w:pPr>
              <w:ind w:left="360"/>
              <w:spacing w:after="0" w:line="121" w:lineRule="exact"/>
              <w:rPr>
                <w:sz w:val="20"/>
                <w:szCs w:val="20"/>
                <w:color w:val="auto"/>
              </w:rPr>
            </w:pPr>
            <w:r>
              <w:rPr>
                <w:rFonts w:ascii="Times New Roman" w:cs="Times New Roman" w:eastAsia="Times New Roman" w:hAnsi="Times New Roman"/>
                <w:sz w:val="11"/>
                <w:szCs w:val="11"/>
                <w:color w:val="auto"/>
              </w:rPr>
              <w:t>Net decrease in unrealized losses</w:t>
            </w: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7,713,855</w:t>
            </w: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125,425</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2"/>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Income tax expense related to items of other comprehensive income</w:t>
            </w: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(1,619,909)</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(26,338)</w:t>
            </w:r>
          </w:p>
        </w:tc>
      </w:tr>
      <w:tr>
        <w:trPr>
          <w:trHeight w:val="129"/>
        </w:trPr>
        <w:tc>
          <w:tcPr>
            <w:tcW w:w="8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Other comprehensive income, net of tax</w:t>
            </w: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6,093,946</w:t>
            </w: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99,087</w:t>
            </w: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8"/>
        </w:trPr>
        <w:tc>
          <w:tcPr>
            <w:tcW w:w="7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180"/>
        </w:trPr>
        <w:tc>
          <w:tcPr>
            <w:tcW w:w="8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3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46,861,074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18,457,523</w:t>
            </w:r>
          </w:p>
        </w:tc>
      </w:tr>
      <w:tr>
        <w:trPr>
          <w:trHeight w:val="88"/>
        </w:trPr>
        <w:tc>
          <w:tcPr>
            <w:tcW w:w="79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152"/>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Earnings per common share:</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97"/>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Basic</w:t>
            </w: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r>
      <w:tr>
        <w:trPr>
          <w:trHeight w:val="136"/>
        </w:trPr>
        <w:tc>
          <w:tcPr>
            <w:tcW w:w="8020" w:type="dxa"/>
            <w:vAlign w:val="bottom"/>
            <w:tcBorders>
              <w:top w:val="single" w:sz="8" w:color="CCEEFF"/>
            </w:tcBorders>
            <w:gridSpan w:val="2"/>
          </w:tcPr>
          <w:p>
            <w:pPr>
              <w:ind w:left="120"/>
              <w:spacing w:after="0" w:line="121" w:lineRule="exact"/>
              <w:rPr>
                <w:sz w:val="20"/>
                <w:szCs w:val="20"/>
                <w:color w:val="auto"/>
              </w:rPr>
            </w:pPr>
            <w:r>
              <w:rPr>
                <w:rFonts w:ascii="Times New Roman" w:cs="Times New Roman" w:eastAsia="Times New Roman" w:hAnsi="Times New Roman"/>
                <w:sz w:val="11"/>
                <w:szCs w:val="11"/>
                <w:color w:val="auto"/>
              </w:rPr>
              <w:t>Diluted</w:t>
            </w:r>
          </w:p>
        </w:tc>
        <w:tc>
          <w:tcPr>
            <w:tcW w:w="380" w:type="dxa"/>
            <w:vAlign w:val="bottom"/>
            <w:tcBorders>
              <w:top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8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2"/>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Weighted average common shares outstanding</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Basic</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13,926,024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11,478,899</w:t>
            </w:r>
          </w:p>
        </w:tc>
      </w:tr>
      <w:tr>
        <w:trPr>
          <w:trHeight w:val="38"/>
        </w:trPr>
        <w:tc>
          <w:tcPr>
            <w:tcW w:w="7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3"/>
        </w:trPr>
        <w:tc>
          <w:tcPr>
            <w:tcW w:w="8020" w:type="dxa"/>
            <w:vAlign w:val="bottom"/>
            <w:tcBorders>
              <w:bottom w:val="single" w:sz="8" w:color="CCEEFF"/>
            </w:tcBorders>
            <w:gridSpan w:val="2"/>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Diluted</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14,143,173</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12,423,769</w:t>
            </w:r>
          </w:p>
        </w:tc>
      </w:tr>
      <w:tr>
        <w:trPr>
          <w:trHeight w:val="88"/>
        </w:trPr>
        <w:tc>
          <w:tcPr>
            <w:tcW w:w="7940" w:type="dxa"/>
            <w:vAlign w:val="bottom"/>
            <w:tcBorders>
              <w:top w:val="single" w:sz="8" w:color="CCEEFF"/>
              <w:bottom w:val="single" w:sz="8" w:color="CCEEFF"/>
            </w:tcBorders>
          </w:tcPr>
          <w:p>
            <w:pPr>
              <w:spacing w:after="0"/>
              <w:rPr>
                <w:sz w:val="7"/>
                <w:szCs w:val="7"/>
                <w:color w:val="auto"/>
              </w:rPr>
            </w:pPr>
          </w:p>
        </w:tc>
        <w:tc>
          <w:tcPr>
            <w:tcW w:w="80" w:type="dxa"/>
            <w:vAlign w:val="bottom"/>
            <w:tcBorders>
              <w:top w:val="single" w:sz="8" w:color="CCEEFF"/>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spacing w:after="0"/>
              <w:rPr>
                <w:sz w:val="7"/>
                <w:szCs w:val="7"/>
                <w:color w:val="auto"/>
              </w:rPr>
            </w:pPr>
          </w:p>
        </w:tc>
        <w:tc>
          <w:tcPr>
            <w:tcW w:w="12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CCEEFF"/>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spacing w:after="0"/>
              <w:rPr>
                <w:sz w:val="7"/>
                <w:szCs w:val="7"/>
                <w:color w:val="auto"/>
              </w:rPr>
            </w:pPr>
          </w:p>
        </w:tc>
        <w:tc>
          <w:tcPr>
            <w:tcW w:w="1220" w:type="dxa"/>
            <w:vAlign w:val="bottom"/>
            <w:tcBorders>
              <w:top w:val="single" w:sz="8" w:color="auto"/>
              <w:bottom w:val="single" w:sz="8" w:color="auto"/>
            </w:tcBorders>
          </w:tcPr>
          <w:p>
            <w:pPr>
              <w:spacing w:after="0"/>
              <w:rPr>
                <w:sz w:val="7"/>
                <w:szCs w:val="7"/>
                <w:color w:val="auto"/>
              </w:rPr>
            </w:pPr>
          </w:p>
        </w:tc>
      </w:tr>
      <w:tr>
        <w:trPr>
          <w:trHeight w:val="142"/>
        </w:trPr>
        <w:tc>
          <w:tcPr>
            <w:tcW w:w="8020" w:type="dxa"/>
            <w:vAlign w:val="bottom"/>
            <w:tcBorders>
              <w:bottom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Dividends declared and paid per common share</w:t>
            </w: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36"/>
        </w:trPr>
        <w:tc>
          <w:tcPr>
            <w:tcW w:w="7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220" w:type="dxa"/>
            <w:vAlign w:val="bottom"/>
            <w:shd w:val="clear" w:color="auto" w:fill="000000"/>
          </w:tcPr>
          <w:p>
            <w:pPr>
              <w:spacing w:after="0"/>
              <w:rPr>
                <w:sz w:val="3"/>
                <w:szCs w:val="3"/>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i w:val="1"/>
          <w:iCs w:val="1"/>
          <w:color w:val="auto"/>
        </w:rPr>
        <w:t>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color w:val="auto"/>
                <w:w w:val="93"/>
              </w:rPr>
              <w:t>Accumulated</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1420" w:type="dxa"/>
            <w:vAlign w:val="bottom"/>
            <w:gridSpan w:val="4"/>
            <w:vMerge w:val="restart"/>
          </w:tcPr>
          <w:p>
            <w:pPr>
              <w:jc w:val="right"/>
              <w:ind w:right="272"/>
              <w:spacing w:after="0"/>
              <w:rPr>
                <w:sz w:val="20"/>
                <w:szCs w:val="20"/>
                <w:color w:val="auto"/>
              </w:rPr>
            </w:pPr>
            <w:r>
              <w:rPr>
                <w:rFonts w:ascii="Times New Roman" w:cs="Times New Roman" w:eastAsia="Times New Roman" w:hAnsi="Times New Roman"/>
                <w:sz w:val="10"/>
                <w:szCs w:val="10"/>
                <w:color w:val="auto"/>
              </w:rPr>
              <w:t>Preferred Stock</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jc w:val="right"/>
              <w:ind w:right="452"/>
              <w:spacing w:after="0"/>
              <w:rPr>
                <w:sz w:val="20"/>
                <w:szCs w:val="20"/>
                <w:color w:val="auto"/>
              </w:rPr>
            </w:pPr>
            <w:r>
              <w:rPr>
                <w:rFonts w:ascii="Times New Roman" w:cs="Times New Roman" w:eastAsia="Times New Roman" w:hAnsi="Times New Roman"/>
                <w:sz w:val="10"/>
                <w:szCs w:val="10"/>
                <w:color w:val="auto"/>
              </w:rPr>
              <w:t>Common Stock</w:t>
            </w:r>
          </w:p>
        </w:tc>
        <w:tc>
          <w:tcPr>
            <w:tcW w:w="6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color w:val="auto"/>
                <w:w w:val="96"/>
              </w:rPr>
              <w:t>Capital</w:t>
            </w:r>
          </w:p>
        </w:tc>
        <w:tc>
          <w:tcPr>
            <w:tcW w:w="12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0"/>
                <w:szCs w:val="10"/>
                <w:color w:val="auto"/>
                <w:w w:val="96"/>
              </w:rPr>
              <w:t>Other</w:t>
            </w: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0"/>
                <w:szCs w:val="10"/>
                <w:color w:val="auto"/>
                <w:w w:val="95"/>
              </w:rPr>
              <w:t>(Accumulated</w:t>
            </w:r>
          </w:p>
        </w:tc>
        <w:tc>
          <w:tcPr>
            <w:tcW w:w="162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0"/>
                <w:szCs w:val="10"/>
                <w:color w:val="auto"/>
              </w:rPr>
              <w:t>Treasury Stock</w:t>
            </w:r>
          </w:p>
        </w:tc>
        <w:tc>
          <w:tcPr>
            <w:tcW w:w="6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540" w:type="dxa"/>
            <w:vAlign w:val="bottom"/>
          </w:tcPr>
          <w:p>
            <w:pPr>
              <w:spacing w:after="0"/>
              <w:rPr>
                <w:sz w:val="9"/>
                <w:szCs w:val="9"/>
                <w:color w:val="auto"/>
              </w:rPr>
            </w:pPr>
          </w:p>
        </w:tc>
        <w:tc>
          <w:tcPr>
            <w:tcW w:w="142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200"/>
              <w:spacing w:after="0" w:line="85" w:lineRule="exact"/>
              <w:rPr>
                <w:sz w:val="20"/>
                <w:szCs w:val="20"/>
                <w:color w:val="auto"/>
              </w:rPr>
            </w:pPr>
            <w:r>
              <w:rPr>
                <w:rFonts w:ascii="Times New Roman" w:cs="Times New Roman" w:eastAsia="Times New Roman" w:hAnsi="Times New Roman"/>
                <w:sz w:val="8"/>
                <w:szCs w:val="8"/>
                <w:color w:val="auto"/>
              </w:rPr>
              <w:t>in Excess</w:t>
            </w:r>
          </w:p>
        </w:tc>
        <w:tc>
          <w:tcPr>
            <w:tcW w:w="120" w:type="dxa"/>
            <w:vAlign w:val="bottom"/>
          </w:tcPr>
          <w:p>
            <w:pPr>
              <w:spacing w:after="0"/>
              <w:rPr>
                <w:sz w:val="9"/>
                <w:szCs w:val="9"/>
                <w:color w:val="auto"/>
              </w:rPr>
            </w:pPr>
          </w:p>
        </w:tc>
        <w:tc>
          <w:tcPr>
            <w:tcW w:w="900" w:type="dxa"/>
            <w:vAlign w:val="bottom"/>
            <w:gridSpan w:val="2"/>
          </w:tcPr>
          <w:p>
            <w:pPr>
              <w:jc w:val="center"/>
              <w:ind w:right="180"/>
              <w:spacing w:after="0" w:line="85" w:lineRule="exact"/>
              <w:rPr>
                <w:sz w:val="20"/>
                <w:szCs w:val="20"/>
                <w:color w:val="auto"/>
              </w:rPr>
            </w:pPr>
            <w:r>
              <w:rPr>
                <w:rFonts w:ascii="Times New Roman" w:cs="Times New Roman" w:eastAsia="Times New Roman" w:hAnsi="Times New Roman"/>
                <w:sz w:val="8"/>
                <w:szCs w:val="8"/>
                <w:color w:val="auto"/>
              </w:rPr>
              <w:t>Comprehensive</w:t>
            </w:r>
          </w:p>
        </w:tc>
        <w:tc>
          <w:tcPr>
            <w:tcW w:w="100" w:type="dxa"/>
            <w:vAlign w:val="bottom"/>
          </w:tcPr>
          <w:p>
            <w:pPr>
              <w:spacing w:after="0"/>
              <w:rPr>
                <w:sz w:val="9"/>
                <w:szCs w:val="9"/>
                <w:color w:val="auto"/>
              </w:rPr>
            </w:pPr>
          </w:p>
        </w:tc>
        <w:tc>
          <w:tcPr>
            <w:tcW w:w="880" w:type="dxa"/>
            <w:vAlign w:val="bottom"/>
            <w:gridSpan w:val="2"/>
          </w:tcPr>
          <w:p>
            <w:pPr>
              <w:jc w:val="center"/>
              <w:ind w:right="140"/>
              <w:spacing w:after="0" w:line="85" w:lineRule="exact"/>
              <w:rPr>
                <w:sz w:val="20"/>
                <w:szCs w:val="20"/>
                <w:color w:val="auto"/>
              </w:rPr>
            </w:pPr>
            <w:r>
              <w:rPr>
                <w:rFonts w:ascii="Times New Roman" w:cs="Times New Roman" w:eastAsia="Times New Roman" w:hAnsi="Times New Roman"/>
                <w:sz w:val="8"/>
                <w:szCs w:val="8"/>
                <w:color w:val="auto"/>
              </w:rPr>
              <w:t>Deficit) Retained</w:t>
            </w:r>
          </w:p>
        </w:tc>
        <w:tc>
          <w:tcPr>
            <w:tcW w:w="16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54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color w:val="auto"/>
              </w:rPr>
              <w:t>Shares</w:t>
            </w: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Amount</w:t>
            </w: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color w:val="auto"/>
              </w:rPr>
              <w:t>Shares</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rPr>
              <w:t>Amount</w:t>
            </w: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color w:val="auto"/>
                <w:w w:val="99"/>
              </w:rPr>
              <w:t>of Par</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52"/>
              <w:spacing w:after="0" w:line="107" w:lineRule="exact"/>
              <w:rPr>
                <w:sz w:val="20"/>
                <w:szCs w:val="20"/>
                <w:color w:val="auto"/>
              </w:rPr>
            </w:pPr>
            <w:r>
              <w:rPr>
                <w:rFonts w:ascii="Times New Roman" w:cs="Times New Roman" w:eastAsia="Times New Roman" w:hAnsi="Times New Roman"/>
                <w:sz w:val="10"/>
                <w:szCs w:val="10"/>
                <w:color w:val="auto"/>
                <w:w w:val="95"/>
              </w:rPr>
              <w:t>Loss</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5"/>
              </w:rPr>
              <w:t>Earnings</w:t>
            </w:r>
          </w:p>
        </w:tc>
        <w:tc>
          <w:tcPr>
            <w:tcW w:w="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0"/>
                <w:szCs w:val="10"/>
                <w:color w:val="auto"/>
              </w:rPr>
              <w:t>Shares</w:t>
            </w: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0"/>
                <w:szCs w:val="10"/>
                <w:color w:val="auto"/>
              </w:rPr>
              <w:t>Amount</w:t>
            </w: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January 1, 2024</w:t>
            </w:r>
          </w:p>
        </w:tc>
        <w:tc>
          <w:tcPr>
            <w:tcW w:w="5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12,248,313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122,483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75,338,010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(12,274,563)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(23,114,310)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1,471,406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(5,567,481)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34,504,139</w:t>
            </w: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1,382,912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1,382,912</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Vesting of restricted stock awards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518,405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312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Shares deducted from restricted stock awards for payment of</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withholding taxes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(132,210)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(1,309,320)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(1,310,641)</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71,997</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63,516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52,719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63,711</w:t>
            </w:r>
          </w:p>
        </w:tc>
        <w:tc>
          <w:tcPr>
            <w:tcW w:w="0" w:type="dxa"/>
            <w:vAlign w:val="bottom"/>
          </w:tcPr>
          <w:p>
            <w:pPr>
              <w:spacing w:after="0"/>
              <w:rPr>
                <w:sz w:val="1"/>
                <w:szCs w:val="1"/>
                <w:color w:val="auto"/>
              </w:rPr>
            </w:pPr>
          </w:p>
        </w:tc>
      </w:tr>
      <w:tr>
        <w:trPr>
          <w:trHeight w:val="136"/>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Issuance of common stock, net of offering costs of $427,179</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1,437,287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14,370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13,596,437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13,610,807</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warrants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304,413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18,358,436</w:t>
            </w:r>
          </w:p>
        </w:tc>
        <w:tc>
          <w:tcPr>
            <w:tcW w:w="6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18,358,436</w:t>
            </w:r>
          </w:p>
        </w:tc>
        <w:tc>
          <w:tcPr>
            <w:tcW w:w="0" w:type="dxa"/>
            <w:vAlign w:val="bottom"/>
          </w:tcPr>
          <w:p>
            <w:pPr>
              <w:spacing w:after="0"/>
              <w:rPr>
                <w:sz w:val="1"/>
                <w:szCs w:val="1"/>
                <w:color w:val="auto"/>
              </w:rPr>
            </w:pPr>
          </w:p>
        </w:tc>
      </w:tr>
      <w:tr>
        <w:trPr>
          <w:trHeight w:val="152"/>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Decrease in unrealized losses on available-</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for-sale securities, net of tax</w:t>
            </w: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99,087</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99,087</w:t>
            </w:r>
          </w:p>
        </w:tc>
        <w:tc>
          <w:tcPr>
            <w:tcW w:w="0" w:type="dxa"/>
            <w:vAlign w:val="bottom"/>
          </w:tcPr>
          <w:p>
            <w:pPr>
              <w:spacing w:after="0"/>
              <w:rPr>
                <w:sz w:val="1"/>
                <w:szCs w:val="1"/>
                <w:color w:val="auto"/>
              </w:rPr>
            </w:pPr>
          </w:p>
        </w:tc>
      </w:tr>
      <w:tr>
        <w:trPr>
          <w:trHeight w:val="142"/>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December 31, 2024</w:t>
            </w:r>
          </w:p>
        </w:tc>
        <w:tc>
          <w:tcPr>
            <w:tcW w:w="5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14,448,205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144,482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89,063,326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(12,175,476)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(4,755,874)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1,524,125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(5,568,007)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66,708,451</w:t>
            </w:r>
          </w:p>
        </w:tc>
        <w:tc>
          <w:tcPr>
            <w:tcW w:w="0" w:type="dxa"/>
            <w:vAlign w:val="bottom"/>
          </w:tcPr>
          <w:p>
            <w:pPr>
              <w:spacing w:after="0"/>
              <w:rPr>
                <w:sz w:val="1"/>
                <w:szCs w:val="1"/>
                <w:color w:val="auto"/>
              </w:rPr>
            </w:pPr>
          </w:p>
        </w:tc>
      </w:tr>
      <w:tr>
        <w:trPr>
          <w:trHeight w:val="136"/>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1,482,357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1,482,357</w:t>
            </w:r>
          </w:p>
        </w:tc>
        <w:tc>
          <w:tcPr>
            <w:tcW w:w="0" w:type="dxa"/>
            <w:vAlign w:val="bottom"/>
          </w:tcPr>
          <w:p>
            <w:pPr>
              <w:spacing w:after="0"/>
              <w:rPr>
                <w:sz w:val="1"/>
                <w:szCs w:val="1"/>
                <w:color w:val="auto"/>
              </w:rPr>
            </w:pPr>
          </w:p>
        </w:tc>
      </w:tr>
      <w:tr>
        <w:trPr>
          <w:trHeight w:val="152"/>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Vesting of restricted stock awards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231,613</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12"/>
        </w:trPr>
        <w:tc>
          <w:tcPr>
            <w:tcW w:w="312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0"/>
                <w:szCs w:val="10"/>
                <w:color w:val="auto"/>
              </w:rPr>
              <w:t>Shares deducted from restricted stock awards for payment of</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withholding taxes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(36,902)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(561,845)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(562,214)</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stock options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51,487</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62,199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62,714</w:t>
            </w:r>
          </w:p>
        </w:tc>
        <w:tc>
          <w:tcPr>
            <w:tcW w:w="0" w:type="dxa"/>
            <w:vAlign w:val="bottom"/>
          </w:tcPr>
          <w:p>
            <w:pPr>
              <w:spacing w:after="0"/>
              <w:rPr>
                <w:sz w:val="1"/>
                <w:szCs w:val="1"/>
                <w:color w:val="auto"/>
              </w:rPr>
            </w:pPr>
          </w:p>
        </w:tc>
      </w:tr>
      <w:tr>
        <w:trPr>
          <w:trHeight w:val="112"/>
        </w:trPr>
        <w:tc>
          <w:tcPr>
            <w:tcW w:w="312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Shares deducted from exercise of stock options for payment of</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withholding taxes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(14,296)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(14,305)</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Issuance of common stock - employee stock purchase plan</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10,729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137,009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137,116</w:t>
            </w:r>
          </w:p>
        </w:tc>
        <w:tc>
          <w:tcPr>
            <w:tcW w:w="0" w:type="dxa"/>
            <w:vAlign w:val="bottom"/>
          </w:tcPr>
          <w:p>
            <w:pPr>
              <w:spacing w:after="0"/>
              <w:rPr>
                <w:sz w:val="1"/>
                <w:szCs w:val="1"/>
                <w:color w:val="auto"/>
              </w:rPr>
            </w:pPr>
          </w:p>
        </w:tc>
      </w:tr>
      <w:tr>
        <w:trPr>
          <w:trHeight w:val="135"/>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Issuance of common stock, net of offering costs of $338,063</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612,999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6,130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9,464,323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9,470,453</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Exercise of warrants</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604,388</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6,044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(6,044)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Dividends</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(1,414,397)</w:t>
            </w:r>
          </w:p>
        </w:tc>
        <w:tc>
          <w:tcPr>
            <w:tcW w:w="6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(1,414,397)</w:t>
            </w:r>
          </w:p>
        </w:tc>
        <w:tc>
          <w:tcPr>
            <w:tcW w:w="0" w:type="dxa"/>
            <w:vAlign w:val="bottom"/>
          </w:tcPr>
          <w:p>
            <w:pPr>
              <w:spacing w:after="0"/>
              <w:rPr>
                <w:sz w:val="1"/>
                <w:szCs w:val="1"/>
                <w:color w:val="auto"/>
              </w:rPr>
            </w:pPr>
          </w:p>
        </w:tc>
      </w:tr>
      <w:tr>
        <w:trPr>
          <w:trHeight w:val="15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40,767,128</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40,767,128</w:t>
            </w:r>
          </w:p>
        </w:tc>
        <w:tc>
          <w:tcPr>
            <w:tcW w:w="0" w:type="dxa"/>
            <w:vAlign w:val="bottom"/>
          </w:tcPr>
          <w:p>
            <w:pPr>
              <w:spacing w:after="0"/>
              <w:rPr>
                <w:sz w:val="1"/>
                <w:szCs w:val="1"/>
                <w:color w:val="auto"/>
              </w:rPr>
            </w:pPr>
          </w:p>
        </w:tc>
      </w:tr>
      <w:tr>
        <w:trPr>
          <w:trHeight w:val="136"/>
        </w:trPr>
        <w:tc>
          <w:tcPr>
            <w:tcW w:w="31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Decrease in unrealized losses on available-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for-sale securities, net of tax</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6,093,946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6,093,946</w:t>
            </w:r>
          </w:p>
        </w:tc>
        <w:tc>
          <w:tcPr>
            <w:tcW w:w="0" w:type="dxa"/>
            <w:vAlign w:val="bottom"/>
          </w:tcPr>
          <w:p>
            <w:pPr>
              <w:spacing w:after="0"/>
              <w:rPr>
                <w:sz w:val="1"/>
                <w:szCs w:val="1"/>
                <w:color w:val="auto"/>
              </w:rPr>
            </w:pPr>
          </w:p>
        </w:tc>
      </w:tr>
      <w:tr>
        <w:trPr>
          <w:trHeight w:val="125"/>
        </w:trPr>
        <w:tc>
          <w:tcPr>
            <w:tcW w:w="25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Balance, December 31, 2025</w:t>
            </w:r>
          </w:p>
        </w:tc>
        <w:tc>
          <w:tcPr>
            <w:tcW w:w="58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0"/>
                <w:szCs w:val="10"/>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15,921,651</w:t>
            </w:r>
          </w:p>
        </w:tc>
        <w:tc>
          <w:tcPr>
            <w:tcW w:w="6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159,216</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99,624,713</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(6,081,530)</w:t>
            </w: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34,596,857</w:t>
            </w:r>
          </w:p>
        </w:tc>
        <w:tc>
          <w:tcPr>
            <w:tcW w:w="6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1,524,125</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(5,568,007)</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122,731,249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i w:val="1"/>
                <w:iCs w:val="1"/>
                <w:color w:val="auto"/>
              </w:rPr>
              <w:t>Years ended December 31,</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1"/>
        </w:trPr>
        <w:tc>
          <w:tcPr>
            <w:tcW w:w="7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40,767,128</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18,358,436</w:t>
            </w: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Adjustments to reconcile net income to net cash flows</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provided by operating activities: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Net realized losses on investments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222,706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62,349</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unrealized losses on equity investments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259,010</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6,606</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Net unrealized gains on other investments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(171,722)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(483,506)</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Gain on sale of real estate</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(1,965,989)</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2,559,835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2,448,932</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Bad debt expense</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599,653</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115,470</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Accretion of bond discount, net</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(520,901)</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Amortization of discount and issuance costs on debt</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65,163</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989,101</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174,962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296,553</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Stock-based compensation</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1,482,357</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1,382,912</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Deferred income tax (benefit) expense</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(201,548)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4,927,561</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Decrease (increase) in operating assets: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Premiums receivable, net</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154,927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(8,277,650)</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Reinsurance receivables, net</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10,325,491</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6,271,476</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Prepaid reinsurance</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(2,142,329)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policy acquisition costs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(3,134,836)</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(4,929,807)</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Other assets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(2,335,136)</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(1,850,192)</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Increase (decrease) in operating liabilities: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Loss and loss adjustment expense reserves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14,328,190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4,392,566</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Unearned premiums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19,326,339</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29,080,195</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Advance premiums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500,390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(294,527)</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Reinsurance balances payable</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(5,276,802)</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(2,328,019)</w:t>
            </w:r>
          </w:p>
        </w:tc>
      </w:tr>
      <w:tr>
        <w:trPr>
          <w:trHeight w:val="14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Deferred ceding commission revenue</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(3,178,710)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2,080,374</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683,261</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6,219,842</w:t>
            </w:r>
          </w:p>
        </w:tc>
      </w:tr>
      <w:tr>
        <w:trPr>
          <w:trHeight w:val="167"/>
        </w:trPr>
        <w:tc>
          <w:tcPr>
            <w:tcW w:w="8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Taxes payable</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2,835,135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r>
      <w:tr>
        <w:trPr>
          <w:trHeight w:val="136"/>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cash flows provided by operating activities</w:t>
            </w: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75,859,517</w:t>
            </w: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57,947,771</w:t>
            </w:r>
          </w:p>
        </w:tc>
      </w:tr>
      <w:tr>
        <w:trPr>
          <w:trHeight w:val="152"/>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Redemption - fixed-maturity securities held-to-maturity</w:t>
            </w: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 - fixed-maturity securities available-for-sale</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(154,381,310)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(165,000,894)</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Sale and maturity - fixed-maturity securities available-for-sale</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59,751,659</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127,665,799</w:t>
            </w: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Purchase - equity securities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Sale - equity securities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4,410,859</w:t>
            </w: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Proceeds from sale of real estate</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3,600,000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 of property and equipment</w:t>
            </w: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(2,807,551)</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(2,337,205)</w:t>
            </w:r>
          </w:p>
        </w:tc>
      </w:tr>
      <w:tr>
        <w:trPr>
          <w:trHeight w:val="129"/>
        </w:trPr>
        <w:tc>
          <w:tcPr>
            <w:tcW w:w="8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cash flows used in investing activities</w:t>
            </w: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(92,856,302)</w:t>
            </w: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(35,261,441)</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2"/>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Principal payments on equipment financing</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(1,223,293)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(1,153,862)</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Principal payment on 2022 Notes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(5,000,000)</w:t>
            </w: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Principal payment on 2024 Notes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(5,950,000)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(9,000,000)</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Issue costs on 2024 and 2022 Notes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(203,902)</w:t>
            </w: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62,714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63,711</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from employee stock purchase plan</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137,116</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Withholding taxes paid on net exercise of stock options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4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Withholding taxes paid on vested restricted stock awards</w:t>
            </w: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(562,214)</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(1,310,641)</w:t>
            </w:r>
          </w:p>
        </w:tc>
      </w:tr>
      <w:tr>
        <w:trPr>
          <w:trHeight w:val="140"/>
        </w:trPr>
        <w:tc>
          <w:tcPr>
            <w:tcW w:w="8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proceeds from issuance of common stock</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9,470,453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13,610,807</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62"/>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Dividends paid</w:t>
            </w: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(1,414,397)</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29"/>
        </w:trPr>
        <w:tc>
          <w:tcPr>
            <w:tcW w:w="802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Net cash flows provided by (used in) financing activities</w:t>
            </w: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506,074</w:t>
            </w: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(2,993,887)</w:t>
            </w:r>
          </w:p>
        </w:tc>
      </w:tr>
      <w:tr>
        <w:trPr>
          <w:trHeight w:val="22"/>
        </w:trPr>
        <w:tc>
          <w:tcPr>
            <w:tcW w:w="7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4080" w:type="dxa"/>
            <w:vAlign w:val="bottom"/>
            <w:gridSpan w:val="7"/>
          </w:tcPr>
          <w:p>
            <w:pPr>
              <w:jc w:val="right"/>
              <w:ind w:right="586"/>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tc>
      </w:tr>
      <w:tr>
        <w:trPr>
          <w:trHeight w:val="168"/>
        </w:trPr>
        <w:tc>
          <w:tcPr>
            <w:tcW w:w="36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6"/>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 (Continued)</w:t>
            </w:r>
          </w:p>
        </w:tc>
        <w:tc>
          <w:tcPr>
            <w:tcW w:w="720" w:type="dxa"/>
            <w:vAlign w:val="bottom"/>
            <w:tcBorders>
              <w:bottom w:val="single" w:sz="8" w:color="auto"/>
            </w:tcBorders>
          </w:tcPr>
          <w:p>
            <w:pPr>
              <w:spacing w:after="0"/>
              <w:rPr>
                <w:sz w:val="14"/>
                <w:szCs w:val="14"/>
                <w:color w:val="auto"/>
              </w:rPr>
            </w:pPr>
          </w:p>
        </w:tc>
      </w:tr>
      <w:tr>
        <w:trPr>
          <w:trHeight w:val="150"/>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i w:val="1"/>
                <w:iCs w:val="1"/>
                <w:color w:val="auto"/>
              </w:rPr>
              <w:t>Years ended December 31,</w:t>
            </w:r>
          </w:p>
        </w:tc>
        <w:tc>
          <w:tcPr>
            <w:tcW w:w="1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36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42"/>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(Decrease) increase in cash and cash equivalents</w:t>
            </w:r>
          </w:p>
        </w:tc>
        <w:tc>
          <w:tcPr>
            <w:tcW w:w="2100" w:type="dxa"/>
            <w:vAlign w:val="bottom"/>
            <w:tcBorders>
              <w:bottom w:val="single" w:sz="8" w:color="CCEEFF"/>
            </w:tcBorders>
            <w:gridSpan w:val="3"/>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(16,490,711)</w:t>
            </w:r>
          </w:p>
        </w:tc>
        <w:tc>
          <w:tcPr>
            <w:tcW w:w="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19,692,443</w:t>
            </w:r>
          </w:p>
        </w:tc>
      </w:tr>
      <w:tr>
        <w:trPr>
          <w:trHeight w:val="140"/>
        </w:trPr>
        <w:tc>
          <w:tcPr>
            <w:tcW w:w="368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28,669,441</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8,976,998</w:t>
            </w: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6"/>
        </w:trPr>
        <w:tc>
          <w:tcPr>
            <w:tcW w:w="368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and cash equivalents, end of period</w:t>
            </w:r>
          </w:p>
        </w:tc>
        <w:tc>
          <w:tcPr>
            <w:tcW w:w="18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12,178,730</w:t>
            </w:r>
          </w:p>
        </w:tc>
        <w:tc>
          <w:tcPr>
            <w:tcW w:w="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28,669,441</w:t>
            </w:r>
          </w:p>
        </w:tc>
      </w:tr>
      <w:tr>
        <w:trPr>
          <w:trHeight w:val="120"/>
        </w:trPr>
        <w:tc>
          <w:tcPr>
            <w:tcW w:w="3680" w:type="dxa"/>
            <w:vAlign w:val="bottom"/>
            <w:tcBorders>
              <w:top w:val="single" w:sz="8" w:color="CCEEFF"/>
            </w:tcBorders>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Supplemental disclosures of cash flow information:</w:t>
            </w:r>
          </w:p>
        </w:tc>
        <w:tc>
          <w:tcPr>
            <w:tcW w:w="18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r>
      <w:tr>
        <w:trPr>
          <w:trHeight w:val="38"/>
        </w:trPr>
        <w:tc>
          <w:tcPr>
            <w:tcW w:w="36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42"/>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for income taxes-federal</w:t>
            </w:r>
          </w:p>
        </w:tc>
        <w:tc>
          <w:tcPr>
            <w:tcW w:w="2100" w:type="dxa"/>
            <w:vAlign w:val="bottom"/>
            <w:tcBorders>
              <w:bottom w:val="single" w:sz="8" w:color="CCEEFF"/>
            </w:tcBorders>
            <w:gridSpan w:val="3"/>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8,028,000</w:t>
            </w:r>
          </w:p>
        </w:tc>
        <w:tc>
          <w:tcPr>
            <w:tcW w:w="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3680" w:type="dxa"/>
            <w:vAlign w:val="bottom"/>
          </w:tcPr>
          <w:p>
            <w:pPr>
              <w:spacing w:after="0"/>
              <w:rPr>
                <w:sz w:val="20"/>
                <w:szCs w:val="20"/>
                <w:color w:val="auto"/>
              </w:rPr>
            </w:pPr>
            <w:r>
              <w:rPr>
                <w:rFonts w:ascii="Times New Roman" w:cs="Times New Roman" w:eastAsia="Times New Roman" w:hAnsi="Times New Roman"/>
                <w:sz w:val="11"/>
                <w:szCs w:val="11"/>
                <w:color w:val="auto"/>
              </w:rPr>
              <w:t>Cash paid for income taxes-state</w:t>
            </w:r>
          </w:p>
        </w:tc>
        <w:tc>
          <w:tcPr>
            <w:tcW w:w="210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4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2"/>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paid for interest</w:t>
            </w:r>
          </w:p>
        </w:tc>
        <w:tc>
          <w:tcPr>
            <w:tcW w:w="2100" w:type="dxa"/>
            <w:vAlign w:val="bottom"/>
            <w:tcBorders>
              <w:bottom w:val="single" w:sz="8" w:color="CCEEFF"/>
            </w:tcBorders>
            <w:gridSpan w:val="3"/>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1,588,205</w:t>
            </w:r>
          </w:p>
        </w:tc>
        <w:tc>
          <w:tcPr>
            <w:tcW w:w="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2,524,555</w:t>
            </w:r>
          </w:p>
        </w:tc>
      </w:tr>
      <w:tr>
        <w:trPr>
          <w:trHeight w:val="135"/>
        </w:trPr>
        <w:tc>
          <w:tcPr>
            <w:tcW w:w="36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Supplemental schedule of non-cash investing and financing activities:</w:t>
            </w:r>
          </w:p>
        </w:tc>
        <w:tc>
          <w:tcPr>
            <w:tcW w:w="1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40"/>
        </w:trPr>
        <w:tc>
          <w:tcPr>
            <w:tcW w:w="368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 net of tax</w:t>
            </w:r>
          </w:p>
        </w:tc>
        <w:tc>
          <w:tcPr>
            <w:tcW w:w="2100" w:type="dxa"/>
            <w:vAlign w:val="bottom"/>
            <w:gridSpan w:val="3"/>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6,093,946</w:t>
            </w:r>
          </w:p>
        </w:tc>
        <w:tc>
          <w:tcPr>
            <w:tcW w:w="40" w:type="dxa"/>
            <w:vAlign w:val="bottom"/>
          </w:tcPr>
          <w:p>
            <w:pPr>
              <w:spacing w:after="0"/>
              <w:rPr>
                <w:sz w:val="12"/>
                <w:szCs w:val="12"/>
                <w:color w:val="auto"/>
              </w:rPr>
            </w:pPr>
          </w:p>
        </w:tc>
        <w:tc>
          <w:tcPr>
            <w:tcW w:w="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99,087</w:t>
            </w:r>
          </w:p>
        </w:tc>
      </w:tr>
      <w:tr>
        <w:trPr>
          <w:trHeight w:val="22"/>
        </w:trPr>
        <w:tc>
          <w:tcPr>
            <w:tcW w:w="3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40"/>
        </w:trPr>
        <w:tc>
          <w:tcPr>
            <w:tcW w:w="3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Lease liability in exchange for right-of-use asset</w:t>
            </w:r>
          </w:p>
        </w:tc>
        <w:tc>
          <w:tcPr>
            <w:tcW w:w="2100" w:type="dxa"/>
            <w:vAlign w:val="bottom"/>
            <w:gridSpan w:val="3"/>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198,042</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2"/>
        </w:trPr>
        <w:tc>
          <w:tcPr>
            <w:tcW w:w="36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these consolidated financial statements.</w:t>
      </w:r>
    </w:p>
    <w:p>
      <w:pPr>
        <w:spacing w:after="0" w:line="200" w:lineRule="exact"/>
        <w:rPr>
          <w:sz w:val="20"/>
          <w:szCs w:val="20"/>
          <w:color w:val="auto"/>
        </w:rPr>
      </w:pPr>
    </w:p>
    <w:p>
      <w:pPr>
        <w:spacing w:after="0" w:line="20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27"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Nature of Business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Kingstone Companies, Inc. (referred to herein as "Kingstone" or the “Company” or, on a standalone basis for the parent company only, the “Holding Company”), operates through its wholly-owned subsidiary, Kingstone Insurance Company (“KICO”). KICO is a New York domiciled carrier writing business through retail and wholesale agents and brokers. KICO is actively writing personal lines and commercial auto insurance in New York, and in 2024 was the 12th largest writer of homeowners insurance in New York. KICO is also licensed in the states of New Jersey, Rhode Island, Massachusetts, Connecticut, Pennsylvania, New Hampshire, and Maine. For the years ended December 31, 2025 and 2024, 98.0% and 96.0%, respectively, of KICO’s direct written premiums came from the New York policies. Kingstone, through its wholly owned subsidiary, Cosi Agency, Inc. (“Cosi”), a multi-state licensed general agency, receives commission revenue from KICO for the policies it places with others and pays commissions to these agencies.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Summary of Significant Accounting Policies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Basis of Presentation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accompanying consolidated financial statements have been prepared on the accrual basis of accounting in accordance with accounting principles generally accepted in the United States of America ("GAAP").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Principles of Consolidation</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consolidated financial statements include the accounts of Kingstone and its wholly owned subsidiaries: (1) KICO and its wholly owned subsidiaries, CMIC Properties, Inc. and 15 Joys Lane, LLC, which together, until March 2025, owned the land and building from which KICO operated (see Note 20 - Sale of Real Estate), and (2) Cosi. All significant inter-company account balances and transactions have been eliminated in consolidation.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Use of Estimates</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and includes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 Recognition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Net Premiums Earned</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Ceding Commission Revenue</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ceding commission revenue in the period that changes in the estimated losses are determined.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Loss and Loss Adjustment Expenses ("LAE") Reserves</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The liability for loss and LAE represents management’s best estimate of the ultimate cost of all reported and unreported losses that are unpaid as of the balance sheet date. The liability for loss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Reinsurance</w:t>
      </w:r>
    </w:p>
    <w:p>
      <w:pPr>
        <w:spacing w:after="0" w:line="15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Statements of Income and Comprehensive Income are net of reinsurance recoveries.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remaining contract period in proportion to the reinsurance protection provided, or recorded periodically, as per the terms of the contract, in a direct relationship to the gross premium recording.</w:t>
      </w:r>
    </w:p>
    <w:p>
      <w:pPr>
        <w:spacing w:after="0" w:line="115"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Management estimates uncollectible amounts receivable from reinsurers based on an assessment of factors including the creditworthiness of the reinsurers and the adequacy of collateral obtained, where applicable. There was no allowance for uncollectible reinsurance credit losses as of December 31, 2025 and 2024. The Company did not expense any uncollectible reinsurance for the years ended December 31, 2025 and 2024.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presents its net reinsurance receivables separately from its reinsurance balances payable in accordance with Accounting Standards Codification ("ASC") 210. Additionally, prepaid premiums for excess of loss and catastrophe reinsurance treaties are presented net in reinsurance balances payable as a reduction to reinsurance premiums payable as they meet the net accounting criteria of ASC 210. The Company has entered into reinsurance agreements wherein the right of offset exists in accordance with ASC 210.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Credit Losses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accounts for credit losses on receivables and held-to-maturity securities in accordance with ASC 326. See investments, premiums receivable and reinsurance.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considers all highly liquid investments with original maturities of three months or less to be cash equivalents. The Company maintains its cash balances at several financial institutions.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Investments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Company classifies its fixed-maturity securities as either held-to-maturity or available-for-sale. Fixed-maturity securities that the Company has the specific intent and ability to hold until maturity are classified as such and carried at amortized cost. Available-for-sale securities are reported at their estimated fair values based on quoted market prices from recognized pricing services, adjusted for an allowance for expected credit losses, with unrealized gains and losses, net of tax effects, reported as a separate component of accumulated other comprehensive loss. Realized gains and losses are determined on the specific identification method and reported in net income in the consolidated statements of income and comprehensive income.</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Equity securities are reported at their estimated fair values based on quoted market prices from recognized pricing services, with unrealized gains and losses reported in net (losses) gains on investments in the consolidated statements of income and comprehensive income. Other investments are reported at their estimated fair values using the net asset value (“NAV”) per share (or its equivalent) of the instrument with unrealized gains and losses reported in net (losses) gains on investments in the Consolidated Statements of Income and Comprehensive Income. See Note - 3, Investments for additional discussion.</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Company reviews all debt securities with unrealized losses on a quarterly basis to assess whether the decline in the securities’ fair value necessitates the recognition of an allowance for credit losses. Factors considered in the review include the extent to which the fair value has been less than amortized cost,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the issuer to make scheduled interest or principal payments, the payment structure of the investment and the issuer's ability to make contractual payments on the investment.</w:t>
      </w:r>
    </w:p>
    <w:p>
      <w:pPr>
        <w:spacing w:after="0" w:line="1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Company may sell its available-for-sale securities, equity securities, and other investments in response to changes in interest rates, risk/reward characteristics, liquidity needs or other factors. Investment income is accrued to the balance sheet dates of the consolidated financial statements and includes amortization of premium and accretion of discount on fixed-maturity securities. Interest is recognized when earned, while dividends are recognized when declared. Due and accrued investment income totaled approximately $2,083,000 and $1,697,000 as of December 31, 2025 and 2024, respectively, and is included in other assets on the accompanying consolidated balance sheets.</w:t>
      </w:r>
    </w:p>
    <w:p>
      <w:pPr>
        <w:spacing w:after="0" w:line="1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For fixed-maturity securities where a decline in fair value is below the amortized cost basis and the Company intends to sell the security, or it is more likely than not that the Company will be required to sell the security before recovery of its amortized cost, a credit-loss charge is recognized in net loss based on the fair value of the security at the time of assessment.</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For available-for-sale fixed maturity securities, a credit loss exists if the present value of cash flows expected to be collected is less than the amortized cost basis. The allowance for credit loss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 net of tax.</w:t>
      </w:r>
    </w:p>
    <w:p>
      <w:pPr>
        <w:spacing w:after="0" w:line="13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The Company has made a policy election to present accrued interest balances separately from the amortized cost basis of assets and has elected the practical expedient to exclude the accrued interest from the tabular disclosures for available-for-sale and held-to-maturity securities. The Company has elected not to estimate an allowance for credit losses on accrued interest receivable. The accrual of interest income is discontinued, and the asset is placed on nonaccrual status in the quarter that payment becomes delinquent. Interest accrued but not received for assets on nonaccrual status is reversed through investment income. Interest received for assets that are on nonaccrual status is recognized as payment is received. The asset is returned to accrual status when the principal and interest amounts contractually due are brought current and future payments are expected.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did not identify any available-for-sale securities as of December 31, 2025 and 2024 which presented a risk of loss due to credit deterioration of the security.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Premiums Receivable</w:t>
      </w:r>
    </w:p>
    <w:p>
      <w:pPr>
        <w:spacing w:after="0" w:line="15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2"/>
          <w:szCs w:val="12"/>
          <w:color w:val="auto"/>
        </w:rPr>
        <w:t>Premiums receivable include balances due currently or in the future and are presented net of an allowance for credit losses of approximately $21,000 and $402,000 as of December 31, 2025 and 2024, respectively. The allowance for credit losses is based on an analysis of amounts receivable giving consideration to historical loss experience and current economic conditions and reflects an amount that, in management’s judgment, is adequate. Uncollectible premiums receivable balances of approximately $600,000 and $115,000 were written off for the years ended December 31, 2025 and 2024, respectively. The Company evaluates cancellations after the balance sheet date and has recorded a cancellation reserve of approximately $357,000 as of December 31, 2025. As of December 31, 2024, the Company has determined that the cancellations were not material; therefore no additional cancellation reserve was recognized as of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Deferred Policy Acquisition Costs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Policy acquisition costs represent the costs of writing business that vary with, and are primarily related to, the successful production of insurance business (principally commissions, premium taxes and certain underwriting salaries).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Policy acquisition costs are deferred and recognized as expense as the related premiums are earned.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Intangible Assets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Company has recorded acquired identifiable intangible assets. The cost of a group of assets acquired in a transaction is allocated to the individual assets including identifiable intangible assets based on their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2025 and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Property and Equipment</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Building and building improvements, automobiles, furniture, computer equipment, and computer software are reported at cost less accumulated depreciation. Depreciation is provided using the straight-line method over the estimated useful lives of the assets. The Company estimates the useful life for computer equipment, automobiles, furniture and other equipment is three years, computer software is three to five years, and building and building improvements is 39 years.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reviews the remaining land that was part of its real estate assets that had been used as its headquarters to evaluate the necessity of recording impairment losses for market changes due to declines in the estimated fair value of the property. In evaluating potential impairment, management considers the current estimated fair value compared to the carrying value of the asset. At December 31, 2025 and 2024, the fair value of the real estate assets is estimated to be in excess of the carrying value. See Note 20 - Sale of Real Estate.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Income Taxes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Deferred tax assets and liabilities are recognized for the future tax consequences attributable to differences between the financial statement carrying amounts of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files a consolidated tax return with its subsidiaries. At December 31, 2025 and 2024, the Company had no material unrecognized tax benefits and no adjustments to liabilities or operations were required.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Concentration, Credit Risk and Market Risk</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Financial instruments that potentially subject the Company to concentrations of credit risk are primarily cash and cash equivalents, investments, and premium and reinsurance receivables. At times, cash may be uninsured or in deposit accounts that exceed Federal Deposit Insurance Corporation (“FDIC”) insurance limits. The Company has not experienced any losses on such accounts and management believes the Company is not exposed to any significant credit risk.</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Stressed conditions, volatility and disruptions in capital markets or financial asset classes can have an adverse effect on the Company, in part because the Company has a large investment portfolio supporting the Company’s insurance liabilities, which are sensitive to changing market factors. These market factors, which include interest rates, credit spread, equity prices, and the volatility and strength of the capital markets, all affect the business and economic environment and, ultimately, the profitability of the Company’s business. The Company manages its investments to limit credit and other market risks by diversifying its portfolio among various security types and industry sectors based on KICO’s investment committee guidelines, which employ a variety of investment strategies.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As of December 31, 2025 and 2024, the Company’s cash equivalents were as follows:</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7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3"/>
        </w:trPr>
        <w:tc>
          <w:tcPr>
            <w:tcW w:w="7940" w:type="dxa"/>
            <w:vAlign w:val="bottom"/>
          </w:tcPr>
          <w:p>
            <w:pPr>
              <w:spacing w:after="0"/>
              <w:rPr>
                <w:sz w:val="14"/>
                <w:szCs w:val="14"/>
                <w:color w:val="auto"/>
              </w:rPr>
            </w:pPr>
          </w:p>
        </w:tc>
        <w:tc>
          <w:tcPr>
            <w:tcW w:w="11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r>
      <w:tr>
        <w:trPr>
          <w:trHeight w:val="164"/>
        </w:trPr>
        <w:tc>
          <w:tcPr>
            <w:tcW w:w="7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Collateralized bank repurchase agreement (1)</w:t>
            </w: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194,158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788,833</w:t>
            </w:r>
          </w:p>
        </w:tc>
        <w:tc>
          <w:tcPr>
            <w:tcW w:w="80" w:type="dxa"/>
            <w:vAlign w:val="bottom"/>
            <w:shd w:val="clear" w:color="auto" w:fill="CCEEFF"/>
          </w:tcPr>
          <w:p>
            <w:pPr>
              <w:spacing w:after="0"/>
              <w:rPr>
                <w:sz w:val="14"/>
                <w:szCs w:val="14"/>
                <w:color w:val="auto"/>
              </w:rPr>
            </w:pPr>
          </w:p>
        </w:tc>
      </w:tr>
      <w:tr>
        <w:trPr>
          <w:trHeight w:val="167"/>
        </w:trPr>
        <w:tc>
          <w:tcPr>
            <w:tcW w:w="7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Money market funds</w:t>
            </w:r>
          </w:p>
        </w:tc>
        <w:tc>
          <w:tcPr>
            <w:tcW w:w="1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571,014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1,676,626</w:t>
            </w:r>
          </w:p>
        </w:tc>
        <w:tc>
          <w:tcPr>
            <w:tcW w:w="80" w:type="dxa"/>
            <w:vAlign w:val="bottom"/>
            <w:tcBorders>
              <w:bottom w:val="single" w:sz="8" w:color="CCEEFF"/>
            </w:tcBorders>
          </w:tcPr>
          <w:p>
            <w:pPr>
              <w:spacing w:after="0"/>
              <w:rPr>
                <w:sz w:val="14"/>
                <w:szCs w:val="14"/>
                <w:color w:val="auto"/>
              </w:rPr>
            </w:pPr>
          </w:p>
        </w:tc>
      </w:tr>
      <w:tr>
        <w:trPr>
          <w:trHeight w:val="181"/>
        </w:trPr>
        <w:tc>
          <w:tcPr>
            <w:tcW w:w="7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765,172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2,465,459</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96" w:lineRule="exact"/>
        <w:rPr>
          <w:sz w:val="20"/>
          <w:szCs w:val="20"/>
          <w:color w:val="auto"/>
        </w:rPr>
      </w:pPr>
    </w:p>
    <w:p>
      <w:pPr>
        <w:ind w:left="1340" w:hanging="700"/>
        <w:spacing w:after="0" w:line="264" w:lineRule="auto"/>
        <w:tabs>
          <w:tab w:leader="none" w:pos="1336"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p>
      <w:pPr>
        <w:spacing w:after="0" w:line="11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At December 31, 2025, the outstanding premiums receivable balance is generally diversified due to the large number of individual insureds comprising the Company’s customer base. For the years ended December 31, 2025 and 2024, 98.0% and 96.0%, respectively, of KICO’s direct written premiums came from policies written in the state of New York.</w:t>
      </w:r>
    </w:p>
    <w:p>
      <w:pPr>
        <w:spacing w:after="0" w:line="1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also has receivables from its reinsurers. 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Reinsurance for reinsurance recoverables on unpaid and paid losses by reinsurers. Management’s policy is to review all outstanding receivables quarterly as well as the bad debt write-offs experienced in the past and establish an allowance for credit losses, if deemed necessary.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Direct premiums earned from lines of business in excess of 10% of the total, which subject the Company to concentration risk for the years ended December 31, 2025 and 2024, is as follows:</w:t>
      </w:r>
    </w:p>
    <w:p>
      <w:pPr>
        <w:spacing w:after="0" w:line="182"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2"/>
          <w:szCs w:val="12"/>
          <w:b w:val="1"/>
          <w:bCs w:val="1"/>
          <w:color w:val="auto"/>
        </w:rPr>
        <w:t>Years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20" w:type="dxa"/>
            <w:vAlign w:val="bottom"/>
            <w:tcBorders>
              <w:bottom w:val="single" w:sz="8" w:color="CCEEFF"/>
            </w:tcBorders>
          </w:tcPr>
          <w:p>
            <w:pPr>
              <w:spacing w:after="0"/>
              <w:rPr>
                <w:sz w:val="13"/>
                <w:szCs w:val="13"/>
                <w:color w:val="auto"/>
              </w:rPr>
            </w:pPr>
          </w:p>
        </w:tc>
        <w:tc>
          <w:tcPr>
            <w:tcW w:w="66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r>
      <w:tr>
        <w:trPr>
          <w:trHeight w:val="161"/>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66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w:t>
            </w:r>
          </w:p>
        </w:tc>
        <w:tc>
          <w:tcPr>
            <w:tcW w:w="8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93.1%</w:t>
            </w:r>
          </w:p>
        </w:tc>
        <w:tc>
          <w:tcPr>
            <w:tcW w:w="80" w:type="dxa"/>
            <w:vAlign w:val="bottom"/>
            <w:shd w:val="clear" w:color="auto" w:fill="CCEEFF"/>
          </w:tcPr>
          <w:p>
            <w:pPr>
              <w:spacing w:after="0"/>
              <w:rPr>
                <w:sz w:val="13"/>
                <w:szCs w:val="13"/>
                <w:color w:val="auto"/>
              </w:rPr>
            </w:pPr>
          </w:p>
        </w:tc>
      </w:tr>
      <w:tr>
        <w:trPr>
          <w:trHeight w:val="166"/>
        </w:trPr>
        <w:tc>
          <w:tcPr>
            <w:tcW w:w="8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Premiums earned not subject to concentration (1)</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80" w:type="dxa"/>
            <w:vAlign w:val="bottom"/>
          </w:tcPr>
          <w:p>
            <w:pPr>
              <w:spacing w:after="0"/>
              <w:rPr>
                <w:sz w:val="14"/>
                <w:szCs w:val="14"/>
                <w:color w:val="auto"/>
              </w:rPr>
            </w:pPr>
          </w:p>
        </w:tc>
      </w:tr>
      <w:tr>
        <w:trPr>
          <w:trHeight w:val="181"/>
        </w:trPr>
        <w:tc>
          <w:tcPr>
            <w:tcW w:w="1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premiums earned</w:t>
            </w:r>
          </w:p>
        </w:tc>
        <w:tc>
          <w:tcPr>
            <w:tcW w:w="668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351"/>
        </w:trPr>
        <w:tc>
          <w:tcPr>
            <w:tcW w:w="122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(1)</w:t>
            </w:r>
          </w:p>
        </w:tc>
        <w:tc>
          <w:tcPr>
            <w:tcW w:w="7760" w:type="dxa"/>
            <w:vAlign w:val="bottom"/>
            <w:gridSpan w:val="2"/>
          </w:tcPr>
          <w:p>
            <w:pPr>
              <w:jc w:val="right"/>
              <w:ind w:right="620"/>
              <w:spacing w:after="0"/>
              <w:rPr>
                <w:sz w:val="20"/>
                <w:szCs w:val="20"/>
                <w:color w:val="auto"/>
              </w:rPr>
            </w:pPr>
            <w:r>
              <w:rPr>
                <w:rFonts w:ascii="Times New Roman" w:cs="Times New Roman" w:eastAsia="Times New Roman" w:hAnsi="Times New Roman"/>
                <w:sz w:val="12"/>
                <w:szCs w:val="12"/>
                <w:color w:val="auto"/>
              </w:rPr>
              <w:t>For the years ended December 31, 2025 and 2024, premiums earned not subject to concentration are comprised primarily of one line of business.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0"/>
        </w:trPr>
        <w:tc>
          <w:tcPr>
            <w:tcW w:w="1220" w:type="dxa"/>
            <w:vAlign w:val="bottom"/>
          </w:tcPr>
          <w:p>
            <w:pPr>
              <w:spacing w:after="0"/>
              <w:rPr>
                <w:sz w:val="24"/>
                <w:szCs w:val="24"/>
                <w:color w:val="auto"/>
              </w:rPr>
            </w:pPr>
          </w:p>
        </w:tc>
        <w:tc>
          <w:tcPr>
            <w:tcW w:w="7760" w:type="dxa"/>
            <w:vAlign w:val="bottom"/>
            <w:gridSpan w:val="2"/>
          </w:tcPr>
          <w:p>
            <w:pPr>
              <w:jc w:val="right"/>
              <w:ind w:right="3160"/>
              <w:spacing w:after="0"/>
              <w:rPr>
                <w:sz w:val="20"/>
                <w:szCs w:val="20"/>
                <w:color w:val="auto"/>
              </w:rPr>
            </w:pPr>
            <w:r>
              <w:rPr>
                <w:rFonts w:ascii="Times New Roman" w:cs="Times New Roman" w:eastAsia="Times New Roman" w:hAnsi="Times New Roman"/>
                <w:sz w:val="12"/>
                <w:szCs w:val="12"/>
                <w:color w:val="auto"/>
              </w:rPr>
              <w:t>F-14</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3"/>
        </w:trPr>
        <w:tc>
          <w:tcPr>
            <w:tcW w:w="1220" w:type="dxa"/>
            <w:vAlign w:val="bottom"/>
            <w:tcBorders>
              <w:bottom w:val="single" w:sz="8" w:color="9A9A9A"/>
            </w:tcBorders>
          </w:tcPr>
          <w:p>
            <w:pPr>
              <w:spacing w:after="0"/>
              <w:rPr>
                <w:sz w:val="5"/>
                <w:szCs w:val="5"/>
                <w:color w:val="auto"/>
              </w:rPr>
            </w:pPr>
          </w:p>
        </w:tc>
        <w:tc>
          <w:tcPr>
            <w:tcW w:w="66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Earnings per share</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Basic earnings per common share is computed by dividing income available to common stockholders by the weighted-average number of common shares outstanding. Diluted earnings per common share reflects, in periods in which they have a dilutive effect, the impact of common shares issuable upon the exercise of stock options and warrants as well as non-vested restricted stock awards. The computation of diluted earnings per share excludes those options and warrants with an exercise price in excess of the average market price of the Company’s common shares during the periods presented. Additionally, the computation of diluted earnings per share excludes unvested restricted stock awards as calculated using the treasury stock method.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Advertising Costs</w:t>
      </w:r>
    </w:p>
    <w:p>
      <w:pPr>
        <w:spacing w:after="0" w:line="14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Advertising costs are charged to operations as incurred. Advertising costs are included in other underwriting expenses in the accompanying Consolidated Statements of Income and Comprehensive Income were approximately $130,000 and $100,000 for the years ended December 31, 2025 and 2024,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Stock-based Compensation</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Stock-based compensation expense in 2025 and 2024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Warrants</w:t>
      </w:r>
    </w:p>
    <w:p>
      <w:pPr>
        <w:spacing w:after="0" w:line="13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color w:val="auto"/>
        </w:rPr>
        <w:t xml:space="preserve">The Company’s warrants are accounted for as equity in accordance with ASC 480-10, </w:t>
      </w:r>
      <w:r>
        <w:rPr>
          <w:rFonts w:ascii="Times New Roman" w:cs="Times New Roman" w:eastAsia="Times New Roman" w:hAnsi="Times New Roman"/>
          <w:sz w:val="12"/>
          <w:szCs w:val="12"/>
          <w:i w:val="1"/>
          <w:iCs w:val="1"/>
          <w:color w:val="auto"/>
        </w:rPr>
        <w:t>Accounting for Certain Financial Instruments with Characteristics of both Liabilities and Equity.</w:t>
      </w:r>
      <w:r>
        <w:rPr>
          <w:rFonts w:ascii="Times New Roman" w:cs="Times New Roman" w:eastAsia="Times New Roman" w:hAnsi="Times New Roman"/>
          <w:sz w:val="12"/>
          <w:szCs w:val="12"/>
          <w:color w:val="auto"/>
        </w:rPr>
        <w:t xml:space="preserve"> The Company’s warrants are accounted for at fair value on the issuance date. On December 29, 2025, the remaining outstanding warrants were exercised. The Company has no outstanding warrants as of December 31,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Compensated Absences</w:t>
      </w:r>
    </w:p>
    <w:p>
      <w:pPr>
        <w:spacing w:after="0" w:line="14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Employees of the Company are entitled to paid time off, sick days, and other time off depending on job classification, length of service and other factors. The Company has determined it is impracticable to estimate the amount of compensation of future absences and, accordingly, no liability has been recorded in the accompanying consolidated financial statements. The Company’s policy is to recognize the cost of compensated absences when paid to employees.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Leases</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color w:val="auto"/>
        </w:rPr>
        <w:t>The Company records operating leases in accordance with ASC 842, Leases (</w:t>
      </w:r>
      <w:r>
        <w:rPr>
          <w:rFonts w:ascii="Times New Roman" w:cs="Times New Roman" w:eastAsia="Times New Roman" w:hAnsi="Times New Roman"/>
          <w:sz w:val="12"/>
          <w:szCs w:val="12"/>
          <w:i w:val="1"/>
          <w:iCs w:val="1"/>
          <w:color w:val="auto"/>
        </w:rPr>
        <w:t>"Topic 842"</w:t>
      </w:r>
      <w:r>
        <w:rPr>
          <w:rFonts w:ascii="Times New Roman" w:cs="Times New Roman" w:eastAsia="Times New Roman" w:hAnsi="Times New Roman"/>
          <w:sz w:val="12"/>
          <w:szCs w:val="12"/>
          <w:color w:val="auto"/>
        </w:rPr>
        <w:t>). Under Topic 842, the Company recognizes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right-of-use asset is amortized as rent expense on a straight-line basis (See Note 17 - Commitments and Contingencies - Office Leases).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Comprehensive Income</w:t>
      </w:r>
    </w:p>
    <w:p>
      <w:pPr>
        <w:spacing w:after="0" w:line="14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Comprehensive income is comprised of revenues, expenses, gains and losses that are included in comprehensive income but are excluded from net income as these amounts are recorded directly as an adjustment to stockholders' equity, and result primarily from changes in unrealized gains and losses on available-for-sale securities, net of the related income taxes. The Company releases the related deferred tax effects from accumulated other comprehensive income (loss) into income at the time when the unrealized gains or losses are reclassified to earnings, which generally occurs when an available-for-sale security is sold, matures, or is determined to be other-than-temporarily impaired.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Accounting Changes</w:t>
      </w:r>
    </w:p>
    <w:p>
      <w:pPr>
        <w:spacing w:after="0" w:line="13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In November 2023, the Financial Accounting Standards Board (the "FASB") issued ASU No. 2023-07, Improvements to Reportable Segment Disclosures ("ASU 2023-07"), which introduces improvements to the information that a public entity discloses about its reportable segments and addresses investor requests for more information about reportable segment expenses. ASU 2023-07 does not change the current guidance related to the identification of operating segments, the determination of reportable segments, or the aggregation criteria. Rather, the new guidance introduces additional disclosure requirements and expands those requirements to entities with a single reportable segment, not just entities with multiple reportable segments. ASU 2023-07 is effective for fiscal years beginning after December 15, 2023, and interim periods within fiscal years beginning after December 15, 2024. The Company retrospectively adopted ASU 2023-07 effective December 31, 2024, and has added the required disclosures for entities with a single reportable segment for the years ended December 31, 2025 and December 31, 2024. See Note 19 - Segment Reporting.</w:t>
      </w:r>
    </w:p>
    <w:p>
      <w:pPr>
        <w:spacing w:after="0" w:line="12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In December 2023,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ASU-2023-09 is effective for public companies with annual periods beginning after December 15, 2024. The Company prospectively adopted ASU-2023-09 effective December 31, 2025, and has added the required disclosures that meet the materiality thresholds for the year ended December 31, 2025. See Note 15 – Income Taxes. The adoption of the guidance updated disclosures but did not have an impact on the Company's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Recent Accounting Pronouncements</w:t>
      </w:r>
    </w:p>
    <w:p>
      <w:pPr>
        <w:spacing w:after="0" w:line="1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In November 2024, the FASB issued ASU 2024-03, Disaggregation of Income Statement Expenses ("ASU 2024-03").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is effective for annual reporting periods as amended by ASU 2025-01, beginning after December 15, 2026, and interim reporting periods within fiscal years beginning after December 15, 2027. ASU 2024-03 can be applied on a prospective basis; however, retrospective application is permitted. Early adoption is permitted. The Company is currently evaluating the effect the updated guidance will have on its financial statement disclosures.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 Investments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Fixed-Maturity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amortized cost, estimated fair value, and unrealized gains and losses on investments in fixed-maturity securities classified as available-for-sale as of December 31, 2025 and 2024 are summarized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right"/>
              <w:ind w:right="843"/>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1"/>
        </w:trPr>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4"/>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Cost or</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723"/>
              <w:spacing w:after="0"/>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183"/>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5"/>
          </w:tcPr>
          <w:p>
            <w:pPr>
              <w:jc w:val="center"/>
              <w:ind w:right="36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320" w:type="dxa"/>
            <w:vAlign w:val="bottom"/>
          </w:tcPr>
          <w:p>
            <w:pPr>
              <w:spacing w:after="0"/>
              <w:rPr>
                <w:sz w:val="11"/>
                <w:szCs w:val="11"/>
                <w:color w:val="auto"/>
              </w:rPr>
            </w:pPr>
          </w:p>
        </w:tc>
        <w:tc>
          <w:tcPr>
            <w:tcW w:w="1040" w:type="dxa"/>
            <w:vAlign w:val="bottom"/>
            <w:gridSpan w:val="3"/>
          </w:tcPr>
          <w:p>
            <w:pPr>
              <w:jc w:val="right"/>
              <w:ind w:right="363"/>
              <w:spacing w:after="0" w:line="128"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343"/>
              <w:spacing w:after="0" w:line="128"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right"/>
              <w:ind w:right="680"/>
              <w:spacing w:after="0" w:line="128" w:lineRule="exact"/>
              <w:rPr>
                <w:sz w:val="20"/>
                <w:szCs w:val="20"/>
                <w:color w:val="auto"/>
              </w:rPr>
            </w:pPr>
            <w:r>
              <w:rPr>
                <w:rFonts w:ascii="Times New Roman" w:cs="Times New Roman" w:eastAsia="Times New Roman" w:hAnsi="Times New Roman"/>
                <w:sz w:val="12"/>
                <w:szCs w:val="12"/>
                <w:b w:val="1"/>
                <w:bCs w:val="1"/>
                <w:color w:val="auto"/>
              </w:rPr>
              <w:t>Fair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63"/>
              <w:spacing w:after="0" w:line="128"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0" w:type="dxa"/>
            <w:vAlign w:val="bottom"/>
          </w:tcPr>
          <w:p>
            <w:pPr>
              <w:spacing w:after="0"/>
              <w:rPr>
                <w:sz w:val="1"/>
                <w:szCs w:val="1"/>
                <w:color w:val="auto"/>
              </w:rPr>
            </w:pPr>
          </w:p>
        </w:tc>
      </w:tr>
      <w:tr>
        <w:trPr>
          <w:trHeight w:val="172"/>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2"/>
                <w:szCs w:val="12"/>
                <w:b w:val="1"/>
                <w:bCs w:val="1"/>
                <w:color w:val="auto"/>
              </w:rPr>
              <w:t>Gains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2"/>
                <w:szCs w:val="12"/>
                <w:b w:val="1"/>
                <w:bCs w:val="1"/>
                <w:color w:val="auto"/>
                <w:w w:val="95"/>
              </w:rPr>
              <w:t>12 Months</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Value</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2"/>
                <w:szCs w:val="12"/>
                <w:b w:val="1"/>
                <w:bCs w:val="1"/>
                <w:color w:val="auto"/>
                <w:w w:val="99"/>
              </w:rPr>
              <w:t>Gains (Losses)</w:t>
            </w:r>
          </w:p>
        </w:tc>
        <w:tc>
          <w:tcPr>
            <w:tcW w:w="0" w:type="dxa"/>
            <w:vAlign w:val="bottom"/>
          </w:tcPr>
          <w:p>
            <w:pPr>
              <w:spacing w:after="0"/>
              <w:rPr>
                <w:sz w:val="1"/>
                <w:szCs w:val="1"/>
                <w:color w:val="auto"/>
              </w:rPr>
            </w:pPr>
          </w:p>
        </w:tc>
      </w:tr>
      <w:tr>
        <w:trPr>
          <w:trHeight w:val="331"/>
        </w:trPr>
        <w:tc>
          <w:tcPr>
            <w:tcW w:w="26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government corporations and agencies (1)</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997,124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10,066</w:t>
            </w: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1,007,190</w:t>
            </w:r>
          </w:p>
        </w:tc>
        <w:tc>
          <w:tcPr>
            <w:tcW w:w="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10,066</w:t>
            </w:r>
          </w:p>
        </w:tc>
        <w:tc>
          <w:tcPr>
            <w:tcW w:w="0" w:type="dxa"/>
            <w:vAlign w:val="bottom"/>
          </w:tcPr>
          <w:p>
            <w:pPr>
              <w:spacing w:after="0"/>
              <w:rPr>
                <w:sz w:val="1"/>
                <w:szCs w:val="1"/>
                <w:color w:val="auto"/>
              </w:rPr>
            </w:pPr>
          </w:p>
        </w:tc>
      </w:tr>
      <w:tr>
        <w:trPr>
          <w:trHeight w:val="142"/>
        </w:trPr>
        <w:tc>
          <w:tcPr>
            <w:tcW w:w="2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Political subdivisions of States, Territories and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Possessions (1)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24,125,578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182,580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(2,534,725)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21,773,433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(2,352,145)</w:t>
            </w:r>
          </w:p>
        </w:tc>
        <w:tc>
          <w:tcPr>
            <w:tcW w:w="0" w:type="dxa"/>
            <w:vAlign w:val="bottom"/>
          </w:tcPr>
          <w:p>
            <w:pPr>
              <w:spacing w:after="0"/>
              <w:rPr>
                <w:sz w:val="1"/>
                <w:szCs w:val="1"/>
                <w:color w:val="auto"/>
              </w:rPr>
            </w:pPr>
          </w:p>
        </w:tc>
      </w:tr>
      <w:tr>
        <w:trPr>
          <w:trHeight w:val="147"/>
        </w:trPr>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 Industrial and</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miscellaneous (1)</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131,958,643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567,410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(2,540,470)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129,866,682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(2,091,961)</w:t>
            </w:r>
          </w:p>
        </w:tc>
        <w:tc>
          <w:tcPr>
            <w:tcW w:w="0" w:type="dxa"/>
            <w:vAlign w:val="bottom"/>
          </w:tcPr>
          <w:p>
            <w:pPr>
              <w:spacing w:after="0"/>
              <w:rPr>
                <w:sz w:val="1"/>
                <w:szCs w:val="1"/>
                <w:color w:val="auto"/>
              </w:rPr>
            </w:pPr>
          </w:p>
        </w:tc>
      </w:tr>
      <w:tr>
        <w:trPr>
          <w:trHeight w:val="142"/>
        </w:trPr>
        <w:tc>
          <w:tcPr>
            <w:tcW w:w="26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Residential mortgage and other asset backed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securities (1) (2)</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139,656,710</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1,273,816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(62,968)</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(4,477,673)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136,389,885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(3,266,825)</w:t>
            </w:r>
          </w:p>
        </w:tc>
        <w:tc>
          <w:tcPr>
            <w:tcW w:w="0" w:type="dxa"/>
            <w:vAlign w:val="bottom"/>
          </w:tcPr>
          <w:p>
            <w:pPr>
              <w:spacing w:after="0"/>
              <w:rPr>
                <w:sz w:val="1"/>
                <w:szCs w:val="1"/>
                <w:color w:val="auto"/>
              </w:rPr>
            </w:pPr>
          </w:p>
        </w:tc>
      </w:tr>
      <w:tr>
        <w:trPr>
          <w:trHeight w:val="181"/>
        </w:trPr>
        <w:tc>
          <w:tcPr>
            <w:tcW w:w="2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fixed-maturity securities</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296,738,055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2,033,872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(181,869)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(9,552,868)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289,037,190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(7,700,865)</w:t>
            </w:r>
          </w:p>
        </w:tc>
        <w:tc>
          <w:tcPr>
            <w:tcW w:w="0" w:type="dxa"/>
            <w:vAlign w:val="bottom"/>
          </w:tcPr>
          <w:p>
            <w:pPr>
              <w:spacing w:after="0"/>
              <w:rPr>
                <w:sz w:val="1"/>
                <w:szCs w:val="1"/>
                <w:color w:val="auto"/>
              </w:rPr>
            </w:pPr>
          </w:p>
        </w:tc>
      </w:tr>
      <w:tr>
        <w:trPr>
          <w:trHeight w:val="385"/>
        </w:trPr>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vMerge w:val="restart"/>
          </w:tcPr>
          <w:p>
            <w:pPr>
              <w:jc w:val="center"/>
              <w:ind w:left="163"/>
              <w:spacing w:after="0"/>
              <w:rPr>
                <w:sz w:val="20"/>
                <w:szCs w:val="20"/>
                <w:color w:val="auto"/>
              </w:rPr>
            </w:pPr>
            <w:r>
              <w:rPr>
                <w:rFonts w:ascii="Times New Roman" w:cs="Times New Roman" w:eastAsia="Times New Roman" w:hAnsi="Times New Roman"/>
                <w:sz w:val="11"/>
                <w:szCs w:val="11"/>
                <w:b w:val="1"/>
                <w:bCs w:val="1"/>
                <w:color w:val="auto"/>
                <w:w w:val="98"/>
              </w:rPr>
              <w:t>Cost or</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left="163"/>
              <w:spacing w:after="0"/>
              <w:rPr>
                <w:sz w:val="20"/>
                <w:szCs w:val="20"/>
                <w:color w:val="auto"/>
              </w:rPr>
            </w:pPr>
            <w:r>
              <w:rPr>
                <w:rFonts w:ascii="Times New Roman" w:cs="Times New Roman" w:eastAsia="Times New Roman" w:hAnsi="Times New Roman"/>
                <w:sz w:val="11"/>
                <w:szCs w:val="11"/>
                <w:b w:val="1"/>
                <w:bCs w:val="1"/>
                <w:color w:val="auto"/>
                <w:w w:val="94"/>
              </w:rPr>
              <w:t>Gross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6"/>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Gross Unrealized Losses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Estimated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w w:val="96"/>
              </w:rPr>
              <w:t>Net</w:t>
            </w: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4"/>
        </w:trPr>
        <w:tc>
          <w:tcPr>
            <w:tcW w:w="2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left="163"/>
              <w:spacing w:after="0" w:line="104"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jc w:val="center"/>
              <w:ind w:left="163"/>
              <w:spacing w:after="0" w:line="104"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ind w:left="340"/>
              <w:spacing w:after="0" w:line="104"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jc w:val="right"/>
              <w:ind w:right="143"/>
              <w:spacing w:after="0" w:line="104" w:lineRule="exact"/>
              <w:rPr>
                <w:sz w:val="20"/>
                <w:szCs w:val="20"/>
                <w:color w:val="auto"/>
              </w:rPr>
            </w:pPr>
            <w:r>
              <w:rPr>
                <w:rFonts w:ascii="Times New Roman" w:cs="Times New Roman" w:eastAsia="Times New Roman" w:hAnsi="Times New Roman"/>
                <w:sz w:val="11"/>
                <w:szCs w:val="11"/>
                <w:b w:val="1"/>
                <w:bCs w:val="1"/>
                <w:color w:val="auto"/>
              </w:rPr>
              <w:t>More than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jc w:val="center"/>
              <w:ind w:right="103"/>
              <w:spacing w:after="0" w:line="104"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0" w:type="dxa"/>
            <w:vAlign w:val="bottom"/>
          </w:tcPr>
          <w:p>
            <w:pPr>
              <w:spacing w:after="0"/>
              <w:rPr>
                <w:sz w:val="1"/>
                <w:szCs w:val="1"/>
                <w:color w:val="auto"/>
              </w:rPr>
            </w:pPr>
          </w:p>
        </w:tc>
      </w:tr>
      <w:tr>
        <w:trPr>
          <w:trHeight w:val="151"/>
        </w:trPr>
        <w:tc>
          <w:tcPr>
            <w:tcW w:w="2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Category</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Gains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12 Months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12 Months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0" w:type="dxa"/>
            <w:vAlign w:val="bottom"/>
          </w:tcPr>
          <w:p>
            <w:pPr>
              <w:spacing w:after="0"/>
              <w:rPr>
                <w:sz w:val="1"/>
                <w:szCs w:val="1"/>
                <w:color w:val="auto"/>
              </w:rPr>
            </w:pPr>
          </w:p>
        </w:tc>
      </w:tr>
      <w:tr>
        <w:trPr>
          <w:trHeight w:val="22"/>
        </w:trPr>
        <w:tc>
          <w:tcPr>
            <w:tcW w:w="26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6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Fixed-Maturity Securities: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20" w:type="dxa"/>
            <w:vAlign w:val="bottom"/>
            <w:gridSpan w:val="3"/>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97"/>
              </w:rPr>
              <w:t>U.S. Treasury securities and obligations of U.S. government</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corporations and agencies (1)</w:t>
            </w:r>
          </w:p>
        </w:tc>
        <w:tc>
          <w:tcPr>
            <w:tcW w:w="2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620" w:type="dxa"/>
            <w:vAlign w:val="bottom"/>
            <w:gridSpan w:val="3"/>
          </w:tcPr>
          <w:p>
            <w:pPr>
              <w:spacing w:after="0"/>
              <w:rPr>
                <w:sz w:val="20"/>
                <w:szCs w:val="20"/>
                <w:color w:val="auto"/>
              </w:rPr>
            </w:pPr>
            <w:r>
              <w:rPr>
                <w:rFonts w:ascii="Times New Roman" w:cs="Times New Roman" w:eastAsia="Times New Roman" w:hAnsi="Times New Roman"/>
                <w:sz w:val="11"/>
                <w:szCs w:val="11"/>
                <w:color w:val="auto"/>
                <w:w w:val="99"/>
              </w:rPr>
              <w:t>Political subdivisions of States, Territories and Possessions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24,271,177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(73,589)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(3,324,491)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20,873,097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(3,398,080)</w:t>
            </w:r>
          </w:p>
        </w:tc>
        <w:tc>
          <w:tcPr>
            <w:tcW w:w="0" w:type="dxa"/>
            <w:vAlign w:val="bottom"/>
          </w:tcPr>
          <w:p>
            <w:pPr>
              <w:spacing w:after="0"/>
              <w:rPr>
                <w:sz w:val="1"/>
                <w:szCs w:val="1"/>
                <w:color w:val="auto"/>
              </w:rPr>
            </w:pPr>
          </w:p>
        </w:tc>
      </w:tr>
      <w:tr>
        <w:trPr>
          <w:trHeight w:val="22"/>
        </w:trPr>
        <w:tc>
          <w:tcPr>
            <w:tcW w:w="2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Corporate and other bonds Industrial and miscellaneous</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112,507,436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(1,024,461)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(4,690,597)</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106,792,378</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(5,715,058)</w:t>
            </w:r>
          </w:p>
        </w:tc>
        <w:tc>
          <w:tcPr>
            <w:tcW w:w="0" w:type="dxa"/>
            <w:vAlign w:val="bottom"/>
          </w:tcPr>
          <w:p>
            <w:pPr>
              <w:spacing w:after="0"/>
              <w:rPr>
                <w:sz w:val="1"/>
                <w:szCs w:val="1"/>
                <w:color w:val="auto"/>
              </w:rPr>
            </w:pPr>
          </w:p>
        </w:tc>
      </w:tr>
      <w:tr>
        <w:trPr>
          <w:trHeight w:val="140"/>
        </w:trPr>
        <w:tc>
          <w:tcPr>
            <w:tcW w:w="26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Residential mortgage and other asset backed securities (2)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65,529,545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119,647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(209,890)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(6,211,339)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59,227,963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(6,301,582)</w:t>
            </w:r>
          </w:p>
        </w:tc>
        <w:tc>
          <w:tcPr>
            <w:tcW w:w="0" w:type="dxa"/>
            <w:vAlign w:val="bottom"/>
          </w:tcPr>
          <w:p>
            <w:pPr>
              <w:spacing w:after="0"/>
              <w:rPr>
                <w:sz w:val="1"/>
                <w:szCs w:val="1"/>
                <w:color w:val="auto"/>
              </w:rPr>
            </w:pPr>
          </w:p>
        </w:tc>
      </w:tr>
      <w:tr>
        <w:trPr>
          <w:trHeight w:val="22"/>
        </w:trPr>
        <w:tc>
          <w:tcPr>
            <w:tcW w:w="2620" w:type="dxa"/>
            <w:vAlign w:val="bottom"/>
            <w:tcBorders>
              <w:bottom w:val="single" w:sz="8" w:color="CCEEFF"/>
            </w:tcBorders>
            <w:gridSpan w:val="3"/>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2620" w:type="dxa"/>
            <w:vAlign w:val="bottom"/>
            <w:tcBorders>
              <w:bottom w:val="single" w:sz="8" w:color="CCEEFF"/>
            </w:tcBorders>
            <w:gridSpan w:val="3"/>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fixed-maturity securities</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CCEEFF"/>
            </w:tcBorders>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202,308,158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119,647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(1,307,940)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(14,226,427)</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186,893,438</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(15,414,720)</w:t>
            </w:r>
          </w:p>
        </w:tc>
        <w:tc>
          <w:tcPr>
            <w:tcW w:w="0" w:type="dxa"/>
            <w:vAlign w:val="bottom"/>
          </w:tcPr>
          <w:p>
            <w:pPr>
              <w:spacing w:after="0"/>
              <w:rPr>
                <w:sz w:val="1"/>
                <w:szCs w:val="1"/>
                <w:color w:val="auto"/>
              </w:rPr>
            </w:pPr>
          </w:p>
        </w:tc>
      </w:tr>
      <w:tr>
        <w:trPr>
          <w:trHeight w:val="603"/>
        </w:trPr>
        <w:tc>
          <w:tcPr>
            <w:tcW w:w="2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F-17</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5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jc w:val="both"/>
        <w:ind w:left="420" w:hanging="212"/>
        <w:spacing w:after="0" w:line="257" w:lineRule="auto"/>
        <w:tabs>
          <w:tab w:leader="none" w:pos="416"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October 2022, KICO placed certain U.S. Treasury securities to fulfill the required collateral for a sale leaseback transaction in a designated custodian account (see Note 9 – Debt - “Equipment Financing”). As of December 31, 2024 KICO had sold its U.S. Treasury securities and replaced a portion of its other fixed-maturity securities in the designated custodian account, As of December 31, 2025 and 2024, the amount of required collateral was approximately $3,616,000 and $5,308,000, respectively. As of December 31, 2025 and 2024, the estimated fair value of the eligible collateral was approximately $3,616,000 and $5,308,000, respectively.</w:t>
      </w:r>
    </w:p>
    <w:p>
      <w:pPr>
        <w:spacing w:after="0" w:line="114" w:lineRule="exact"/>
        <w:rPr>
          <w:rFonts w:ascii="Times New Roman" w:cs="Times New Roman" w:eastAsia="Times New Roman" w:hAnsi="Times New Roman"/>
          <w:sz w:val="12"/>
          <w:szCs w:val="12"/>
          <w:color w:val="auto"/>
        </w:rPr>
      </w:pPr>
    </w:p>
    <w:p>
      <w:pPr>
        <w:jc w:val="both"/>
        <w:ind w:left="420" w:hanging="212"/>
        <w:spacing w:after="0" w:line="257" w:lineRule="auto"/>
        <w:tabs>
          <w:tab w:leader="none" w:pos="416"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KICO has placed certain residential mortgage backed securities as eligible collateral in a designated custodian account related to its membership in the Federal Home Loan Bank of New York ("FHLBNY") (see Note 9 – Debt – “Federal Home Loan Bank”). The eligible collateral would be pledged to FHLBNY if KICO draws an advance from the FHLBNY credit line. As of December 31, 2025, the estimated fair value of the eligible investments was approximately $9,598,000. KICO will retain all rights regarding all securities if pledged as collateral. As of December 31, 2025 and 2024 there was no outstanding balance on the FHLBNY credit line.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the amortized cost and estimated fair value of the Company’s investments in available-for-sale fixed-maturity securities by contractual maturity as of December 31, 2025 and 2024 is shown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40" w:type="dxa"/>
            <w:vAlign w:val="bottom"/>
            <w:tcBorders>
              <w:bottom w:val="single" w:sz="8" w:color="auto"/>
            </w:tcBorders>
          </w:tcPr>
          <w:p>
            <w:pPr>
              <w:spacing w:after="0"/>
              <w:rPr>
                <w:sz w:val="14"/>
                <w:szCs w:val="14"/>
                <w:color w:val="auto"/>
              </w:rPr>
            </w:pPr>
          </w:p>
        </w:tc>
      </w:tr>
      <w:tr>
        <w:trPr>
          <w:trHeight w:val="132"/>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460" w:type="dxa"/>
            <w:vAlign w:val="bottom"/>
          </w:tcPr>
          <w:p>
            <w:pPr>
              <w:spacing w:after="0"/>
              <w:rPr>
                <w:sz w:val="11"/>
                <w:szCs w:val="11"/>
                <w:color w:val="auto"/>
              </w:rPr>
            </w:pPr>
          </w:p>
        </w:tc>
        <w:tc>
          <w:tcPr>
            <w:tcW w:w="110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2"/>
                <w:szCs w:val="12"/>
                <w:b w:val="1"/>
                <w:bCs w:val="1"/>
                <w:color w:val="auto"/>
              </w:rPr>
              <w:t>Estimated</w:t>
            </w:r>
          </w:p>
        </w:tc>
        <w:tc>
          <w:tcPr>
            <w:tcW w:w="280" w:type="dxa"/>
            <w:vAlign w:val="bottom"/>
          </w:tcPr>
          <w:p>
            <w:pPr>
              <w:spacing w:after="0"/>
              <w:rPr>
                <w:sz w:val="11"/>
                <w:szCs w:val="11"/>
                <w:color w:val="auto"/>
              </w:rPr>
            </w:pPr>
          </w:p>
        </w:tc>
        <w:tc>
          <w:tcPr>
            <w:tcW w:w="130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440" w:type="dxa"/>
            <w:vAlign w:val="bottom"/>
          </w:tcPr>
          <w:p>
            <w:pPr>
              <w:spacing w:after="0"/>
              <w:rPr>
                <w:sz w:val="11"/>
                <w:szCs w:val="11"/>
                <w:color w:val="auto"/>
              </w:rPr>
            </w:pPr>
          </w:p>
        </w:tc>
        <w:tc>
          <w:tcPr>
            <w:tcW w:w="1040" w:type="dxa"/>
            <w:vAlign w:val="bottom"/>
          </w:tcPr>
          <w:p>
            <w:pPr>
              <w:jc w:val="right"/>
              <w:ind w:right="420"/>
              <w:spacing w:after="0" w:line="132" w:lineRule="exact"/>
              <w:rPr>
                <w:sz w:val="20"/>
                <w:szCs w:val="20"/>
                <w:color w:val="auto"/>
              </w:rPr>
            </w:pPr>
            <w:r>
              <w:rPr>
                <w:rFonts w:ascii="Times New Roman" w:cs="Times New Roman" w:eastAsia="Times New Roman" w:hAnsi="Times New Roman"/>
                <w:sz w:val="12"/>
                <w:szCs w:val="12"/>
                <w:b w:val="1"/>
                <w:bCs w:val="1"/>
                <w:color w:val="auto"/>
              </w:rPr>
              <w:t>Estimated</w:t>
            </w:r>
          </w:p>
        </w:tc>
      </w:tr>
      <w:tr>
        <w:trPr>
          <w:trHeight w:val="163"/>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Remaining Time to Maturity</w:t>
            </w: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6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8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440" w:type="dxa"/>
            <w:vAlign w:val="bottom"/>
          </w:tcPr>
          <w:p>
            <w:pPr>
              <w:spacing w:after="0"/>
              <w:rPr>
                <w:sz w:val="14"/>
                <w:szCs w:val="14"/>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r>
      <w:tr>
        <w:trPr>
          <w:trHeight w:val="164"/>
        </w:trPr>
        <w:tc>
          <w:tcPr>
            <w:tcW w:w="5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171"/>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than one year</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6,039,179</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6,052,600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9,522,262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9,484,834</w:t>
            </w:r>
          </w:p>
        </w:tc>
      </w:tr>
      <w:tr>
        <w:trPr>
          <w:trHeight w:val="167"/>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One to five years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76,122,161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75,365,535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68,052,387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66,141,372</w:t>
            </w:r>
          </w:p>
        </w:tc>
      </w:tr>
      <w:tr>
        <w:trPr>
          <w:trHeight w:val="175"/>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Five to ten years</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54,998,070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53,590,654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38,159,446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34,068,922</w:t>
            </w:r>
          </w:p>
        </w:tc>
      </w:tr>
      <w:tr>
        <w:trPr>
          <w:trHeight w:val="167"/>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More than 10 years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19,921,935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17,638,516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21,044,518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17,970,347</w:t>
            </w:r>
          </w:p>
        </w:tc>
      </w:tr>
      <w:tr>
        <w:trPr>
          <w:trHeight w:val="17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 mortgage and other asset backed securities</w:t>
            </w: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139,656,710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136,389,885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65,529,545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59,227,963</w:t>
            </w:r>
          </w:p>
        </w:tc>
      </w:tr>
      <w:tr>
        <w:trPr>
          <w:trHeight w:val="156"/>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296,738,055</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289,037,190</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202,308,158</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186,893,438</w:t>
            </w: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actual maturities may differ from contractual maturities because certain borrowers have the right to call or prepay obligations with or without penalties.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cost and estimated fair value of, and gross unrealized gains and losses on, investments in equity securities as of December 31, 2025 and 2024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32"/>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0"/>
              <w:spacing w:after="0" w:line="132" w:lineRule="exact"/>
              <w:rPr>
                <w:sz w:val="20"/>
                <w:szCs w:val="20"/>
                <w:color w:val="auto"/>
              </w:rPr>
            </w:pPr>
            <w:r>
              <w:rPr>
                <w:rFonts w:ascii="Times New Roman" w:cs="Times New Roman" w:eastAsia="Times New Roman" w:hAnsi="Times New Roman"/>
                <w:sz w:val="12"/>
                <w:szCs w:val="12"/>
                <w:b w:val="1"/>
                <w:bCs w:val="1"/>
                <w:color w:val="auto"/>
              </w:rPr>
              <w:t>Gross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ind w:left="580"/>
              <w:spacing w:after="0" w:line="132" w:lineRule="exact"/>
              <w:rPr>
                <w:sz w:val="20"/>
                <w:szCs w:val="20"/>
                <w:color w:val="auto"/>
              </w:rPr>
            </w:pPr>
            <w:r>
              <w:rPr>
                <w:rFonts w:ascii="Times New Roman" w:cs="Times New Roman" w:eastAsia="Times New Roman" w:hAnsi="Times New Roman"/>
                <w:sz w:val="12"/>
                <w:szCs w:val="12"/>
                <w:b w:val="1"/>
                <w:bCs w:val="1"/>
                <w:color w:val="auto"/>
              </w:rPr>
              <w:t>Gross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440"/>
              <w:spacing w:after="0" w:line="132" w:lineRule="exact"/>
              <w:rPr>
                <w:sz w:val="20"/>
                <w:szCs w:val="20"/>
                <w:color w:val="auto"/>
              </w:rPr>
            </w:pPr>
            <w:r>
              <w:rPr>
                <w:rFonts w:ascii="Times New Roman" w:cs="Times New Roman" w:eastAsia="Times New Roman" w:hAnsi="Times New Roman"/>
                <w:sz w:val="12"/>
                <w:szCs w:val="12"/>
                <w:b w:val="1"/>
                <w:bCs w:val="1"/>
                <w:color w:val="auto"/>
              </w:rPr>
              <w:t>Estimated</w:t>
            </w:r>
          </w:p>
        </w:tc>
      </w:tr>
      <w:tr>
        <w:trPr>
          <w:trHeight w:val="172"/>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Gains</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331"/>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stocks</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9,750,322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(2,765,627)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6,984,695</w:t>
            </w:r>
          </w:p>
        </w:tc>
      </w:tr>
      <w:tr>
        <w:trPr>
          <w:trHeight w:val="167"/>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Fixed income exchange traded funds</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3,711,232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(724,432)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2,986,800</w:t>
            </w:r>
          </w:p>
        </w:tc>
      </w:tr>
      <w:tr>
        <w:trPr>
          <w:trHeight w:val="175"/>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FHLBNY common stock</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85,100</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85,100</w:t>
            </w:r>
          </w:p>
        </w:tc>
      </w:tr>
      <w:tr>
        <w:trPr>
          <w:trHeight w:val="155"/>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88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13,546,654</w:t>
            </w: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(3,490,059)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10,056,595</w:t>
            </w: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83"/>
        </w:trPr>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83"/>
              <w:spacing w:after="0"/>
              <w:rPr>
                <w:sz w:val="20"/>
                <w:szCs w:val="20"/>
                <w:color w:val="auto"/>
              </w:rPr>
            </w:pPr>
            <w:r>
              <w:rPr>
                <w:rFonts w:ascii="Times New Roman" w:cs="Times New Roman" w:eastAsia="Times New Roman" w:hAnsi="Times New Roman"/>
                <w:sz w:val="12"/>
                <w:szCs w:val="12"/>
                <w:color w:val="auto"/>
              </w:rPr>
              <w:t>F-18</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2"/>
        </w:trPr>
        <w:tc>
          <w:tcPr>
            <w:tcW w:w="5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32"/>
        </w:trPr>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20"/>
              <w:spacing w:after="0" w:line="132" w:lineRule="exact"/>
              <w:rPr>
                <w:sz w:val="20"/>
                <w:szCs w:val="20"/>
                <w:color w:val="auto"/>
              </w:rPr>
            </w:pPr>
            <w:r>
              <w:rPr>
                <w:rFonts w:ascii="Times New Roman" w:cs="Times New Roman" w:eastAsia="Times New Roman" w:hAnsi="Times New Roman"/>
                <w:sz w:val="12"/>
                <w:szCs w:val="12"/>
                <w:b w:val="1"/>
                <w:bCs w:val="1"/>
                <w:color w:val="auto"/>
              </w:rPr>
              <w:t>Gross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ind w:left="580"/>
              <w:spacing w:after="0" w:line="132" w:lineRule="exact"/>
              <w:rPr>
                <w:sz w:val="20"/>
                <w:szCs w:val="20"/>
                <w:color w:val="auto"/>
              </w:rPr>
            </w:pPr>
            <w:r>
              <w:rPr>
                <w:rFonts w:ascii="Times New Roman" w:cs="Times New Roman" w:eastAsia="Times New Roman" w:hAnsi="Times New Roman"/>
                <w:sz w:val="12"/>
                <w:szCs w:val="12"/>
                <w:b w:val="1"/>
                <w:bCs w:val="1"/>
                <w:color w:val="auto"/>
              </w:rPr>
              <w:t>Gross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440"/>
              <w:spacing w:after="0" w:line="132" w:lineRule="exact"/>
              <w:rPr>
                <w:sz w:val="20"/>
                <w:szCs w:val="20"/>
                <w:color w:val="auto"/>
              </w:rPr>
            </w:pPr>
            <w:r>
              <w:rPr>
                <w:rFonts w:ascii="Times New Roman" w:cs="Times New Roman" w:eastAsia="Times New Roman" w:hAnsi="Times New Roman"/>
                <w:sz w:val="12"/>
                <w:szCs w:val="12"/>
                <w:b w:val="1"/>
                <w:bCs w:val="1"/>
                <w:color w:val="auto"/>
              </w:rPr>
              <w:t>Estimated</w:t>
            </w:r>
          </w:p>
        </w:tc>
      </w:tr>
      <w:tr>
        <w:trPr>
          <w:trHeight w:val="172"/>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Gains</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2"/>
                <w:szCs w:val="12"/>
                <w:b w:val="1"/>
                <w:bCs w:val="1"/>
                <w:color w:val="auto"/>
                <w:w w:val="95"/>
              </w:rPr>
              <w:t>Losses</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331"/>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Preferred stocks</w:t>
            </w:r>
          </w:p>
        </w:tc>
        <w:tc>
          <w:tcPr>
            <w:tcW w:w="88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9,750,322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(2,422,617)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7,327,705</w:t>
            </w:r>
          </w:p>
        </w:tc>
      </w:tr>
      <w:tr>
        <w:trPr>
          <w:trHeight w:val="166"/>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Fixed income exchange traded funds,</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3,711,232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(808,432)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2,902,800</w:t>
            </w:r>
          </w:p>
        </w:tc>
      </w:tr>
      <w:tr>
        <w:trPr>
          <w:trHeight w:val="17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FHLBNY common stock</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66,000</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66,000</w:t>
            </w:r>
          </w:p>
        </w:tc>
      </w:tr>
      <w:tr>
        <w:trPr>
          <w:trHeight w:val="155"/>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88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13,527,554</w:t>
            </w: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2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(3,231,049)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10,296,505</w:t>
            </w:r>
          </w:p>
        </w:tc>
      </w:tr>
      <w:tr>
        <w:trPr>
          <w:trHeight w:val="20"/>
        </w:trPr>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 Investments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cost and estimated fair value of, and gross unrealized gains on, the Company’s other investments as of December 31, 2025 and 2024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December 31, 2024</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6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40" w:type="dxa"/>
            <w:vAlign w:val="bottom"/>
          </w:tcPr>
          <w:p>
            <w:pPr>
              <w:spacing w:after="0"/>
              <w:rPr>
                <w:sz w:val="12"/>
                <w:szCs w:val="12"/>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320" w:type="dxa"/>
            <w:vAlign w:val="bottom"/>
          </w:tcPr>
          <w:p>
            <w:pPr>
              <w:spacing w:after="0"/>
              <w:rPr>
                <w:sz w:val="12"/>
                <w:szCs w:val="12"/>
                <w:color w:val="auto"/>
              </w:rPr>
            </w:pPr>
          </w:p>
        </w:tc>
        <w:tc>
          <w:tcPr>
            <w:tcW w:w="1060" w:type="dxa"/>
            <w:vAlign w:val="bottom"/>
            <w:vMerge w:val="restart"/>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40" w:type="dxa"/>
            <w:vAlign w:val="bottom"/>
          </w:tcPr>
          <w:p>
            <w:pPr>
              <w:spacing w:after="0"/>
              <w:rPr>
                <w:sz w:val="12"/>
                <w:szCs w:val="12"/>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0" w:type="dxa"/>
            <w:vAlign w:val="bottom"/>
          </w:tcPr>
          <w:p>
            <w:pPr>
              <w:spacing w:after="0"/>
              <w:rPr>
                <w:sz w:val="1"/>
                <w:szCs w:val="1"/>
                <w:color w:val="auto"/>
              </w:rPr>
            </w:pPr>
          </w:p>
        </w:tc>
      </w:tr>
      <w:tr>
        <w:trPr>
          <w:trHeight w:val="159"/>
        </w:trPr>
        <w:tc>
          <w:tcPr>
            <w:tcW w:w="26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327"/>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Investments: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Hedge fund</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1,987,040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2,565,338</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4,552,378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1,987,040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2,393,616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4,380,656</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may withdraw any or all of its interest in the Hedge Fund by written request at least 45 days prior to the applicable withdrawal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Held-to-Maturity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cost or amortized cost and estimated fair value of, and gross unrealized gains and losses on, investments in held-to-maturity fixed-maturity securities as of December 31, 2025 and 2024 are summarized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0"/>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Cost or</w:t>
            </w:r>
          </w:p>
        </w:tc>
        <w:tc>
          <w:tcPr>
            <w:tcW w:w="1100" w:type="dxa"/>
            <w:vAlign w:val="bottom"/>
          </w:tcPr>
          <w:p>
            <w:pPr>
              <w:jc w:val="center"/>
              <w:ind w:left="18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240" w:type="dxa"/>
            <w:vAlign w:val="bottom"/>
          </w:tcPr>
          <w:p>
            <w:pPr>
              <w:spacing w:after="0"/>
              <w:rPr>
                <w:sz w:val="13"/>
                <w:szCs w:val="13"/>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Net</w:t>
            </w:r>
          </w:p>
        </w:tc>
      </w:tr>
      <w:tr>
        <w:trPr>
          <w:trHeight w:val="127"/>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1100" w:type="dxa"/>
            <w:vAlign w:val="bottom"/>
          </w:tcPr>
          <w:p>
            <w:pPr>
              <w:jc w:val="center"/>
              <w:ind w:left="1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240" w:type="dxa"/>
            <w:vAlign w:val="bottom"/>
          </w:tcPr>
          <w:p>
            <w:pPr>
              <w:spacing w:after="0"/>
              <w:rPr>
                <w:sz w:val="11"/>
                <w:szCs w:val="11"/>
                <w:color w:val="auto"/>
              </w:rPr>
            </w:pPr>
          </w:p>
        </w:tc>
        <w:tc>
          <w:tcPr>
            <w:tcW w:w="120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240" w:type="dxa"/>
            <w:vAlign w:val="bottom"/>
          </w:tcPr>
          <w:p>
            <w:pPr>
              <w:spacing w:after="0"/>
              <w:rPr>
                <w:sz w:val="11"/>
                <w:szCs w:val="11"/>
                <w:color w:val="auto"/>
              </w:rPr>
            </w:pPr>
          </w:p>
        </w:tc>
        <w:tc>
          <w:tcPr>
            <w:tcW w:w="1140" w:type="dxa"/>
            <w:vAlign w:val="bottom"/>
          </w:tcPr>
          <w:p>
            <w:pPr>
              <w:jc w:val="right"/>
              <w:ind w:right="340"/>
              <w:spacing w:after="0" w:line="128" w:lineRule="exact"/>
              <w:rPr>
                <w:sz w:val="20"/>
                <w:szCs w:val="20"/>
                <w:color w:val="auto"/>
              </w:rPr>
            </w:pPr>
            <w:r>
              <w:rPr>
                <w:rFonts w:ascii="Times New Roman" w:cs="Times New Roman" w:eastAsia="Times New Roman" w:hAnsi="Times New Roman"/>
                <w:sz w:val="12"/>
                <w:szCs w:val="12"/>
                <w:b w:val="1"/>
                <w:bCs w:val="1"/>
                <w:color w:val="auto"/>
              </w:rPr>
              <w:t>Unrealized</w:t>
            </w:r>
          </w:p>
        </w:tc>
      </w:tr>
      <w:tr>
        <w:trPr>
          <w:trHeight w:val="172"/>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Losses</w:t>
            </w:r>
          </w:p>
        </w:tc>
      </w:tr>
      <w:tr>
        <w:trPr>
          <w:trHeight w:val="331"/>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Held-to-Maturity Securities: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1,229,490</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(22,083)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1,204,337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(25,153)</w:t>
            </w:r>
          </w:p>
        </w:tc>
      </w:tr>
      <w:tr>
        <w:trPr>
          <w:trHeight w:val="166"/>
        </w:trPr>
        <w:tc>
          <w:tcPr>
            <w:tcW w:w="27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traded debt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304,111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(62,111)</w:t>
            </w:r>
          </w:p>
        </w:tc>
      </w:tr>
      <w:tr>
        <w:trPr>
          <w:trHeight w:val="17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6"/>
        </w:trPr>
        <w:tc>
          <w:tcPr>
            <w:tcW w:w="27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4,508,747</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(817,817)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3,690,930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(817,817)</w:t>
            </w:r>
          </w:p>
        </w:tc>
      </w:tr>
      <w:tr>
        <w:trPr>
          <w:trHeight w:val="180"/>
        </w:trPr>
        <w:tc>
          <w:tcPr>
            <w:tcW w:w="2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6,042,348</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2"/>
                <w:szCs w:val="12"/>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(902,011)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5,137,267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(905,081)</w:t>
            </w:r>
          </w:p>
        </w:tc>
      </w:tr>
      <w:tr>
        <w:trPr>
          <w:trHeight w:val="603"/>
        </w:trPr>
        <w:tc>
          <w:tcPr>
            <w:tcW w:w="2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6"/>
              </w:rPr>
              <w:t>F-19</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2"/>
        </w:trPr>
        <w:tc>
          <w:tcPr>
            <w:tcW w:w="2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0"/>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Cost or</w:t>
            </w:r>
          </w:p>
        </w:tc>
        <w:tc>
          <w:tcPr>
            <w:tcW w:w="1120" w:type="dxa"/>
            <w:vAlign w:val="bottom"/>
          </w:tcPr>
          <w:p>
            <w:pPr>
              <w:jc w:val="center"/>
              <w:ind w:left="16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Estimated</w:t>
            </w:r>
          </w:p>
        </w:tc>
        <w:tc>
          <w:tcPr>
            <w:tcW w:w="240" w:type="dxa"/>
            <w:vAlign w:val="bottom"/>
          </w:tcPr>
          <w:p>
            <w:pPr>
              <w:spacing w:after="0"/>
              <w:rPr>
                <w:sz w:val="13"/>
                <w:szCs w:val="13"/>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Net</w:t>
            </w:r>
          </w:p>
        </w:tc>
      </w:tr>
      <w:tr>
        <w:trPr>
          <w:trHeight w:val="127"/>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w w:val="98"/>
              </w:rPr>
              <w:t>Amortized</w:t>
            </w:r>
          </w:p>
        </w:tc>
        <w:tc>
          <w:tcPr>
            <w:tcW w:w="1120" w:type="dxa"/>
            <w:vAlign w:val="bottom"/>
          </w:tcPr>
          <w:p>
            <w:pPr>
              <w:jc w:val="center"/>
              <w:ind w:left="1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rPr>
              <w:t>Less than</w:t>
            </w:r>
          </w:p>
        </w:tc>
        <w:tc>
          <w:tcPr>
            <w:tcW w:w="260" w:type="dxa"/>
            <w:vAlign w:val="bottom"/>
          </w:tcPr>
          <w:p>
            <w:pPr>
              <w:spacing w:after="0"/>
              <w:rPr>
                <w:sz w:val="11"/>
                <w:szCs w:val="11"/>
                <w:color w:val="auto"/>
              </w:rPr>
            </w:pPr>
          </w:p>
        </w:tc>
        <w:tc>
          <w:tcPr>
            <w:tcW w:w="120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More than</w:t>
            </w: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240" w:type="dxa"/>
            <w:vAlign w:val="bottom"/>
          </w:tcPr>
          <w:p>
            <w:pPr>
              <w:spacing w:after="0"/>
              <w:rPr>
                <w:sz w:val="11"/>
                <w:szCs w:val="11"/>
                <w:color w:val="auto"/>
              </w:rPr>
            </w:pPr>
          </w:p>
        </w:tc>
        <w:tc>
          <w:tcPr>
            <w:tcW w:w="1140" w:type="dxa"/>
            <w:vAlign w:val="bottom"/>
          </w:tcPr>
          <w:p>
            <w:pPr>
              <w:jc w:val="right"/>
              <w:ind w:right="340"/>
              <w:spacing w:after="0" w:line="128" w:lineRule="exact"/>
              <w:rPr>
                <w:sz w:val="20"/>
                <w:szCs w:val="20"/>
                <w:color w:val="auto"/>
              </w:rPr>
            </w:pPr>
            <w:r>
              <w:rPr>
                <w:rFonts w:ascii="Times New Roman" w:cs="Times New Roman" w:eastAsia="Times New Roman" w:hAnsi="Times New Roman"/>
                <w:sz w:val="12"/>
                <w:szCs w:val="12"/>
                <w:b w:val="1"/>
                <w:bCs w:val="1"/>
                <w:color w:val="auto"/>
              </w:rPr>
              <w:t>Unrealized</w:t>
            </w:r>
          </w:p>
        </w:tc>
      </w:tr>
      <w:tr>
        <w:trPr>
          <w:trHeight w:val="172"/>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9"/>
              </w:rPr>
              <w:t>Gains</w:t>
            </w:r>
          </w:p>
        </w:tc>
        <w:tc>
          <w:tcPr>
            <w:tcW w:w="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12 Months</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12 Months</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Losses</w:t>
            </w:r>
          </w:p>
        </w:tc>
      </w:tr>
      <w:tr>
        <w:trPr>
          <w:trHeight w:val="331"/>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Held-to-Maturity Securities: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5"/>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1,229,170</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1,173,550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(55,620)</w:t>
            </w:r>
          </w:p>
        </w:tc>
      </w:tr>
      <w:tr>
        <w:trPr>
          <w:trHeight w:val="167"/>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Political subdivisions of States,</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2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Territories and Possessions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499,719</w:t>
            </w: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499,065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r>
      <w:tr>
        <w:trPr>
          <w:trHeight w:val="166"/>
        </w:trPr>
        <w:tc>
          <w:tcPr>
            <w:tcW w:w="2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Exchange traded debt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304,111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(55,611)</w:t>
            </w:r>
          </w:p>
        </w:tc>
      </w:tr>
      <w:tr>
        <w:trPr>
          <w:trHeight w:val="17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6"/>
        </w:trPr>
        <w:tc>
          <w:tcPr>
            <w:tcW w:w="27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Industrial and miscellaneous</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5,014,342</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(976,192)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4,038,150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(976,192)</w:t>
            </w:r>
          </w:p>
        </w:tc>
      </w:tr>
      <w:tr>
        <w:trPr>
          <w:trHeight w:val="181"/>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7,047,342</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(40,284)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(1,047,793)</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5,959,265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(1,088,077)</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Held-to-maturity U.S. Treasury securities are held in trust pursuant to various states’ minimum fund requirements.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the amortized cost and the estimated fair value of the Company’s investments in held-to-maturity securities by contractual maturity as of December 31, 2025 and 2024 is shown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Remaining Time to Maturity</w:t>
            </w:r>
          </w:p>
        </w:tc>
        <w:tc>
          <w:tcPr>
            <w:tcW w:w="26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46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Amortized</w:t>
            </w:r>
          </w:p>
        </w:tc>
        <w:tc>
          <w:tcPr>
            <w:tcW w:w="440" w:type="dxa"/>
            <w:vAlign w:val="bottom"/>
          </w:tcPr>
          <w:p>
            <w:pPr>
              <w:spacing w:after="0"/>
              <w:rPr>
                <w:sz w:val="12"/>
                <w:szCs w:val="12"/>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0" w:type="dxa"/>
            <w:vAlign w:val="bottom"/>
          </w:tcPr>
          <w:p>
            <w:pPr>
              <w:spacing w:after="0"/>
              <w:rPr>
                <w:sz w:val="1"/>
                <w:szCs w:val="1"/>
                <w:color w:val="auto"/>
              </w:rPr>
            </w:pPr>
          </w:p>
        </w:tc>
      </w:tr>
      <w:tr>
        <w:trPr>
          <w:trHeight w:val="159"/>
        </w:trPr>
        <w:tc>
          <w:tcPr>
            <w:tcW w:w="51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6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8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4"/>
              </w:rPr>
              <w:t>Cost</w:t>
            </w:r>
          </w:p>
        </w:tc>
        <w:tc>
          <w:tcPr>
            <w:tcW w:w="440" w:type="dxa"/>
            <w:vAlign w:val="bottom"/>
          </w:tcPr>
          <w:p>
            <w:pPr>
              <w:spacing w:after="0"/>
              <w:rPr>
                <w:sz w:val="13"/>
                <w:szCs w:val="13"/>
                <w:color w:val="auto"/>
              </w:rPr>
            </w:pPr>
          </w:p>
        </w:tc>
        <w:tc>
          <w:tcPr>
            <w:tcW w:w="10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0"/>
        </w:trPr>
        <w:tc>
          <w:tcPr>
            <w:tcW w:w="5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than one year</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499,719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499,065</w:t>
            </w:r>
          </w:p>
        </w:tc>
        <w:tc>
          <w:tcPr>
            <w:tcW w:w="0" w:type="dxa"/>
            <w:vAlign w:val="bottom"/>
          </w:tcPr>
          <w:p>
            <w:pPr>
              <w:spacing w:after="0"/>
              <w:rPr>
                <w:sz w:val="1"/>
                <w:szCs w:val="1"/>
                <w:color w:val="auto"/>
              </w:rPr>
            </w:pPr>
          </w:p>
        </w:tc>
      </w:tr>
      <w:tr>
        <w:trPr>
          <w:trHeight w:val="167"/>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One to five years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2,063,366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2,029,462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622,375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600,288</w:t>
            </w:r>
          </w:p>
        </w:tc>
        <w:tc>
          <w:tcPr>
            <w:tcW w:w="0" w:type="dxa"/>
            <w:vAlign w:val="bottom"/>
          </w:tcPr>
          <w:p>
            <w:pPr>
              <w:spacing w:after="0"/>
              <w:rPr>
                <w:sz w:val="1"/>
                <w:szCs w:val="1"/>
                <w:color w:val="auto"/>
              </w:rPr>
            </w:pPr>
          </w:p>
        </w:tc>
      </w:tr>
      <w:tr>
        <w:trPr>
          <w:trHeight w:val="175"/>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Five to ten years</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1,427,579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1,323,600</w:t>
            </w:r>
          </w:p>
        </w:tc>
        <w:tc>
          <w:tcPr>
            <w:tcW w:w="0" w:type="dxa"/>
            <w:vAlign w:val="bottom"/>
          </w:tcPr>
          <w:p>
            <w:pPr>
              <w:spacing w:after="0"/>
              <w:rPr>
                <w:sz w:val="1"/>
                <w:szCs w:val="1"/>
                <w:color w:val="auto"/>
              </w:rPr>
            </w:pPr>
          </w:p>
        </w:tc>
      </w:tr>
      <w:tr>
        <w:trPr>
          <w:trHeight w:val="167"/>
        </w:trPr>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More than 10 years</w:t>
            </w: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3,978,982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3,107,805</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4,497,669</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3,536,312</w:t>
            </w:r>
          </w:p>
        </w:tc>
        <w:tc>
          <w:tcPr>
            <w:tcW w:w="0" w:type="dxa"/>
            <w:vAlign w:val="bottom"/>
          </w:tcPr>
          <w:p>
            <w:pPr>
              <w:spacing w:after="0"/>
              <w:rPr>
                <w:sz w:val="1"/>
                <w:szCs w:val="1"/>
                <w:color w:val="auto"/>
              </w:rPr>
            </w:pPr>
          </w:p>
        </w:tc>
      </w:tr>
      <w:tr>
        <w:trPr>
          <w:trHeight w:val="180"/>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6,042,348</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5,137,267</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7,047,342</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5,959,265</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actual maturities may differ from contractual maturities because certain borrowers have the right to call or prepay obligations with or without penalties.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was no allowance for credit losses on held-to-maturity fixed-maturity securities as of December 31, 2025 and December 31, 2024.</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7"/>
              </w:rPr>
              <w:t>Investment Income</w:t>
            </w:r>
          </w:p>
        </w:tc>
        <w:tc>
          <w:tcPr>
            <w:tcW w:w="7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86"/>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Major categories of the Company’s net investment income are summarized as follows:</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9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Years ended</w:t>
            </w:r>
          </w:p>
        </w:tc>
        <w:tc>
          <w:tcPr>
            <w:tcW w:w="1020" w:type="dxa"/>
            <w:vAlign w:val="bottom"/>
          </w:tcPr>
          <w:p>
            <w:pPr>
              <w:spacing w:after="0"/>
              <w:rPr>
                <w:sz w:val="24"/>
                <w:szCs w:val="24"/>
                <w:color w:val="auto"/>
              </w:rPr>
            </w:pPr>
          </w:p>
        </w:tc>
      </w:tr>
      <w:tr>
        <w:trPr>
          <w:trHeight w:val="163"/>
        </w:trPr>
        <w:tc>
          <w:tcPr>
            <w:tcW w:w="9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bottom w:val="single" w:sz="8" w:color="auto"/>
            </w:tcBorders>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300"/>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5"/>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Fixed-maturity securities</w:t>
            </w: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9,324,074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5,197,793</w:t>
            </w:r>
          </w:p>
        </w:tc>
      </w:tr>
      <w:tr>
        <w:trPr>
          <w:trHeight w:val="167"/>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508,686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591,023</w:t>
            </w:r>
          </w:p>
        </w:tc>
      </w:tr>
      <w:tr>
        <w:trPr>
          <w:trHeight w:val="175"/>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344,837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1,215,861</w:t>
            </w:r>
          </w:p>
        </w:tc>
      </w:tr>
      <w:tr>
        <w:trPr>
          <w:trHeight w:val="167"/>
        </w:trPr>
        <w:tc>
          <w:tcPr>
            <w:tcW w:w="8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39,227</w:t>
            </w:r>
          </w:p>
        </w:tc>
      </w:tr>
      <w:tr>
        <w:trPr>
          <w:trHeight w:val="165"/>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10,177,597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7,043,904</w:t>
            </w:r>
          </w:p>
        </w:tc>
      </w:tr>
      <w:tr>
        <w:trPr>
          <w:trHeight w:val="167"/>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expenses</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378,833</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220,314</w:t>
            </w:r>
          </w:p>
        </w:tc>
      </w:tr>
      <w:tr>
        <w:trPr>
          <w:trHeight w:val="155"/>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8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9,798,764</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6,823,590</w:t>
            </w:r>
          </w:p>
        </w:tc>
      </w:tr>
      <w:tr>
        <w:trPr>
          <w:trHeight w:val="20"/>
        </w:trPr>
        <w:tc>
          <w:tcPr>
            <w:tcW w:w="9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the redemption of fixed-maturity securities held-to-maturity were $1,000,000 and $0 for the years ended December 31, 2025 and 2024,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the sale and maturity of fixed-maturity securities available-for-sale were $59,751,659 and $127,665,799 for the years ended December 31, 2025 and 2024,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from the sale of equity securities were $0 and $4,410,859 for the years ended December 31, 2025 and 2024,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net gains (losses) on investments for the years ended December 31, 2025 and 2024 are summarized as follows:</w:t>
      </w:r>
    </w:p>
    <w:p>
      <w:pPr>
        <w:spacing w:after="0" w:line="173"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21"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16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r>
      <w:tr>
        <w:trPr>
          <w:trHeight w:val="300"/>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Realized (Losses) Gains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8"/>
        </w:trPr>
        <w:tc>
          <w:tcPr>
            <w:tcW w:w="8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realized gains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16,152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1,287</w:t>
            </w:r>
          </w:p>
        </w:tc>
        <w:tc>
          <w:tcPr>
            <w:tcW w:w="80" w:type="dxa"/>
            <w:vAlign w:val="bottom"/>
            <w:shd w:val="clear" w:color="auto" w:fill="CCEEFF"/>
          </w:tcPr>
          <w:p>
            <w:pPr>
              <w:spacing w:after="0"/>
              <w:rPr>
                <w:sz w:val="15"/>
                <w:szCs w:val="15"/>
                <w:color w:val="auto"/>
              </w:rPr>
            </w:pPr>
          </w:p>
        </w:tc>
      </w:tr>
      <w:tr>
        <w:trPr>
          <w:trHeight w:val="166"/>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Gross realized losses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(238,858)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(15,266)</w:t>
            </w:r>
          </w:p>
        </w:tc>
        <w:tc>
          <w:tcPr>
            <w:tcW w:w="80" w:type="dxa"/>
            <w:vAlign w:val="bottom"/>
            <w:tcBorders>
              <w:bottom w:val="single" w:sz="8" w:color="CCEEFF"/>
            </w:tcBorders>
          </w:tcPr>
          <w:p>
            <w:pPr>
              <w:spacing w:after="0"/>
              <w:rPr>
                <w:sz w:val="14"/>
                <w:szCs w:val="14"/>
                <w:color w:val="auto"/>
              </w:rPr>
            </w:pPr>
          </w:p>
        </w:tc>
      </w:tr>
      <w:tr>
        <w:trPr>
          <w:trHeight w:val="160"/>
        </w:trPr>
        <w:tc>
          <w:tcPr>
            <w:tcW w:w="81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(222,706)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(13,979)</w:t>
            </w:r>
          </w:p>
        </w:tc>
        <w:tc>
          <w:tcPr>
            <w:tcW w:w="80" w:type="dxa"/>
            <w:vAlign w:val="bottom"/>
            <w:shd w:val="clear" w:color="auto" w:fill="CCEEFF"/>
          </w:tcPr>
          <w:p>
            <w:pPr>
              <w:spacing w:after="0"/>
              <w:rPr>
                <w:sz w:val="13"/>
                <w:szCs w:val="13"/>
                <w:color w:val="auto"/>
              </w:rPr>
            </w:pPr>
          </w:p>
        </w:tc>
      </w:tr>
      <w:tr>
        <w:trPr>
          <w:trHeight w:val="165"/>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Gross realized gains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374,997</w:t>
            </w: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realized losses</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(423,367)</w:t>
            </w:r>
          </w:p>
        </w:tc>
        <w:tc>
          <w:tcPr>
            <w:tcW w:w="80" w:type="dxa"/>
            <w:vAlign w:val="bottom"/>
            <w:shd w:val="clear" w:color="auto" w:fill="CCEEFF"/>
          </w:tcPr>
          <w:p>
            <w:pPr>
              <w:spacing w:after="0"/>
              <w:rPr>
                <w:sz w:val="14"/>
                <w:szCs w:val="14"/>
                <w:color w:val="auto"/>
              </w:rPr>
            </w:pPr>
          </w:p>
        </w:tc>
      </w:tr>
      <w:tr>
        <w:trPr>
          <w:trHeight w:val="160"/>
        </w:trPr>
        <w:tc>
          <w:tcPr>
            <w:tcW w:w="8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(48,370)</w:t>
            </w:r>
          </w:p>
        </w:tc>
        <w:tc>
          <w:tcPr>
            <w:tcW w:w="80" w:type="dxa"/>
            <w:vAlign w:val="bottom"/>
            <w:tcBorders>
              <w:bottom w:val="single" w:sz="8" w:color="CCEEFF"/>
            </w:tcBorders>
          </w:tcPr>
          <w:p>
            <w:pPr>
              <w:spacing w:after="0"/>
              <w:rPr>
                <w:sz w:val="13"/>
                <w:szCs w:val="13"/>
                <w:color w:val="auto"/>
              </w:rPr>
            </w:pPr>
          </w:p>
        </w:tc>
      </w:tr>
      <w:tr>
        <w:trPr>
          <w:trHeight w:val="164"/>
        </w:trPr>
        <w:tc>
          <w:tcPr>
            <w:tcW w:w="8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Net realized losses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(222,706)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(62,349)</w:t>
            </w:r>
          </w:p>
        </w:tc>
        <w:tc>
          <w:tcPr>
            <w:tcW w:w="80" w:type="dxa"/>
            <w:vAlign w:val="bottom"/>
            <w:tcBorders>
              <w:bottom w:val="single" w:sz="8" w:color="CCEEFF"/>
            </w:tcBorders>
          </w:tcPr>
          <w:p>
            <w:pPr>
              <w:spacing w:after="0"/>
              <w:rPr>
                <w:sz w:val="14"/>
                <w:szCs w:val="14"/>
                <w:color w:val="auto"/>
              </w:rPr>
            </w:pPr>
          </w:p>
        </w:tc>
      </w:tr>
      <w:tr>
        <w:trPr>
          <w:trHeight w:val="165"/>
        </w:trPr>
        <w:tc>
          <w:tcPr>
            <w:tcW w:w="8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Unrealized (Losses) Gains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8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8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gains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308,210</w:t>
            </w:r>
          </w:p>
        </w:tc>
        <w:tc>
          <w:tcPr>
            <w:tcW w:w="80" w:type="dxa"/>
            <w:vAlign w:val="bottom"/>
            <w:shd w:val="clear" w:color="auto" w:fill="CCEEFF"/>
          </w:tcPr>
          <w:p>
            <w:pPr>
              <w:spacing w:after="0"/>
              <w:rPr>
                <w:sz w:val="15"/>
                <w:szCs w:val="15"/>
                <w:color w:val="auto"/>
              </w:rPr>
            </w:pPr>
          </w:p>
        </w:tc>
      </w:tr>
      <w:tr>
        <w:trPr>
          <w:trHeight w:val="166"/>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Gross losses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(259,010)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(314,816)</w:t>
            </w:r>
          </w:p>
        </w:tc>
        <w:tc>
          <w:tcPr>
            <w:tcW w:w="80" w:type="dxa"/>
            <w:vAlign w:val="bottom"/>
            <w:tcBorders>
              <w:bottom w:val="single" w:sz="8" w:color="CCEEFF"/>
            </w:tcBorders>
          </w:tcPr>
          <w:p>
            <w:pPr>
              <w:spacing w:after="0"/>
              <w:rPr>
                <w:sz w:val="14"/>
                <w:szCs w:val="14"/>
                <w:color w:val="auto"/>
              </w:rPr>
            </w:pPr>
          </w:p>
        </w:tc>
      </w:tr>
      <w:tr>
        <w:trPr>
          <w:trHeight w:val="160"/>
        </w:trPr>
        <w:tc>
          <w:tcPr>
            <w:tcW w:w="81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(259,010)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(6,606)</w:t>
            </w:r>
          </w:p>
        </w:tc>
        <w:tc>
          <w:tcPr>
            <w:tcW w:w="80" w:type="dxa"/>
            <w:vAlign w:val="bottom"/>
            <w:shd w:val="clear" w:color="auto" w:fill="CCEEFF"/>
          </w:tcPr>
          <w:p>
            <w:pPr>
              <w:spacing w:after="0"/>
              <w:rPr>
                <w:sz w:val="13"/>
                <w:szCs w:val="13"/>
                <w:color w:val="auto"/>
              </w:rPr>
            </w:pPr>
          </w:p>
        </w:tc>
      </w:tr>
      <w:tr>
        <w:trPr>
          <w:trHeight w:val="165"/>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Investments:</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Gross gains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171,722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483,506</w:t>
            </w: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losses</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r>
      <w:tr>
        <w:trPr>
          <w:trHeight w:val="160"/>
        </w:trPr>
        <w:tc>
          <w:tcPr>
            <w:tcW w:w="81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171,722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483,506</w:t>
            </w:r>
          </w:p>
        </w:tc>
        <w:tc>
          <w:tcPr>
            <w:tcW w:w="80" w:type="dxa"/>
            <w:vAlign w:val="bottom"/>
            <w:tcBorders>
              <w:bottom w:val="single" w:sz="8" w:color="CCEEFF"/>
            </w:tcBorders>
          </w:tcPr>
          <w:p>
            <w:pPr>
              <w:spacing w:after="0"/>
              <w:rPr>
                <w:sz w:val="13"/>
                <w:szCs w:val="13"/>
                <w:color w:val="auto"/>
              </w:rPr>
            </w:pPr>
          </w:p>
        </w:tc>
      </w:tr>
      <w:tr>
        <w:trPr>
          <w:trHeight w:val="165"/>
        </w:trPr>
        <w:tc>
          <w:tcPr>
            <w:tcW w:w="8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Net unrealized (losses) gains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(87,288)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476,900</w:t>
            </w:r>
          </w:p>
        </w:tc>
        <w:tc>
          <w:tcPr>
            <w:tcW w:w="80" w:type="dxa"/>
            <w:vAlign w:val="bottom"/>
            <w:tcBorders>
              <w:bottom w:val="single" w:sz="8" w:color="CCEEFF"/>
            </w:tcBorders>
          </w:tcPr>
          <w:p>
            <w:pPr>
              <w:spacing w:after="0"/>
              <w:rPr>
                <w:sz w:val="14"/>
                <w:szCs w:val="14"/>
                <w:color w:val="auto"/>
              </w:rPr>
            </w:pPr>
          </w:p>
        </w:tc>
      </w:tr>
      <w:tr>
        <w:trPr>
          <w:trHeight w:val="165"/>
        </w:trPr>
        <w:tc>
          <w:tcPr>
            <w:tcW w:w="8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Net (losses) gains on investments</w:t>
            </w: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(309,994)</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414,551</w:t>
            </w:r>
          </w:p>
        </w:tc>
        <w:tc>
          <w:tcPr>
            <w:tcW w:w="80" w:type="dxa"/>
            <w:vAlign w:val="bottom"/>
          </w:tcPr>
          <w:p>
            <w:pPr>
              <w:spacing w:after="0"/>
              <w:rPr>
                <w:sz w:val="14"/>
                <w:szCs w:val="14"/>
                <w:color w:val="auto"/>
              </w:rPr>
            </w:pPr>
          </w:p>
        </w:tc>
      </w:tr>
      <w:tr>
        <w:trPr>
          <w:trHeight w:val="20"/>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Allowance for Credit Losses</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loss through an allowance for credit losses. Any remaining decline in fair value represents the noncredit portion of the impairment, which is recognized in other comprehensive income.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did not identify any available-for-sale securities as of December 31, 2025 and December 31, 2024 which presented a risk of loss due to credit deterioration of the security.</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At December 31, 2025 and 2024, there were 125 and 204 available-for-sale fixed-maturity securities, respectively, that accounted for the gross unrealized losses. The Company determined that none of the unrealized losses were deemed to be credit losses for its portfolio of available-for-sale fixed-maturity securities investments for the years ended December 31, 2025 and 2024.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held available-for-sale fixed-maturity securities with unrealized losses representing declines that were considered temporary at December 31, 2025 and 2024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Less than 12 months</w:t>
            </w: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12 months or more</w:t>
            </w: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tcPr>
          <w:p>
            <w:pPr>
              <w:jc w:val="center"/>
              <w:ind w:right="260"/>
              <w:spacing w:after="0" w:line="107" w:lineRule="exact"/>
              <w:rPr>
                <w:sz w:val="20"/>
                <w:szCs w:val="20"/>
                <w:color w:val="auto"/>
              </w:rPr>
            </w:pPr>
            <w:r>
              <w:rPr>
                <w:rFonts w:ascii="Times New Roman" w:cs="Times New Roman" w:eastAsia="Times New Roman" w:hAnsi="Times New Roman"/>
                <w:sz w:val="10"/>
                <w:szCs w:val="10"/>
                <w:b w:val="1"/>
                <w:bCs w:val="1"/>
                <w:color w:val="auto"/>
                <w:w w:val="96"/>
              </w:rPr>
              <w:t>Estimated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40" w:type="dxa"/>
            <w:vAlign w:val="bottom"/>
          </w:tcPr>
          <w:p>
            <w:pPr>
              <w:spacing w:after="0"/>
              <w:rPr>
                <w:sz w:val="9"/>
                <w:szCs w:val="9"/>
                <w:color w:val="auto"/>
              </w:rPr>
            </w:pPr>
          </w:p>
        </w:tc>
        <w:tc>
          <w:tcPr>
            <w:tcW w:w="1060" w:type="dxa"/>
            <w:vAlign w:val="bottom"/>
            <w:gridSpan w:val="3"/>
          </w:tcPr>
          <w:p>
            <w:pPr>
              <w:jc w:val="center"/>
              <w:ind w:right="140"/>
              <w:spacing w:after="0" w:line="107" w:lineRule="exact"/>
              <w:rPr>
                <w:sz w:val="20"/>
                <w:szCs w:val="20"/>
                <w:color w:val="auto"/>
              </w:rPr>
            </w:pPr>
            <w:r>
              <w:rPr>
                <w:rFonts w:ascii="Times New Roman" w:cs="Times New Roman" w:eastAsia="Times New Roman" w:hAnsi="Times New Roman"/>
                <w:sz w:val="10"/>
                <w:szCs w:val="10"/>
                <w:b w:val="1"/>
                <w:bCs w:val="1"/>
                <w:color w:val="auto"/>
                <w:w w:val="93"/>
              </w:rPr>
              <w:t>No. of</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3"/>
          </w:tcPr>
          <w:p>
            <w:pPr>
              <w:jc w:val="center"/>
              <w:ind w:right="320"/>
              <w:spacing w:after="0" w:line="107" w:lineRule="exact"/>
              <w:rPr>
                <w:sz w:val="20"/>
                <w:szCs w:val="20"/>
                <w:color w:val="auto"/>
              </w:rPr>
            </w:pPr>
            <w:r>
              <w:rPr>
                <w:rFonts w:ascii="Times New Roman" w:cs="Times New Roman" w:eastAsia="Times New Roman" w:hAnsi="Times New Roman"/>
                <w:sz w:val="10"/>
                <w:szCs w:val="10"/>
                <w:b w:val="1"/>
                <w:bCs w:val="1"/>
                <w:color w:val="auto"/>
                <w:w w:val="96"/>
              </w:rPr>
              <w:t>Estimated</w:t>
            </w:r>
          </w:p>
        </w:tc>
        <w:tc>
          <w:tcPr>
            <w:tcW w:w="100" w:type="dxa"/>
            <w:vAlign w:val="bottom"/>
          </w:tcPr>
          <w:p>
            <w:pPr>
              <w:spacing w:after="0"/>
              <w:rPr>
                <w:sz w:val="9"/>
                <w:szCs w:val="9"/>
                <w:color w:val="auto"/>
              </w:rPr>
            </w:pPr>
          </w:p>
        </w:tc>
        <w:tc>
          <w:tcPr>
            <w:tcW w:w="11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20" w:type="dxa"/>
            <w:vAlign w:val="bottom"/>
          </w:tcPr>
          <w:p>
            <w:pPr>
              <w:spacing w:after="0"/>
              <w:rPr>
                <w:sz w:val="9"/>
                <w:szCs w:val="9"/>
                <w:color w:val="auto"/>
              </w:rPr>
            </w:pPr>
          </w:p>
        </w:tc>
        <w:tc>
          <w:tcPr>
            <w:tcW w:w="1080" w:type="dxa"/>
            <w:vAlign w:val="bottom"/>
            <w:gridSpan w:val="3"/>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w w:val="93"/>
              </w:rPr>
              <w:t>No. of</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3"/>
          </w:tcPr>
          <w:p>
            <w:pPr>
              <w:ind w:left="120"/>
              <w:spacing w:after="0" w:line="107" w:lineRule="exact"/>
              <w:rPr>
                <w:sz w:val="20"/>
                <w:szCs w:val="20"/>
                <w:color w:val="auto"/>
              </w:rPr>
            </w:pPr>
            <w:r>
              <w:rPr>
                <w:rFonts w:ascii="Times New Roman" w:cs="Times New Roman" w:eastAsia="Times New Roman" w:hAnsi="Times New Roman"/>
                <w:sz w:val="10"/>
                <w:szCs w:val="10"/>
                <w:b w:val="1"/>
                <w:bCs w:val="1"/>
                <w:color w:val="auto"/>
              </w:rPr>
              <w:t>Estimated</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Category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Positions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1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3"/>
              </w:rPr>
              <w:t>Positions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0"/>
                <w:szCs w:val="10"/>
                <w:b w:val="1"/>
                <w:bCs w:val="1"/>
                <w:color w:val="auto"/>
              </w:rPr>
              <w:t>Fair</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Unrealized</w:t>
            </w:r>
          </w:p>
        </w:tc>
        <w:tc>
          <w:tcPr>
            <w:tcW w:w="0" w:type="dxa"/>
            <w:vAlign w:val="bottom"/>
          </w:tcPr>
          <w:p>
            <w:pPr>
              <w:spacing w:after="0"/>
              <w:rPr>
                <w:sz w:val="1"/>
                <w:szCs w:val="1"/>
                <w:color w:val="auto"/>
              </w:rPr>
            </w:pPr>
          </w:p>
        </w:tc>
      </w:tr>
      <w:tr>
        <w:trPr>
          <w:trHeight w:val="130"/>
        </w:trPr>
        <w:tc>
          <w:tcPr>
            <w:tcW w:w="20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3"/>
          </w:tcPr>
          <w:p>
            <w:pPr>
              <w:ind w:left="2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40" w:type="dxa"/>
            <w:vAlign w:val="bottom"/>
          </w:tcPr>
          <w:p>
            <w:pPr>
              <w:spacing w:after="0"/>
              <w:rPr>
                <w:sz w:val="11"/>
                <w:szCs w:val="11"/>
                <w:color w:val="auto"/>
              </w:rPr>
            </w:pPr>
          </w:p>
        </w:tc>
        <w:tc>
          <w:tcPr>
            <w:tcW w:w="1060" w:type="dxa"/>
            <w:vAlign w:val="bottom"/>
            <w:gridSpan w:val="3"/>
          </w:tcPr>
          <w:p>
            <w:pPr>
              <w:ind w:left="380"/>
              <w:spacing w:after="0"/>
              <w:rPr>
                <w:sz w:val="20"/>
                <w:szCs w:val="20"/>
                <w:color w:val="auto"/>
              </w:rPr>
            </w:pPr>
            <w:r>
              <w:rPr>
                <w:rFonts w:ascii="Times New Roman" w:cs="Times New Roman" w:eastAsia="Times New Roman" w:hAnsi="Times New Roman"/>
                <w:sz w:val="10"/>
                <w:szCs w:val="10"/>
                <w:b w:val="1"/>
                <w:bCs w:val="1"/>
                <w:color w:val="auto"/>
              </w:rPr>
              <w:t>Held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00" w:type="dxa"/>
            <w:vAlign w:val="bottom"/>
          </w:tcPr>
          <w:p>
            <w:pPr>
              <w:spacing w:after="0"/>
              <w:rPr>
                <w:sz w:val="11"/>
                <w:szCs w:val="11"/>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20" w:type="dxa"/>
            <w:vAlign w:val="bottom"/>
          </w:tcPr>
          <w:p>
            <w:pPr>
              <w:spacing w:after="0"/>
              <w:rPr>
                <w:sz w:val="11"/>
                <w:szCs w:val="11"/>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87"/>
              </w:rPr>
              <w:t>Held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tcPr>
          <w:p>
            <w:pPr>
              <w:ind w:left="24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0" w:type="dxa"/>
            <w:vAlign w:val="bottom"/>
          </w:tcPr>
          <w:p>
            <w:pPr>
              <w:spacing w:after="0"/>
              <w:rPr>
                <w:sz w:val="1"/>
                <w:szCs w:val="1"/>
                <w:color w:val="auto"/>
              </w:rPr>
            </w:pPr>
          </w:p>
        </w:tc>
      </w:tr>
      <w:tr>
        <w:trPr>
          <w:trHeight w:val="129"/>
        </w:trPr>
        <w:tc>
          <w:tcPr>
            <w:tcW w:w="2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Fixed-Maturity Securities: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Political subdivisions of States, Territories and</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Possessions</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13,926,802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(2,534,725)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13,926,802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(2,534,725)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Corporate and other bonds industrial and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miscellaneous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21,525,673</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(118,901)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34,677,856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(2,540,470)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56,203,529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(2,659,371)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Residential mortgage and other asset backed</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securities</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18,055,734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(62,968)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29,673,084</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(4,477,673)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47,728,818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(4,540,641)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color w:val="auto"/>
              </w:rPr>
              <w:t>Total fixed-maturity securities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39,581,407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(181,869)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78,277,742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(9,552,868)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117,859,149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(9,734,737)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Less than 12 months</w:t>
            </w: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12 months or more</w:t>
            </w: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tcPr>
          <w:p>
            <w:pPr>
              <w:jc w:val="center"/>
              <w:ind w:right="260"/>
              <w:spacing w:after="0" w:line="107" w:lineRule="exact"/>
              <w:rPr>
                <w:sz w:val="20"/>
                <w:szCs w:val="20"/>
                <w:color w:val="auto"/>
              </w:rPr>
            </w:pPr>
            <w:r>
              <w:rPr>
                <w:rFonts w:ascii="Times New Roman" w:cs="Times New Roman" w:eastAsia="Times New Roman" w:hAnsi="Times New Roman"/>
                <w:sz w:val="10"/>
                <w:szCs w:val="10"/>
                <w:b w:val="1"/>
                <w:bCs w:val="1"/>
                <w:color w:val="auto"/>
                <w:w w:val="96"/>
              </w:rPr>
              <w:t>Estimated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Unrealized</w:t>
            </w:r>
          </w:p>
        </w:tc>
        <w:tc>
          <w:tcPr>
            <w:tcW w:w="40" w:type="dxa"/>
            <w:vAlign w:val="bottom"/>
          </w:tcPr>
          <w:p>
            <w:pPr>
              <w:spacing w:after="0"/>
              <w:rPr>
                <w:sz w:val="9"/>
                <w:szCs w:val="9"/>
                <w:color w:val="auto"/>
              </w:rPr>
            </w:pPr>
          </w:p>
        </w:tc>
        <w:tc>
          <w:tcPr>
            <w:tcW w:w="1060" w:type="dxa"/>
            <w:vAlign w:val="bottom"/>
            <w:gridSpan w:val="3"/>
          </w:tcPr>
          <w:p>
            <w:pPr>
              <w:ind w:left="360"/>
              <w:spacing w:after="0" w:line="107" w:lineRule="exact"/>
              <w:rPr>
                <w:sz w:val="20"/>
                <w:szCs w:val="20"/>
                <w:color w:val="auto"/>
              </w:rPr>
            </w:pPr>
            <w:r>
              <w:rPr>
                <w:rFonts w:ascii="Times New Roman" w:cs="Times New Roman" w:eastAsia="Times New Roman" w:hAnsi="Times New Roman"/>
                <w:sz w:val="10"/>
                <w:szCs w:val="10"/>
                <w:b w:val="1"/>
                <w:bCs w:val="1"/>
                <w:color w:val="auto"/>
              </w:rPr>
              <w:t>No. of</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3"/>
          </w:tcPr>
          <w:p>
            <w:pPr>
              <w:jc w:val="center"/>
              <w:ind w:right="300"/>
              <w:spacing w:after="0" w:line="107" w:lineRule="exact"/>
              <w:rPr>
                <w:sz w:val="20"/>
                <w:szCs w:val="20"/>
                <w:color w:val="auto"/>
              </w:rPr>
            </w:pPr>
            <w:r>
              <w:rPr>
                <w:rFonts w:ascii="Times New Roman" w:cs="Times New Roman" w:eastAsia="Times New Roman" w:hAnsi="Times New Roman"/>
                <w:sz w:val="10"/>
                <w:szCs w:val="10"/>
                <w:b w:val="1"/>
                <w:bCs w:val="1"/>
                <w:color w:val="auto"/>
                <w:w w:val="92"/>
              </w:rPr>
              <w:t>Estimated</w:t>
            </w:r>
          </w:p>
        </w:tc>
        <w:tc>
          <w:tcPr>
            <w:tcW w:w="100" w:type="dxa"/>
            <w:vAlign w:val="bottom"/>
          </w:tcPr>
          <w:p>
            <w:pPr>
              <w:spacing w:after="0"/>
              <w:rPr>
                <w:sz w:val="9"/>
                <w:szCs w:val="9"/>
                <w:color w:val="auto"/>
              </w:rPr>
            </w:pPr>
          </w:p>
        </w:tc>
        <w:tc>
          <w:tcPr>
            <w:tcW w:w="11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20" w:type="dxa"/>
            <w:vAlign w:val="bottom"/>
          </w:tcPr>
          <w:p>
            <w:pPr>
              <w:spacing w:after="0"/>
              <w:rPr>
                <w:sz w:val="9"/>
                <w:szCs w:val="9"/>
                <w:color w:val="auto"/>
              </w:rPr>
            </w:pPr>
          </w:p>
        </w:tc>
        <w:tc>
          <w:tcPr>
            <w:tcW w:w="1080" w:type="dxa"/>
            <w:vAlign w:val="bottom"/>
            <w:gridSpan w:val="3"/>
          </w:tcPr>
          <w:p>
            <w:pPr>
              <w:jc w:val="center"/>
              <w:ind w:right="80"/>
              <w:spacing w:after="0" w:line="107" w:lineRule="exact"/>
              <w:rPr>
                <w:sz w:val="20"/>
                <w:szCs w:val="20"/>
                <w:color w:val="auto"/>
              </w:rPr>
            </w:pPr>
            <w:r>
              <w:rPr>
                <w:rFonts w:ascii="Times New Roman" w:cs="Times New Roman" w:eastAsia="Times New Roman" w:hAnsi="Times New Roman"/>
                <w:sz w:val="10"/>
                <w:szCs w:val="10"/>
                <w:b w:val="1"/>
                <w:bCs w:val="1"/>
                <w:color w:val="auto"/>
                <w:w w:val="93"/>
              </w:rPr>
              <w:t>No. of</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3"/>
          </w:tcPr>
          <w:p>
            <w:pPr>
              <w:jc w:val="center"/>
              <w:ind w:right="260"/>
              <w:spacing w:after="0" w:line="107" w:lineRule="exact"/>
              <w:rPr>
                <w:sz w:val="20"/>
                <w:szCs w:val="20"/>
                <w:color w:val="auto"/>
              </w:rPr>
            </w:pPr>
            <w:r>
              <w:rPr>
                <w:rFonts w:ascii="Times New Roman" w:cs="Times New Roman" w:eastAsia="Times New Roman" w:hAnsi="Times New Roman"/>
                <w:sz w:val="10"/>
                <w:szCs w:val="10"/>
                <w:b w:val="1"/>
                <w:bCs w:val="1"/>
                <w:color w:val="auto"/>
                <w:w w:val="92"/>
              </w:rPr>
              <w:t>Estimated</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9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Category</w:t>
            </w:r>
          </w:p>
        </w:tc>
        <w:tc>
          <w:tcPr>
            <w:tcW w:w="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Fair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3"/>
          </w:tcPr>
          <w:p>
            <w:pPr>
              <w:ind w:left="300"/>
              <w:spacing w:after="0"/>
              <w:rPr>
                <w:sz w:val="20"/>
                <w:szCs w:val="20"/>
                <w:color w:val="auto"/>
              </w:rPr>
            </w:pPr>
            <w:r>
              <w:rPr>
                <w:rFonts w:ascii="Times New Roman" w:cs="Times New Roman" w:eastAsia="Times New Roman" w:hAnsi="Times New Roman"/>
                <w:sz w:val="10"/>
                <w:szCs w:val="10"/>
                <w:b w:val="1"/>
                <w:bCs w:val="1"/>
                <w:color w:val="auto"/>
              </w:rPr>
              <w:t>Positions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87"/>
              </w:rPr>
              <w:t>Fair</w:t>
            </w:r>
          </w:p>
        </w:tc>
        <w:tc>
          <w:tcPr>
            <w:tcW w:w="1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3"/>
              </w:rPr>
              <w:t>Positions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87"/>
              </w:rPr>
              <w:t>Fair</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Unrealized</w:t>
            </w:r>
          </w:p>
        </w:tc>
        <w:tc>
          <w:tcPr>
            <w:tcW w:w="0" w:type="dxa"/>
            <w:vAlign w:val="bottom"/>
          </w:tcPr>
          <w:p>
            <w:pPr>
              <w:spacing w:after="0"/>
              <w:rPr>
                <w:sz w:val="1"/>
                <w:szCs w:val="1"/>
                <w:color w:val="auto"/>
              </w:rPr>
            </w:pPr>
          </w:p>
        </w:tc>
      </w:tr>
      <w:tr>
        <w:trPr>
          <w:trHeight w:val="131"/>
        </w:trPr>
        <w:tc>
          <w:tcPr>
            <w:tcW w:w="198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Held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0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Losses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Held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20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Fixed-Maturity Securities:</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Political subdivisions of States, Territories and</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Possessions</w:t>
            </w: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7,705,370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(73,589)</w:t>
            </w:r>
          </w:p>
        </w:tc>
        <w:tc>
          <w:tcPr>
            <w:tcW w:w="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13,167,726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(3,324,491)</w:t>
            </w:r>
          </w:p>
        </w:tc>
        <w:tc>
          <w:tcPr>
            <w:tcW w:w="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12</w:t>
            </w: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20,873,096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(3,398,080)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00" w:type="dxa"/>
            <w:vAlign w:val="bottom"/>
            <w:gridSpan w:val="2"/>
          </w:tcPr>
          <w:p>
            <w:pPr>
              <w:spacing w:after="0" w:line="112" w:lineRule="exact"/>
              <w:rPr>
                <w:sz w:val="20"/>
                <w:szCs w:val="20"/>
                <w:color w:val="auto"/>
              </w:rPr>
            </w:pPr>
            <w:r>
              <w:rPr>
                <w:rFonts w:ascii="Times New Roman" w:cs="Times New Roman" w:eastAsia="Times New Roman" w:hAnsi="Times New Roman"/>
                <w:sz w:val="10"/>
                <w:szCs w:val="10"/>
                <w:color w:val="auto"/>
              </w:rPr>
              <w:t>Corporate and other bonds industrial and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miscellaneous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51,411,296</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(1,024,461)</w:t>
            </w:r>
          </w:p>
        </w:tc>
        <w:tc>
          <w:tcPr>
            <w:tcW w:w="4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55,381,083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(4,690,597)</w:t>
            </w:r>
          </w:p>
        </w:tc>
        <w:tc>
          <w:tcPr>
            <w:tcW w:w="60" w:type="dxa"/>
            <w:vAlign w:val="bottom"/>
          </w:tcPr>
          <w:p>
            <w:pPr>
              <w:spacing w:after="0"/>
              <w:rPr>
                <w:sz w:val="11"/>
                <w:szCs w:val="11"/>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68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106,792,379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(5,715,058)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Residential mortgage and other asset backed</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securities</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19,315,521</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(209,890)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35,206,442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(6,211,339)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36</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54,521,963</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(6,421,229)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00" w:type="dxa"/>
            <w:vAlign w:val="bottom"/>
            <w:gridSpan w:val="2"/>
          </w:tcPr>
          <w:p>
            <w:pPr>
              <w:spacing w:after="0" w:line="107" w:lineRule="exact"/>
              <w:rPr>
                <w:sz w:val="20"/>
                <w:szCs w:val="20"/>
                <w:color w:val="auto"/>
              </w:rPr>
            </w:pPr>
            <w:r>
              <w:rPr>
                <w:rFonts w:ascii="Times New Roman" w:cs="Times New Roman" w:eastAsia="Times New Roman" w:hAnsi="Times New Roman"/>
                <w:sz w:val="10"/>
                <w:szCs w:val="10"/>
                <w:color w:val="auto"/>
              </w:rPr>
              <w:t>Total fixed-maturity securities</w:t>
            </w: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78,432,187</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(1,307,940)</w:t>
            </w:r>
          </w:p>
        </w:tc>
        <w:tc>
          <w:tcPr>
            <w:tcW w:w="40" w:type="dxa"/>
            <w:vAlign w:val="bottom"/>
          </w:tcPr>
          <w:p>
            <w:pPr>
              <w:spacing w:after="0"/>
              <w:rPr>
                <w:sz w:val="10"/>
                <w:szCs w:val="1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60" w:type="dxa"/>
            <w:vAlign w:val="bottom"/>
          </w:tcPr>
          <w:p>
            <w:pPr>
              <w:spacing w:after="0"/>
              <w:rPr>
                <w:sz w:val="10"/>
                <w:szCs w:val="1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103,755,251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(14,226,427)</w:t>
            </w:r>
          </w:p>
        </w:tc>
        <w:tc>
          <w:tcPr>
            <w:tcW w:w="60" w:type="dxa"/>
            <w:vAlign w:val="bottom"/>
          </w:tcPr>
          <w:p>
            <w:pPr>
              <w:spacing w:after="0"/>
              <w:rPr>
                <w:sz w:val="10"/>
                <w:szCs w:val="1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116</w:t>
            </w:r>
          </w:p>
        </w:tc>
        <w:tc>
          <w:tcPr>
            <w:tcW w:w="60" w:type="dxa"/>
            <w:vAlign w:val="bottom"/>
          </w:tcPr>
          <w:p>
            <w:pPr>
              <w:spacing w:after="0"/>
              <w:rPr>
                <w:sz w:val="10"/>
                <w:szCs w:val="10"/>
                <w:color w:val="auto"/>
              </w:rPr>
            </w:pP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182,187,438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(15,534,367)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 Fair Value Measurements</w:t>
      </w:r>
    </w:p>
    <w:p>
      <w:pPr>
        <w:spacing w:after="0" w:line="14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Fair value is the price that would be received upon sale of an asset or paid to transfer a liability in an orderly transaction between market participants at the measurement date. The valuation technique used by the Company to estimate the fair value of its financial instruments is the market approach, which uses prices and other relevant information generated by market transactions involving identical or comparable assets.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periods of market disruption, and the reliability and transparency of the assumptions used to determine fair value. The hierarchy requires the use of observable market data when available. The levels of the hierarchy and those investments included in each are as follows:</w:t>
      </w:r>
    </w:p>
    <w:p>
      <w:pPr>
        <w:spacing w:after="0" w:line="11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Level 1</w:t>
      </w:r>
      <w:r>
        <w:rPr>
          <w:rFonts w:ascii="Times New Roman" w:cs="Times New Roman" w:eastAsia="Times New Roman" w:hAnsi="Times New Roman"/>
          <w:sz w:val="12"/>
          <w:szCs w:val="12"/>
          <w:color w:val="auto"/>
        </w:rPr>
        <w:t>—Inputs to the valuation methodology are quoted prices (unadjusted) for identical assets or liabilities traded in active markets. Included are those investments traded on an active exchange, such as the Nasdaq Global Select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U.S. Treasury securities and obligations of U.S. government agencies, together with corporate debt securities that are generally investment grade.</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i w:val="1"/>
          <w:iCs w:val="1"/>
          <w:color w:val="auto"/>
        </w:rPr>
        <w:t>Level 2</w:t>
      </w:r>
      <w:r>
        <w:rPr>
          <w:rFonts w:ascii="Times New Roman" w:cs="Times New Roman" w:eastAsia="Times New Roman" w:hAnsi="Times New Roman"/>
          <w:sz w:val="12"/>
          <w:szCs w:val="12"/>
          <w:color w:val="auto"/>
        </w:rPr>
        <w:t>—Inputs to the valuation methodology include quoted prices for similar assets or liabilities in active markets, quoted prices for identical or similar assets or liabilities in markets that are not active, inputs other than quoted prices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spacing w:after="0" w:line="11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2"/>
          <w:szCs w:val="12"/>
          <w:i w:val="1"/>
          <w:iCs w:val="1"/>
          <w:color w:val="auto"/>
        </w:rPr>
        <w:t>Level 3</w:t>
      </w:r>
      <w:r>
        <w:rPr>
          <w:rFonts w:ascii="Times New Roman" w:cs="Times New Roman" w:eastAsia="Times New Roman" w:hAnsi="Times New Roman"/>
          <w:sz w:val="12"/>
          <w:szCs w:val="12"/>
          <w:color w:val="auto"/>
        </w:rPr>
        <w:t>—Inputs to the valuation methodology are unobservable for the asset or liability and are significant to the fair value measurement. Material assumptions and factors considered in pricing investment securities and other assets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may include appraisals, projected cash flows, market clearing activity or liquidity circumstances in the security or similar securities that may have occurred since the prior pricing period.</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following table presents information about the Company’s investments that are measured at fair value on a recurring basis at December 31, 2025 and 2024 indicating the fair value hierarchy of the valuation inputs the Company utilized to determine such fair value: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32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36"/>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 available-for-sale</w:t>
            </w: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17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 and obligations of U.S. government corporations and agencies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1,007,190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1,007,190</w:t>
            </w:r>
          </w:p>
        </w:tc>
      </w:tr>
      <w:tr>
        <w:trPr>
          <w:trHeight w:val="167"/>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Political subdivisions of States, Territories and Possessions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21,773,433</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21,773,433</w:t>
            </w:r>
          </w:p>
        </w:tc>
      </w:tr>
      <w:tr>
        <w:trPr>
          <w:trHeight w:val="17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 bonds industrial and miscellaneous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129,866,682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129,866,682</w:t>
            </w:r>
          </w:p>
        </w:tc>
      </w:tr>
      <w:tr>
        <w:trPr>
          <w:trHeight w:val="16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Residential mortgage and other asset backed securities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136,389,885</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136,389,885</w:t>
            </w:r>
          </w:p>
        </w:tc>
      </w:tr>
      <w:tr>
        <w:trPr>
          <w:trHeight w:val="16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fixed maturities</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130,873,872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158,163,318</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289,037,190</w:t>
            </w:r>
          </w:p>
        </w:tc>
      </w:tr>
      <w:tr>
        <w:trPr>
          <w:trHeight w:val="167"/>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10,056,595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10,056,595</w:t>
            </w:r>
          </w:p>
        </w:tc>
      </w:tr>
      <w:tr>
        <w:trPr>
          <w:trHeight w:val="180"/>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investments</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140,930,467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158,163,318</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299,093,785</w:t>
            </w:r>
          </w:p>
        </w:tc>
      </w:tr>
      <w:tr>
        <w:trPr>
          <w:trHeight w:val="603"/>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F-24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3"/>
        </w:trPr>
        <w:tc>
          <w:tcPr>
            <w:tcW w:w="51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6"/>
        </w:trPr>
        <w:tc>
          <w:tcPr>
            <w:tcW w:w="5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320" w:type="dxa"/>
            <w:vAlign w:val="bottom"/>
          </w:tcPr>
          <w:p>
            <w:pPr>
              <w:spacing w:after="0"/>
              <w:rPr>
                <w:sz w:val="13"/>
                <w:szCs w:val="13"/>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336"/>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Fixed-maturity securities available-for-sale</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17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Political subdivisions of States, Territories and Possessions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20,873,097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20,873,097</w:t>
            </w:r>
          </w:p>
        </w:tc>
      </w:tr>
      <w:tr>
        <w:trPr>
          <w:trHeight w:val="167"/>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Corporate and other bonds industrial and miscellaneous</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106,792,378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106,792,378</w:t>
            </w:r>
          </w:p>
        </w:tc>
      </w:tr>
      <w:tr>
        <w:trPr>
          <w:trHeight w:val="17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 mortgage and other asset backed securities</w:t>
            </w: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59,227,963</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59,227,963</w:t>
            </w:r>
          </w:p>
        </w:tc>
      </w:tr>
      <w:tr>
        <w:trPr>
          <w:trHeight w:val="155"/>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Total fixed maturities</w:t>
            </w: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106,792,378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80,101,060</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186,893,438</w:t>
            </w:r>
          </w:p>
        </w:tc>
      </w:tr>
      <w:tr>
        <w:trPr>
          <w:trHeight w:val="17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 securities</w:t>
            </w: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10,296,505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10,296,505</w:t>
            </w:r>
          </w:p>
        </w:tc>
      </w:tr>
      <w:tr>
        <w:trPr>
          <w:trHeight w:val="155"/>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Total investments</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117,088,883</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80,101,060</w:t>
            </w:r>
          </w:p>
        </w:tc>
        <w:tc>
          <w:tcPr>
            <w:tcW w:w="80" w:type="dxa"/>
            <w:vAlign w:val="bottom"/>
          </w:tcPr>
          <w:p>
            <w:pPr>
              <w:spacing w:after="0"/>
              <w:rPr>
                <w:sz w:val="13"/>
                <w:szCs w:val="13"/>
                <w:color w:val="auto"/>
              </w:rPr>
            </w:pPr>
          </w:p>
        </w:tc>
        <w:tc>
          <w:tcPr>
            <w:tcW w:w="116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197,189,943</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the Company’s investment in a hedge fund measured at Net Asset Value (“NAV”) per share as of December 31, 2025 and 2024. The Company measures this investment at fair value on a recurring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Fair value using NAV per share is as follows as of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Category</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60"/>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Investments</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91"/>
        </w:trPr>
        <w:tc>
          <w:tcPr>
            <w:tcW w:w="8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Hedge fund</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4,552,378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4,380,656</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accompanying Consolidated Statements of Income and Comprehensive Income within net gains (losses) on investments. The Company has no capital call commitments related to Other Investments.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fair value measurements as of December 31, 2025 and 2024 on a non-recurring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 Fair Value of Financial Instruments and Real Estate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uses the following methods and assumptions in estimating the fair value of financial instruments and real estate: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Equity securities, available-for-sale fixed income securities, and other investments: </w:t>
      </w:r>
      <w:r>
        <w:rPr>
          <w:rFonts w:ascii="Times New Roman" w:cs="Times New Roman" w:eastAsia="Times New Roman" w:hAnsi="Times New Roman"/>
          <w:sz w:val="12"/>
          <w:szCs w:val="12"/>
          <w:color w:val="auto"/>
        </w:rPr>
        <w:t>Fair value disclosures for these investments are included in Note 3 - Investments and Note 4 – Fair Value Measurements.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Cash and cash equivalents: </w:t>
      </w:r>
      <w:r>
        <w:rPr>
          <w:rFonts w:ascii="Times New Roman" w:cs="Times New Roman" w:eastAsia="Times New Roman" w:hAnsi="Times New Roman"/>
          <w:sz w:val="12"/>
          <w:szCs w:val="12"/>
          <w:color w:val="auto"/>
        </w:rPr>
        <w:t>The carrying values of cash and cash equivalents approximate their fair values because of the short-term nature of these instruments.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Premiums receivable and reinsurance receivables: </w:t>
      </w:r>
      <w:r>
        <w:rPr>
          <w:rFonts w:ascii="Times New Roman" w:cs="Times New Roman" w:eastAsia="Times New Roman" w:hAnsi="Times New Roman"/>
          <w:sz w:val="12"/>
          <w:szCs w:val="12"/>
          <w:color w:val="auto"/>
        </w:rPr>
        <w:t>The carrying values reported in the accompanying Consolidated Balance Sheets for these financial instruments approximate their fair values due to the short-term nature of the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Real estate: </w:t>
      </w:r>
      <w:r>
        <w:rPr>
          <w:rFonts w:ascii="Times New Roman" w:cs="Times New Roman" w:eastAsia="Times New Roman" w:hAnsi="Times New Roman"/>
          <w:sz w:val="12"/>
          <w:szCs w:val="12"/>
          <w:color w:val="auto"/>
        </w:rPr>
        <w:t>The estimated fair value was based on an appraisal prepared using the sales comparison approach, and accordingly the real estate is a Level 3 asset under the fair value hierarchy.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Reinsurance balances payable: </w:t>
      </w:r>
      <w:r>
        <w:rPr>
          <w:rFonts w:ascii="Times New Roman" w:cs="Times New Roman" w:eastAsia="Times New Roman" w:hAnsi="Times New Roman"/>
          <w:sz w:val="12"/>
          <w:szCs w:val="12"/>
          <w:color w:val="auto"/>
        </w:rPr>
        <w:t>The carrying value reported in the Consolidated Balance Sheets for these financial instruments approximates 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Debt: </w:t>
      </w:r>
      <w:r>
        <w:rPr>
          <w:rFonts w:ascii="Times New Roman" w:cs="Times New Roman" w:eastAsia="Times New Roman" w:hAnsi="Times New Roman"/>
          <w:sz w:val="12"/>
          <w:szCs w:val="12"/>
          <w:color w:val="auto"/>
        </w:rPr>
        <w:t>The fair value of debt was estimated using a discounted cash flow analyses, based on incremental borrowing rates for similar types of borrowing arrangements.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7" w:name="page108"/>
    <w:bookmarkEnd w:id="107"/>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8"/>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8"/>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816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 xml:space="preserve">The estimated fair values of the Company’s financial instruments and real estate, </w:t>
            </w:r>
            <w:r>
              <w:rPr>
                <w:rFonts w:ascii="Times New Roman" w:cs="Times New Roman" w:eastAsia="Times New Roman" w:hAnsi="Times New Roman"/>
                <w:sz w:val="10"/>
                <w:szCs w:val="10"/>
                <w:color w:val="auto"/>
              </w:rPr>
              <w:t>including their fair value level</w:t>
            </w:r>
            <w:r>
              <w:rPr>
                <w:rFonts w:ascii="Times New Roman" w:cs="Times New Roman" w:eastAsia="Times New Roman" w:hAnsi="Times New Roman"/>
                <w:sz w:val="12"/>
                <w:szCs w:val="12"/>
                <w:color w:val="auto"/>
              </w:rPr>
              <w:t xml:space="preserve"> as of December 31, 2025 and 2024, are as follows: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29"/>
        </w:trPr>
        <w:tc>
          <w:tcPr>
            <w:tcW w:w="50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5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Carrying Value</w:t>
            </w:r>
          </w:p>
        </w:tc>
        <w:tc>
          <w:tcPr>
            <w:tcW w:w="46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22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Carrying Value</w:t>
            </w:r>
          </w:p>
        </w:tc>
        <w:tc>
          <w:tcPr>
            <w:tcW w:w="46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64"/>
        </w:trPr>
        <w:tc>
          <w:tcPr>
            <w:tcW w:w="50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Fixed-maturity securities-held-to maturity, Level 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6,042,348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5,137,267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7,047,342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5,959,265</w:t>
            </w:r>
          </w:p>
        </w:tc>
        <w:tc>
          <w:tcPr>
            <w:tcW w:w="80" w:type="dxa"/>
            <w:vAlign w:val="bottom"/>
            <w:shd w:val="clear" w:color="auto" w:fill="CCEEFF"/>
          </w:tcPr>
          <w:p>
            <w:pPr>
              <w:spacing w:after="0"/>
              <w:rPr>
                <w:sz w:val="14"/>
                <w:szCs w:val="14"/>
                <w:color w:val="auto"/>
              </w:rPr>
            </w:pPr>
          </w:p>
        </w:tc>
      </w:tr>
      <w:tr>
        <w:trPr>
          <w:trHeight w:val="167"/>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Fixed-maturity securities available-for-sale, Level 1</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130,873,872</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130,873,872</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106,792,378</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106,792,378</w:t>
            </w:r>
          </w:p>
        </w:tc>
        <w:tc>
          <w:tcPr>
            <w:tcW w:w="80" w:type="dxa"/>
            <w:vAlign w:val="bottom"/>
          </w:tcPr>
          <w:p>
            <w:pPr>
              <w:spacing w:after="0"/>
              <w:rPr>
                <w:sz w:val="14"/>
                <w:szCs w:val="14"/>
                <w:color w:val="auto"/>
              </w:rPr>
            </w:pPr>
          </w:p>
        </w:tc>
      </w:tr>
      <w:tr>
        <w:trPr>
          <w:trHeight w:val="17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Fixed-maturity securities available-for-sale, Level 2</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158,163,318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158,163,318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80,101,060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80,101,060</w:t>
            </w:r>
          </w:p>
        </w:tc>
        <w:tc>
          <w:tcPr>
            <w:tcW w:w="80" w:type="dxa"/>
            <w:vAlign w:val="bottom"/>
            <w:shd w:val="clear" w:color="auto" w:fill="CCEEFF"/>
          </w:tcPr>
          <w:p>
            <w:pPr>
              <w:spacing w:after="0"/>
              <w:rPr>
                <w:sz w:val="15"/>
                <w:szCs w:val="15"/>
                <w:color w:val="auto"/>
              </w:rPr>
            </w:pPr>
          </w:p>
        </w:tc>
      </w:tr>
      <w:tr>
        <w:trPr>
          <w:trHeight w:val="167"/>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Level 1</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12,178,730</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12,178,730</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28,669,441</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28,669,441</w:t>
            </w:r>
          </w:p>
        </w:tc>
        <w:tc>
          <w:tcPr>
            <w:tcW w:w="80" w:type="dxa"/>
            <w:vAlign w:val="bottom"/>
          </w:tcPr>
          <w:p>
            <w:pPr>
              <w:spacing w:after="0"/>
              <w:rPr>
                <w:sz w:val="14"/>
                <w:szCs w:val="14"/>
                <w:color w:val="auto"/>
              </w:rPr>
            </w:pPr>
          </w:p>
        </w:tc>
      </w:tr>
      <w:tr>
        <w:trPr>
          <w:trHeight w:val="17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receivable, net, Level 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21,012,408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21,012,408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21,766,988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21,766,988</w:t>
            </w:r>
          </w:p>
        </w:tc>
        <w:tc>
          <w:tcPr>
            <w:tcW w:w="80" w:type="dxa"/>
            <w:vAlign w:val="bottom"/>
            <w:shd w:val="clear" w:color="auto" w:fill="CCEEFF"/>
          </w:tcPr>
          <w:p>
            <w:pPr>
              <w:spacing w:after="0"/>
              <w:rPr>
                <w:sz w:val="15"/>
                <w:szCs w:val="15"/>
                <w:color w:val="auto"/>
              </w:rPr>
            </w:pPr>
          </w:p>
        </w:tc>
      </w:tr>
      <w:tr>
        <w:trPr>
          <w:trHeight w:val="167"/>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Reinsurance receivables, net, Level 3</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58,996,945</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58,996,945</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69,322,436</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69,322,436</w:t>
            </w:r>
          </w:p>
        </w:tc>
        <w:tc>
          <w:tcPr>
            <w:tcW w:w="80" w:type="dxa"/>
            <w:vAlign w:val="bottom"/>
          </w:tcPr>
          <w:p>
            <w:pPr>
              <w:spacing w:after="0"/>
              <w:rPr>
                <w:sz w:val="14"/>
                <w:szCs w:val="14"/>
                <w:color w:val="auto"/>
              </w:rPr>
            </w:pPr>
          </w:p>
        </w:tc>
      </w:tr>
      <w:tr>
        <w:trPr>
          <w:trHeight w:val="17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 estate, net of accumulated depreciation, Level 3 (1)</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460,031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501,000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1,913,390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3,540,000</w:t>
            </w:r>
          </w:p>
        </w:tc>
        <w:tc>
          <w:tcPr>
            <w:tcW w:w="80" w:type="dxa"/>
            <w:vAlign w:val="bottom"/>
            <w:shd w:val="clear" w:color="auto" w:fill="CCEEFF"/>
          </w:tcPr>
          <w:p>
            <w:pPr>
              <w:spacing w:after="0"/>
              <w:rPr>
                <w:sz w:val="15"/>
                <w:szCs w:val="15"/>
                <w:color w:val="auto"/>
              </w:rPr>
            </w:pPr>
          </w:p>
        </w:tc>
      </w:tr>
      <w:tr>
        <w:trPr>
          <w:trHeight w:val="166"/>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Reinsurance balances payable, Level 3</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5,232,319</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5,232,319</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10,509,121</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10,509,121</w:t>
            </w:r>
          </w:p>
        </w:tc>
        <w:tc>
          <w:tcPr>
            <w:tcW w:w="80" w:type="dxa"/>
            <w:vAlign w:val="bottom"/>
          </w:tcPr>
          <w:p>
            <w:pPr>
              <w:spacing w:after="0"/>
              <w:rPr>
                <w:sz w:val="14"/>
                <w:szCs w:val="14"/>
                <w:color w:val="auto"/>
              </w:rPr>
            </w:pPr>
          </w:p>
        </w:tc>
      </w:tr>
      <w:tr>
        <w:trPr>
          <w:trHeight w:val="17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Debt - Equipment financing, Level 2</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4,440,127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4,380,922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5,663,420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5,459,107</w:t>
            </w:r>
          </w:p>
        </w:tc>
        <w:tc>
          <w:tcPr>
            <w:tcW w:w="80" w:type="dxa"/>
            <w:vAlign w:val="bottom"/>
            <w:shd w:val="clear" w:color="auto" w:fill="CCEEFF"/>
          </w:tcPr>
          <w:p>
            <w:pPr>
              <w:spacing w:after="0"/>
              <w:rPr>
                <w:sz w:val="15"/>
                <w:szCs w:val="15"/>
                <w:color w:val="auto"/>
              </w:rPr>
            </w:pPr>
          </w:p>
        </w:tc>
      </w:tr>
      <w:tr>
        <w:trPr>
          <w:trHeight w:val="162"/>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Debt - 13.75% Senior Notes due 2026, Level 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5,508,000</w:t>
            </w:r>
          </w:p>
        </w:tc>
        <w:tc>
          <w:tcPr>
            <w:tcW w:w="8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5,553,785</w:t>
            </w:r>
          </w:p>
        </w:tc>
        <w:tc>
          <w:tcPr>
            <w:tcW w:w="80" w:type="dxa"/>
            <w:vAlign w:val="bottom"/>
          </w:tcPr>
          <w:p>
            <w:pPr>
              <w:spacing w:after="0"/>
              <w:rPr>
                <w:sz w:val="14"/>
                <w:szCs w:val="14"/>
                <w:color w:val="auto"/>
              </w:rPr>
            </w:pPr>
          </w:p>
        </w:tc>
      </w:tr>
    </w:tbl>
    <w:p>
      <w:pPr>
        <w:spacing w:after="0" w:line="187" w:lineRule="exact"/>
        <w:rPr>
          <w:sz w:val="20"/>
          <w:szCs w:val="20"/>
          <w:color w:val="auto"/>
        </w:rPr>
      </w:pPr>
    </w:p>
    <w:p>
      <w:pPr>
        <w:ind w:left="8" w:right="40" w:hanging="8"/>
        <w:spacing w:after="0" w:line="310" w:lineRule="auto"/>
        <w:tabs>
          <w:tab w:leader="none" w:pos="161"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2024, real estate consisted of a complex which included an office building, a house and vacant land located in Kingston, New York. In March 2025, the office building and house were sold, leaving the vacant land as the only remaining real estate as of December 31, 2025. See Note 20 - Sale of Real Estate.</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6 - Intangible Assets</w:t>
      </w:r>
    </w:p>
    <w:p>
      <w:pPr>
        <w:spacing w:after="0" w:line="154" w:lineRule="exact"/>
        <w:rPr>
          <w:sz w:val="20"/>
          <w:szCs w:val="20"/>
          <w:color w:val="auto"/>
        </w:rPr>
      </w:pPr>
    </w:p>
    <w:p>
      <w:pPr>
        <w:jc w:val="both"/>
        <w:ind w:left="8"/>
        <w:spacing w:after="0" w:line="264" w:lineRule="auto"/>
        <w:rPr>
          <w:sz w:val="20"/>
          <w:szCs w:val="20"/>
          <w:color w:val="auto"/>
        </w:rPr>
      </w:pPr>
      <w:r>
        <w:rPr>
          <w:rFonts w:ascii="Times New Roman" w:cs="Times New Roman" w:eastAsia="Times New Roman" w:hAnsi="Times New Roman"/>
          <w:sz w:val="12"/>
          <w:szCs w:val="12"/>
          <w:color w:val="auto"/>
        </w:rPr>
        <w:t>Intangible assets consist of finite and indefinite life assets. Finite life intangible assets include customer and producer relationships and other identifiable intangibles. KICO’s insurance company license is considered an indefinite life intangible asset subject to annual impairment testing. All identified intangible assets of finite useful life were fully amortized as of December 31, 2025 and 2024.</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components of intangible assets and their useful lives, accumulated amortization, and net carrying value as of December 31, 2025 and 2024 are summarized as follows:</w:t>
      </w:r>
    </w:p>
    <w:p>
      <w:pPr>
        <w:spacing w:after="0" w:line="17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Useful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Gross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Net</w:t>
            </w:r>
          </w:p>
        </w:tc>
      </w:tr>
      <w:tr>
        <w:trPr>
          <w:trHeight w:val="135"/>
        </w:trPr>
        <w:tc>
          <w:tcPr>
            <w:tcW w:w="4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ind w:left="620"/>
              <w:spacing w:after="0" w:line="135" w:lineRule="exact"/>
              <w:rPr>
                <w:sz w:val="20"/>
                <w:szCs w:val="20"/>
                <w:color w:val="auto"/>
              </w:rPr>
            </w:pPr>
            <w:r>
              <w:rPr>
                <w:rFonts w:ascii="Times New Roman" w:cs="Times New Roman" w:eastAsia="Times New Roman" w:hAnsi="Times New Roman"/>
                <w:sz w:val="12"/>
                <w:szCs w:val="12"/>
                <w:b w:val="1"/>
                <w:bCs w:val="1"/>
                <w:color w:val="auto"/>
              </w:rPr>
              <w:t>Life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40" w:type="dxa"/>
            <w:vAlign w:val="bottom"/>
          </w:tcPr>
          <w:p>
            <w:pPr>
              <w:spacing w:after="0"/>
              <w:rPr>
                <w:sz w:val="11"/>
                <w:szCs w:val="11"/>
                <w:color w:val="auto"/>
              </w:rPr>
            </w:pPr>
          </w:p>
        </w:tc>
        <w:tc>
          <w:tcPr>
            <w:tcW w:w="132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300" w:type="dxa"/>
            <w:vAlign w:val="bottom"/>
          </w:tcPr>
          <w:p>
            <w:pPr>
              <w:spacing w:after="0"/>
              <w:rPr>
                <w:sz w:val="11"/>
                <w:szCs w:val="11"/>
                <w:color w:val="auto"/>
              </w:rPr>
            </w:pPr>
          </w:p>
        </w:tc>
        <w:tc>
          <w:tcPr>
            <w:tcW w:w="128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2"/>
                <w:szCs w:val="12"/>
                <w:b w:val="1"/>
                <w:bCs w:val="1"/>
                <w:color w:val="auto"/>
              </w:rPr>
              <w:t>Carrying</w:t>
            </w:r>
          </w:p>
        </w:tc>
      </w:tr>
      <w:tr>
        <w:trPr>
          <w:trHeight w:val="172"/>
        </w:trPr>
        <w:tc>
          <w:tcPr>
            <w:tcW w:w="49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2"/>
                <w:szCs w:val="12"/>
                <w:b w:val="1"/>
                <w:bCs w:val="1"/>
                <w:color w:val="auto"/>
              </w:rPr>
              <w:t>(in yrs)</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bottom w:val="single" w:sz="8" w:color="CCEEFF"/>
            </w:tcBorders>
          </w:tcPr>
          <w:p>
            <w:pPr>
              <w:spacing w:after="0"/>
              <w:rPr>
                <w:sz w:val="14"/>
                <w:szCs w:val="14"/>
                <w:color w:val="auto"/>
              </w:rPr>
            </w:pPr>
          </w:p>
        </w:tc>
      </w:tr>
      <w:tr>
        <w:trPr>
          <w:trHeight w:val="165"/>
        </w:trPr>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Insurance license</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4"/>
                <w:szCs w:val="14"/>
                <w:color w:val="auto"/>
              </w:rPr>
            </w:pPr>
          </w:p>
        </w:tc>
      </w:tr>
      <w:tr>
        <w:trPr>
          <w:trHeight w:val="167"/>
        </w:trPr>
        <w:tc>
          <w:tcPr>
            <w:tcW w:w="61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3,400,000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3,400,000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r>
      <w:tr>
        <w:trPr>
          <w:trHeight w:val="176"/>
        </w:trPr>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identifiable</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6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2"/>
                <w:szCs w:val="12"/>
                <w:color w:val="auto"/>
              </w:rPr>
              <w:t>intangibles</w:t>
            </w:r>
          </w:p>
        </w:tc>
        <w:tc>
          <w:tcPr>
            <w:tcW w:w="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950,000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950,000</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r>
      <w:tr>
        <w:trPr>
          <w:trHeight w:val="180"/>
        </w:trPr>
        <w:tc>
          <w:tcPr>
            <w:tcW w:w="61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42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4,850,000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4,350,000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500,000</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Intangible asset impairment testing and amortization</w:t>
      </w:r>
    </w:p>
    <w:p>
      <w:pPr>
        <w:spacing w:after="0" w:line="150"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The Company performs an analysis annually as of December 31, or sooner if there are indicators that the asset may be impaired, to identify potential impairment of intangible assets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for the years ended December 31, 2025 and 2024.</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recorded no amortization expense related to intangible assets for the years ended December 31, 2025 and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 Reinsurance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January 1, 2024, the Company entered into a 27%% quota share reinsurance treaty for its personal lines business, which primarily consisted of homeowners’ and dwelling fire policies covering the period from January 1, 2024 through January 1, 2025 (“2024/2025 Treaty”). Upon the expiration of the 2024/2025 Treaty on January 1, 2025, the Company entered into a new 16% quota share reinsurance treaty for its personal lines business, covering the period from January 1, 2025 through January 1, 2026 (“2025/2026 Treaty”). Upon the expiration of the 2025/2026 Treaty on January 1, 2026, the Company entered into a new 5% quota share reinsurance treaty for its personal lines business written in all states except California (for which the Company entered into a new 30% quota share reinsurance treaty) covering the period from January 1, 2026 through January 1, 2027 (“2026/2027 Treaty”). See Note 21- Subsequent Events, Reinsurance.</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excess of loss and catastrophe reinsurance treaties expired on June 30, 2025 and the Company entered into new excess of loss and catastrophe reinsurance treaties effective July 1, 2025. The new catastrophe reinsurance treaties include the issuance of a $125,000,000 catastrophe bond ("Series 2025-1 Notes"). The Series 2025-1 Notes were priced at 4.5% and issued through a Bermuda-registered special purpose insurer, 1886 Re Ltd., providing KICO with $125,000,000 of collateralized reinsurance protection. The Series 2025-1 Notes offer multi-year protection against named storm events across New York, New Jersey, Connecticut, Massachusetts and Rhode Island on an indemnity trigger and per-occurrence basis. The Series 2025-1 Notes, which were structured and placed by AON Securities LLC, cover four annual risk periods from July 1, 2025, through June 30, 2029.</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Effective January 1, 2024, the Company renewed an underlying excess of loss reinsurance treaty (“Underlying XOL Treaty”) covering the period from January 1, 2024 through January 1, 2025. The treaty provided 50% reinsurance coverage for losses of $400,000 in excess of $600,000. Losses from named storms are excluded from the treaty. Effective January 1, 2025, the Underlying XOL Treaty was renewed covering the period from January 1, 2025 through June 30, 2025. Effective July 1, 2025, the Underlying XOL Treaty was renewed along with the Company's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For the period October 1, 2024 through April 30, 2025, the Company purchased catastrophe reinsurance which provides coverage for winter storm losses to the extent of 71% of $4,500,000 in excess of $5,500,000. For the period October 15, 2025 through April 30, 2026, the Company purchased catastrophe reinsurance which provides coverage for winter storm losses to the extent of 90% of $5,000,000 in excess of $5,000,000.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Material terms for reinsurance treaties in effect for the treaty years shown below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2"/>
                <w:szCs w:val="12"/>
                <w:b w:val="1"/>
                <w:bCs w:val="1"/>
                <w:color w:val="auto"/>
              </w:rPr>
              <w:t>Treaty Period</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7"/>
        </w:trPr>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2026/2027 Treaty</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2025/2026 Treaty</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2"/>
                <w:szCs w:val="12"/>
                <w:b w:val="1"/>
                <w:bCs w:val="1"/>
                <w:color w:val="auto"/>
              </w:rPr>
              <w:t>2024/2025 Treaty</w:t>
            </w:r>
          </w:p>
        </w:tc>
        <w:tc>
          <w:tcPr>
            <w:tcW w:w="80" w:type="dxa"/>
            <w:vAlign w:val="bottom"/>
          </w:tcPr>
          <w:p>
            <w:pPr>
              <w:spacing w:after="0"/>
              <w:rPr>
                <w:sz w:val="12"/>
                <w:szCs w:val="12"/>
                <w:color w:val="auto"/>
              </w:rPr>
            </w:pPr>
          </w:p>
        </w:tc>
      </w:tr>
      <w:tr>
        <w:trPr>
          <w:trHeight w:val="127"/>
        </w:trPr>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July 1,</w:t>
            </w:r>
          </w:p>
        </w:tc>
        <w:tc>
          <w:tcPr>
            <w:tcW w:w="160" w:type="dxa"/>
            <w:vAlign w:val="bottom"/>
          </w:tcPr>
          <w:p>
            <w:pPr>
              <w:spacing w:after="0"/>
              <w:rPr>
                <w:sz w:val="11"/>
                <w:szCs w:val="11"/>
                <w:color w:val="auto"/>
              </w:rPr>
            </w:pPr>
          </w:p>
        </w:tc>
        <w:tc>
          <w:tcPr>
            <w:tcW w:w="1120" w:type="dxa"/>
            <w:vAlign w:val="bottom"/>
          </w:tcPr>
          <w:p>
            <w:pPr>
              <w:jc w:val="center"/>
              <w:ind w:right="120"/>
              <w:spacing w:after="0" w:line="128" w:lineRule="exact"/>
              <w:rPr>
                <w:sz w:val="20"/>
                <w:szCs w:val="20"/>
                <w:color w:val="auto"/>
              </w:rPr>
            </w:pPr>
            <w:r>
              <w:rPr>
                <w:rFonts w:ascii="Times New Roman" w:cs="Times New Roman" w:eastAsia="Times New Roman" w:hAnsi="Times New Roman"/>
                <w:sz w:val="12"/>
                <w:szCs w:val="12"/>
                <w:b w:val="1"/>
                <w:bCs w:val="1"/>
                <w:color w:val="auto"/>
                <w:w w:val="98"/>
              </w:rPr>
              <w:t>January 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40"/>
              <w:spacing w:after="0" w:line="128" w:lineRule="exact"/>
              <w:rPr>
                <w:sz w:val="20"/>
                <w:szCs w:val="20"/>
                <w:color w:val="auto"/>
              </w:rPr>
            </w:pPr>
            <w:r>
              <w:rPr>
                <w:rFonts w:ascii="Times New Roman" w:cs="Times New Roman" w:eastAsia="Times New Roman" w:hAnsi="Times New Roman"/>
                <w:sz w:val="12"/>
                <w:szCs w:val="12"/>
                <w:b w:val="1"/>
                <w:bCs w:val="1"/>
                <w:color w:val="auto"/>
                <w:w w:val="99"/>
              </w:rPr>
              <w:t>July 1,</w:t>
            </w: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2"/>
                <w:szCs w:val="12"/>
                <w:b w:val="1"/>
                <w:bCs w:val="1"/>
                <w:color w:val="auto"/>
                <w:w w:val="98"/>
              </w:rPr>
              <w:t>January 2,</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July 1,</w:t>
            </w:r>
          </w:p>
        </w:tc>
        <w:tc>
          <w:tcPr>
            <w:tcW w:w="200" w:type="dxa"/>
            <w:vAlign w:val="bottom"/>
          </w:tcPr>
          <w:p>
            <w:pPr>
              <w:spacing w:after="0"/>
              <w:rPr>
                <w:sz w:val="11"/>
                <w:szCs w:val="11"/>
                <w:color w:val="auto"/>
              </w:rPr>
            </w:pPr>
          </w:p>
        </w:tc>
        <w:tc>
          <w:tcPr>
            <w:tcW w:w="1280" w:type="dxa"/>
            <w:vAlign w:val="bottom"/>
            <w:gridSpan w:val="2"/>
          </w:tcPr>
          <w:p>
            <w:pPr>
              <w:jc w:val="center"/>
              <w:ind w:right="320"/>
              <w:spacing w:after="0" w:line="128" w:lineRule="exact"/>
              <w:rPr>
                <w:sz w:val="20"/>
                <w:szCs w:val="20"/>
                <w:color w:val="auto"/>
              </w:rPr>
            </w:pPr>
            <w:r>
              <w:rPr>
                <w:rFonts w:ascii="Times New Roman" w:cs="Times New Roman" w:eastAsia="Times New Roman" w:hAnsi="Times New Roman"/>
                <w:sz w:val="12"/>
                <w:szCs w:val="12"/>
                <w:b w:val="1"/>
                <w:bCs w:val="1"/>
                <w:color w:val="auto"/>
              </w:rPr>
              <w:t>January 1,</w:t>
            </w:r>
          </w:p>
        </w:tc>
      </w:tr>
      <w:tr>
        <w:trPr>
          <w:trHeight w:val="135"/>
        </w:trPr>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1"/>
                <w:szCs w:val="11"/>
                <w:color w:val="auto"/>
              </w:rPr>
            </w:pPr>
          </w:p>
        </w:tc>
      </w:tr>
      <w:tr>
        <w:trPr>
          <w:trHeight w:val="144"/>
        </w:trPr>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160" w:type="dxa"/>
            <w:vAlign w:val="bottom"/>
          </w:tcPr>
          <w:p>
            <w:pPr>
              <w:spacing w:after="0"/>
              <w:rPr>
                <w:sz w:val="12"/>
                <w:szCs w:val="12"/>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to</w:t>
            </w:r>
          </w:p>
        </w:tc>
      </w:tr>
      <w:tr>
        <w:trPr>
          <w:trHeight w:val="135"/>
        </w:trPr>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rPr>
              <w:t>January 1,</w:t>
            </w:r>
          </w:p>
        </w:tc>
        <w:tc>
          <w:tcPr>
            <w:tcW w:w="160" w:type="dxa"/>
            <w:vAlign w:val="bottom"/>
          </w:tcPr>
          <w:p>
            <w:pPr>
              <w:spacing w:after="0"/>
              <w:rPr>
                <w:sz w:val="11"/>
                <w:szCs w:val="11"/>
                <w:color w:val="auto"/>
              </w:rPr>
            </w:pPr>
          </w:p>
        </w:tc>
        <w:tc>
          <w:tcPr>
            <w:tcW w:w="112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January 1,</w:t>
            </w:r>
          </w:p>
        </w:tc>
        <w:tc>
          <w:tcPr>
            <w:tcW w:w="180" w:type="dxa"/>
            <w:vAlign w:val="bottom"/>
          </w:tcPr>
          <w:p>
            <w:pPr>
              <w:spacing w:after="0"/>
              <w:rPr>
                <w:sz w:val="11"/>
                <w:szCs w:val="11"/>
                <w:color w:val="auto"/>
              </w:rPr>
            </w:pPr>
          </w:p>
        </w:tc>
        <w:tc>
          <w:tcPr>
            <w:tcW w:w="12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January 1,</w:t>
            </w:r>
          </w:p>
        </w:tc>
        <w:tc>
          <w:tcPr>
            <w:tcW w:w="20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June 30,</w:t>
            </w:r>
          </w:p>
        </w:tc>
      </w:tr>
      <w:tr>
        <w:trPr>
          <w:trHeight w:val="163"/>
        </w:trPr>
        <w:tc>
          <w:tcPr>
            <w:tcW w:w="2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rPr>
              <w:t>Line of Business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2027</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80" w:type="dxa"/>
            <w:vAlign w:val="bottom"/>
          </w:tcPr>
          <w:p>
            <w:pPr>
              <w:spacing w:after="0"/>
              <w:rPr>
                <w:sz w:val="14"/>
                <w:szCs w:val="14"/>
                <w:color w:val="auto"/>
              </w:rPr>
            </w:pPr>
          </w:p>
        </w:tc>
      </w:tr>
      <w:tr>
        <w:trPr>
          <w:trHeight w:val="299"/>
        </w:trPr>
        <w:tc>
          <w:tcPr>
            <w:tcW w:w="28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28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Homeowners, dwelling fire and canine legal liability</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286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Quota share treaty:</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28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Percent ceded (6)</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27 %</w:t>
            </w:r>
          </w:p>
        </w:tc>
        <w:tc>
          <w:tcPr>
            <w:tcW w:w="80" w:type="dxa"/>
            <w:vAlign w:val="bottom"/>
            <w:shd w:val="clear" w:color="auto" w:fill="CCEEFF"/>
          </w:tcPr>
          <w:p>
            <w:pPr>
              <w:spacing w:after="0"/>
              <w:rPr>
                <w:sz w:val="15"/>
                <w:szCs w:val="15"/>
                <w:color w:val="auto"/>
              </w:rPr>
            </w:pPr>
          </w:p>
        </w:tc>
      </w:tr>
      <w:tr>
        <w:trPr>
          <w:trHeight w:val="167"/>
        </w:trPr>
        <w:tc>
          <w:tcPr>
            <w:tcW w:w="286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Risk retained on initial</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8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$1,000,000 of losses (4) (5) (6)</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950,000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840,000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730,000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730,000</w:t>
            </w:r>
          </w:p>
        </w:tc>
        <w:tc>
          <w:tcPr>
            <w:tcW w:w="80" w:type="dxa"/>
            <w:vAlign w:val="bottom"/>
            <w:shd w:val="clear" w:color="auto" w:fill="CCEEFF"/>
          </w:tcPr>
          <w:p>
            <w:pPr>
              <w:spacing w:after="0"/>
              <w:rPr>
                <w:sz w:val="15"/>
                <w:szCs w:val="15"/>
                <w:color w:val="auto"/>
              </w:rPr>
            </w:pPr>
          </w:p>
        </w:tc>
      </w:tr>
      <w:tr>
        <w:trPr>
          <w:trHeight w:val="167"/>
        </w:trPr>
        <w:tc>
          <w:tcPr>
            <w:tcW w:w="286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Losses per occurrence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8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subject to quota share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7"/>
        </w:trPr>
        <w:tc>
          <w:tcPr>
            <w:tcW w:w="28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reinsurance coverage</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4"/>
                <w:szCs w:val="14"/>
                <w:color w:val="auto"/>
              </w:rPr>
            </w:pPr>
          </w:p>
        </w:tc>
      </w:tr>
      <w:tr>
        <w:trPr>
          <w:trHeight w:val="176"/>
        </w:trPr>
        <w:tc>
          <w:tcPr>
            <w:tcW w:w="28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Expiration date</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January 1, 2027</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January 1, 2027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January 1, 2026</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January 1, 2026</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2"/>
                <w:szCs w:val="12"/>
                <w:color w:val="auto"/>
                <w:w w:val="99"/>
              </w:rPr>
              <w:t>January 1, 2025</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2"/>
                <w:szCs w:val="12"/>
                <w:color w:val="auto"/>
                <w:w w:val="99"/>
              </w:rPr>
              <w:t>January 1, 2025</w:t>
            </w:r>
          </w:p>
        </w:tc>
      </w:tr>
      <w:tr>
        <w:trPr>
          <w:trHeight w:val="166"/>
        </w:trPr>
        <w:tc>
          <w:tcPr>
            <w:tcW w:w="286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Excess of loss coverage and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28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facultative facility</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28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coverage (1) (4) (5)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8,250,000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8,250,000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8,400,000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8,400,000</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8,400,000</w:t>
            </w:r>
          </w:p>
        </w:tc>
        <w:tc>
          <w:tcPr>
            <w:tcW w:w="80" w:type="dxa"/>
            <w:vAlign w:val="bottom"/>
          </w:tcPr>
          <w:p>
            <w:pPr>
              <w:spacing w:after="0"/>
              <w:rPr>
                <w:sz w:val="14"/>
                <w:szCs w:val="14"/>
                <w:color w:val="auto"/>
              </w:rPr>
            </w:pPr>
          </w:p>
        </w:tc>
      </w:tr>
      <w:tr>
        <w:trPr>
          <w:trHeight w:val="176"/>
        </w:trPr>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2"/>
                <w:szCs w:val="12"/>
                <w:color w:val="auto"/>
                <w:w w:val="98"/>
              </w:rPr>
              <w:t>in excess of</w:t>
            </w:r>
          </w:p>
        </w:tc>
        <w:tc>
          <w:tcPr>
            <w:tcW w:w="8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excess of</w:t>
            </w:r>
          </w:p>
        </w:tc>
        <w:tc>
          <w:tcPr>
            <w:tcW w:w="1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excess of</w:t>
            </w:r>
          </w:p>
        </w:tc>
        <w:tc>
          <w:tcPr>
            <w:tcW w:w="1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in excess of</w:t>
            </w:r>
          </w:p>
        </w:tc>
        <w:tc>
          <w:tcPr>
            <w:tcW w:w="1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excess of</w:t>
            </w:r>
          </w:p>
        </w:tc>
      </w:tr>
      <w:tr>
        <w:trPr>
          <w:trHeight w:val="166"/>
        </w:trPr>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750,000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750,000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600,000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600,000</w:t>
            </w:r>
          </w:p>
        </w:tc>
        <w:tc>
          <w:tcPr>
            <w:tcW w:w="80" w:type="dxa"/>
            <w:vAlign w:val="bottom"/>
          </w:tcPr>
          <w:p>
            <w:pPr>
              <w:spacing w:after="0"/>
              <w:rPr>
                <w:sz w:val="14"/>
                <w:szCs w:val="14"/>
                <w:color w:val="auto"/>
              </w:rPr>
            </w:pPr>
          </w:p>
        </w:tc>
      </w:tr>
      <w:tr>
        <w:trPr>
          <w:trHeight w:val="176"/>
        </w:trPr>
        <w:tc>
          <w:tcPr>
            <w:tcW w:w="28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Total reinsurance coverage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7"/>
        </w:trPr>
        <w:tc>
          <w:tcPr>
            <w:tcW w:w="28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per occurrence (4) (5)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8,175,000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8,285,000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8,360,000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8,470,000</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8,470,000</w:t>
            </w:r>
          </w:p>
        </w:tc>
        <w:tc>
          <w:tcPr>
            <w:tcW w:w="80" w:type="dxa"/>
            <w:vAlign w:val="bottom"/>
          </w:tcPr>
          <w:p>
            <w:pPr>
              <w:spacing w:after="0"/>
              <w:rPr>
                <w:sz w:val="14"/>
                <w:szCs w:val="14"/>
                <w:color w:val="auto"/>
              </w:rPr>
            </w:pPr>
          </w:p>
        </w:tc>
      </w:tr>
      <w:tr>
        <w:trPr>
          <w:trHeight w:val="175"/>
        </w:trPr>
        <w:tc>
          <w:tcPr>
            <w:tcW w:w="28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Losses per occurrence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7"/>
        </w:trPr>
        <w:tc>
          <w:tcPr>
            <w:tcW w:w="28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subject to reinsurance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8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coverage (5)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9,000,000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9,000,000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9,000,000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9,000,000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9,000,000</w:t>
            </w:r>
          </w:p>
        </w:tc>
        <w:tc>
          <w:tcPr>
            <w:tcW w:w="80" w:type="dxa"/>
            <w:vAlign w:val="bottom"/>
            <w:shd w:val="clear" w:color="auto" w:fill="CCEEFF"/>
          </w:tcPr>
          <w:p>
            <w:pPr>
              <w:spacing w:after="0"/>
              <w:rPr>
                <w:sz w:val="15"/>
                <w:szCs w:val="15"/>
                <w:color w:val="auto"/>
              </w:rPr>
            </w:pPr>
          </w:p>
        </w:tc>
      </w:tr>
      <w:tr>
        <w:trPr>
          <w:trHeight w:val="167"/>
        </w:trPr>
        <w:tc>
          <w:tcPr>
            <w:tcW w:w="2860" w:type="dxa"/>
            <w:vAlign w:val="bottom"/>
            <w:gridSpan w:val="4"/>
          </w:tcPr>
          <w:p>
            <w:pPr>
              <w:ind w:left="100"/>
              <w:spacing w:after="0"/>
              <w:rPr>
                <w:sz w:val="20"/>
                <w:szCs w:val="20"/>
                <w:color w:val="auto"/>
              </w:rPr>
            </w:pPr>
            <w:r>
              <w:rPr>
                <w:rFonts w:ascii="Times New Roman" w:cs="Times New Roman" w:eastAsia="Times New Roman" w:hAnsi="Times New Roman"/>
                <w:sz w:val="12"/>
                <w:szCs w:val="12"/>
                <w:color w:val="auto"/>
              </w:rPr>
              <w:t>Expiration date</w:t>
            </w:r>
          </w:p>
        </w:tc>
        <w:tc>
          <w:tcPr>
            <w:tcW w:w="1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June 30, 2026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8"/>
              </w:rPr>
              <w:t>June 30, 2026</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June 30, 2025</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8"/>
              </w:rPr>
              <w:t>June 30, 2025</w:t>
            </w: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rPr>
              <w:t>June 30, 2024</w:t>
            </w:r>
          </w:p>
        </w:tc>
      </w:tr>
      <w:tr>
        <w:trPr>
          <w:trHeight w:val="185"/>
        </w:trPr>
        <w:tc>
          <w:tcPr>
            <w:tcW w:w="7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43"/>
        </w:trPr>
        <w:tc>
          <w:tcPr>
            <w:tcW w:w="1240" w:type="dxa"/>
            <w:vAlign w:val="bottom"/>
            <w:tcBorders>
              <w:bottom w:val="single" w:sz="8" w:color="auto"/>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w w:val="99"/>
              </w:rPr>
              <w:t>Catastrophe Reinsurance:</w:t>
            </w:r>
          </w:p>
        </w:tc>
        <w:tc>
          <w:tcPr>
            <w:tcW w:w="162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9"/>
        </w:trPr>
        <w:tc>
          <w:tcPr>
            <w:tcW w:w="28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Initial loss subject to personal</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28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lines quota share treaty (5)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10,000,000</w:t>
            </w:r>
          </w:p>
        </w:tc>
        <w:tc>
          <w:tcPr>
            <w:tcW w:w="80" w:type="dxa"/>
            <w:vAlign w:val="bottom"/>
          </w:tcPr>
          <w:p>
            <w:pPr>
              <w:spacing w:after="0"/>
              <w:rPr>
                <w:sz w:val="14"/>
                <w:szCs w:val="14"/>
                <w:color w:val="auto"/>
              </w:rPr>
            </w:pPr>
          </w:p>
        </w:tc>
      </w:tr>
      <w:tr>
        <w:trPr>
          <w:trHeight w:val="176"/>
        </w:trPr>
        <w:tc>
          <w:tcPr>
            <w:tcW w:w="28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Risk retained per catastrophe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28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occurrence (5) (6) (7) (8)</w:t>
            </w:r>
          </w:p>
        </w:tc>
        <w:tc>
          <w:tcPr>
            <w:tcW w:w="1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5,500,000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5,000,000</w:t>
            </w:r>
          </w:p>
        </w:tc>
        <w:tc>
          <w:tcPr>
            <w:tcW w:w="8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4,250,000</w:t>
            </w:r>
          </w:p>
        </w:tc>
        <w:tc>
          <w:tcPr>
            <w:tcW w:w="1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4,750,000</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9,500,000</w:t>
            </w:r>
          </w:p>
        </w:tc>
        <w:tc>
          <w:tcPr>
            <w:tcW w:w="80" w:type="dxa"/>
            <w:vAlign w:val="bottom"/>
          </w:tcPr>
          <w:p>
            <w:pPr>
              <w:spacing w:after="0"/>
              <w:rPr>
                <w:sz w:val="14"/>
                <w:szCs w:val="14"/>
                <w:color w:val="auto"/>
              </w:rPr>
            </w:pPr>
          </w:p>
        </w:tc>
      </w:tr>
      <w:tr>
        <w:trPr>
          <w:trHeight w:val="175"/>
        </w:trPr>
        <w:tc>
          <w:tcPr>
            <w:tcW w:w="28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Catastrophe loss coverage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7"/>
        </w:trPr>
        <w:tc>
          <w:tcPr>
            <w:tcW w:w="28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in excess of quota share</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8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coverage (2) (5) (8)</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434,500,000</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435,000,000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275,000,000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275,000,000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315,000,000</w:t>
            </w:r>
          </w:p>
        </w:tc>
        <w:tc>
          <w:tcPr>
            <w:tcW w:w="80" w:type="dxa"/>
            <w:vAlign w:val="bottom"/>
            <w:shd w:val="clear" w:color="auto" w:fill="CCEEFF"/>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1"/>
        </w:trPr>
        <w:tc>
          <w:tcPr>
            <w:tcW w:w="28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Reinstatement premium</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2860" w:type="dxa"/>
            <w:vAlign w:val="bottom"/>
            <w:gridSpan w:val="4"/>
          </w:tcPr>
          <w:p>
            <w:pPr>
              <w:ind w:left="200"/>
              <w:spacing w:after="0"/>
              <w:rPr>
                <w:sz w:val="20"/>
                <w:szCs w:val="20"/>
                <w:color w:val="auto"/>
              </w:rPr>
            </w:pPr>
            <w:r>
              <w:rPr>
                <w:rFonts w:ascii="Times New Roman" w:cs="Times New Roman" w:eastAsia="Times New Roman" w:hAnsi="Times New Roman"/>
                <w:sz w:val="12"/>
                <w:szCs w:val="12"/>
                <w:color w:val="auto"/>
              </w:rPr>
              <w:t>protection (3)</w:t>
            </w:r>
          </w:p>
        </w:tc>
        <w:tc>
          <w:tcPr>
            <w:tcW w:w="16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Yes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6"/>
              </w:rPr>
              <w:t>Yes</w:t>
            </w:r>
          </w:p>
        </w:tc>
        <w:tc>
          <w:tcPr>
            <w:tcW w:w="18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6"/>
              </w:rPr>
              <w:t>Yes</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6"/>
              </w:rPr>
              <w:t>Yes</w:t>
            </w:r>
          </w:p>
        </w:tc>
        <w:tc>
          <w:tcPr>
            <w:tcW w:w="20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85"/>
              </w:rPr>
              <w:t>Yes</w:t>
            </w:r>
          </w:p>
        </w:tc>
      </w:tr>
      <w:tr>
        <w:trPr>
          <w:trHeight w:val="612"/>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F-28</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2"/>
        </w:trPr>
        <w:tc>
          <w:tcPr>
            <w:tcW w:w="74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307" w:lineRule="exact"/>
        <w:rPr>
          <w:sz w:val="20"/>
          <w:szCs w:val="20"/>
          <w:color w:val="auto"/>
        </w:rPr>
      </w:pPr>
    </w:p>
    <w:p>
      <w:pPr>
        <w:ind w:left="1340" w:hanging="700"/>
        <w:spacing w:after="0" w:line="279" w:lineRule="auto"/>
        <w:tabs>
          <w:tab w:leader="none" w:pos="133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personal lines, includes the addition of an automatic facultative facility allowing KICO to obtain homeowners single risk coverage up to $9,000,000 in total insured value, which covers direct losses from $3,500,000 to $9,000,000 through June 30, 2026.</w:t>
      </w:r>
    </w:p>
    <w:p>
      <w:pPr>
        <w:spacing w:after="0" w:line="147" w:lineRule="exact"/>
        <w:rPr>
          <w:rFonts w:ascii="Times New Roman" w:cs="Times New Roman" w:eastAsia="Times New Roman" w:hAnsi="Times New Roman"/>
          <w:sz w:val="12"/>
          <w:szCs w:val="12"/>
          <w:color w:val="auto"/>
        </w:rPr>
      </w:pPr>
    </w:p>
    <w:p>
      <w:pPr>
        <w:jc w:val="both"/>
        <w:ind w:left="1340" w:hanging="700"/>
        <w:spacing w:after="0" w:line="257" w:lineRule="auto"/>
        <w:tabs>
          <w:tab w:leader="none" w:pos="13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Duration of 168 consecutive hours for a catastrophe occurrence from windstorm, hail, tornado, hurricane and cyclone, except for winter storm coverage, which is covered under a specific declared catastrophe event.</w:t>
      </w:r>
    </w:p>
    <w:p>
      <w:pPr>
        <w:spacing w:after="0" w:line="168" w:lineRule="exact"/>
        <w:rPr>
          <w:rFonts w:ascii="Times New Roman" w:cs="Times New Roman" w:eastAsia="Times New Roman" w:hAnsi="Times New Roman"/>
          <w:sz w:val="11"/>
          <w:szCs w:val="11"/>
          <w:color w:val="auto"/>
        </w:rPr>
      </w:pPr>
    </w:p>
    <w:p>
      <w:pPr>
        <w:ind w:left="1340" w:hanging="700"/>
        <w:spacing w:after="0" w:line="279" w:lineRule="auto"/>
        <w:tabs>
          <w:tab w:leader="none" w:pos="13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For the period July 1, 2024 through June 30, 2025 (expiration date of the catastrophe reinsurance treaty),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w:t>
      </w:r>
    </w:p>
    <w:p>
      <w:pPr>
        <w:spacing w:after="0" w:line="156" w:lineRule="exact"/>
        <w:rPr>
          <w:rFonts w:ascii="Times New Roman" w:cs="Times New Roman" w:eastAsia="Times New Roman" w:hAnsi="Times New Roman"/>
          <w:sz w:val="11"/>
          <w:szCs w:val="11"/>
          <w:color w:val="auto"/>
        </w:rPr>
      </w:pPr>
    </w:p>
    <w:p>
      <w:pPr>
        <w:jc w:val="both"/>
        <w:ind w:left="1340" w:hanging="700"/>
        <w:spacing w:after="0" w:line="246" w:lineRule="auto"/>
        <w:tabs>
          <w:tab w:leader="none" w:pos="13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For the period January 1, 2024 through June 30, 2025, the Underlying XOL Treaty provides 50% reinsurance coverage for losses of $400,000 in excess of $600,000. Excludes losses from named storms. Reduces retention to $530,000 from $730,000 under the 2024/2025 Treaty.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Increased retention to $715,000 from $640,000 under the 2025/2026 Treaty, and increased retention to $825,000 under the 2026/2027 Treaty (see note 5 below).</w:t>
      </w:r>
    </w:p>
    <w:p>
      <w:pPr>
        <w:spacing w:after="0" w:line="174" w:lineRule="exact"/>
        <w:rPr>
          <w:rFonts w:ascii="Times New Roman" w:cs="Times New Roman" w:eastAsia="Times New Roman" w:hAnsi="Times New Roman"/>
          <w:sz w:val="11"/>
          <w:szCs w:val="11"/>
          <w:color w:val="auto"/>
        </w:rPr>
      </w:pPr>
    </w:p>
    <w:p>
      <w:pPr>
        <w:jc w:val="both"/>
        <w:ind w:left="1340" w:hanging="700"/>
        <w:spacing w:after="0" w:line="257" w:lineRule="auto"/>
        <w:tabs>
          <w:tab w:leader="none" w:pos="133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Excess of loss coverage and facultative facility and catastrophe reinsurance treaties will expire on June 30,2026, with none of these coverages to be in effect during the period from July 1 2026 through January 1, 2027. If and when these treaties are renewed on July 1, 2026, the excess of loss and facultative facility, underlying excess of loss treaty, and the catastrophe reinsurance treaty, will be as provided for therein. Reinsurance coverage in effect from July 1, 2026 through January 1, 2027 is currently only covered under the 2026/2027 Treaty. The 2026/2027 Treaty will expire on January 1, 2027.</w:t>
      </w:r>
    </w:p>
    <w:p>
      <w:pPr>
        <w:spacing w:after="0" w:line="159" w:lineRule="exact"/>
        <w:rPr>
          <w:rFonts w:ascii="Times New Roman" w:cs="Times New Roman" w:eastAsia="Times New Roman" w:hAnsi="Times New Roman"/>
          <w:sz w:val="12"/>
          <w:szCs w:val="12"/>
          <w:color w:val="auto"/>
        </w:rPr>
      </w:pPr>
    </w:p>
    <w:p>
      <w:pPr>
        <w:ind w:left="1340" w:hanging="700"/>
        <w:spacing w:after="0" w:line="279" w:lineRule="auto"/>
        <w:tabs>
          <w:tab w:leader="none" w:pos="133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2024/2025 Treaty, 22% of the 27% total of losses ceded under this treaty are excluded from a named catastrophe event. For the 2025/2026 Treaty, 6% of the 16% total of losses ceded under this treaty are excluded from a named catastrophe event. For the 2026/2027 Treaty, there is no exclusion for catastrophe events.</w:t>
      </w:r>
    </w:p>
    <w:p>
      <w:pPr>
        <w:spacing w:after="0" w:line="147" w:lineRule="exact"/>
        <w:rPr>
          <w:rFonts w:ascii="Times New Roman" w:cs="Times New Roman" w:eastAsia="Times New Roman" w:hAnsi="Times New Roman"/>
          <w:sz w:val="12"/>
          <w:szCs w:val="12"/>
          <w:color w:val="auto"/>
        </w:rPr>
      </w:pPr>
    </w:p>
    <w:p>
      <w:pPr>
        <w:ind w:left="1340" w:hanging="700"/>
        <w:spacing w:after="0"/>
        <w:tabs>
          <w:tab w:leader="none" w:pos="13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Plus losses in excess of catastrophe coverage.</w:t>
      </w:r>
    </w:p>
    <w:p>
      <w:pPr>
        <w:spacing w:after="0" w:line="195" w:lineRule="exact"/>
        <w:rPr>
          <w:rFonts w:ascii="Times New Roman" w:cs="Times New Roman" w:eastAsia="Times New Roman" w:hAnsi="Times New Roman"/>
          <w:sz w:val="12"/>
          <w:szCs w:val="12"/>
          <w:color w:val="auto"/>
        </w:rPr>
      </w:pPr>
    </w:p>
    <w:p>
      <w:pPr>
        <w:jc w:val="both"/>
        <w:ind w:left="1340" w:hanging="700"/>
        <w:spacing w:after="0" w:line="246" w:lineRule="auto"/>
        <w:tabs>
          <w:tab w:leader="none" w:pos="13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For the period October 15, 2025 through April 30, 2026, additional catastrophe reinsurance treaty will provide coverage for winter storm losses to the extent of 90% of $5,000,000 in excess of</w:t>
      </w:r>
    </w:p>
    <w:p>
      <w:pPr>
        <w:spacing w:after="0" w:line="1" w:lineRule="exact"/>
        <w:rPr>
          <w:rFonts w:ascii="Times New Roman" w:cs="Times New Roman" w:eastAsia="Times New Roman" w:hAnsi="Times New Roman"/>
          <w:sz w:val="11"/>
          <w:szCs w:val="11"/>
          <w:color w:val="auto"/>
        </w:rPr>
      </w:pPr>
    </w:p>
    <w:p>
      <w:pPr>
        <w:ind w:left="1340" w:right="20"/>
        <w:spacing w:after="0" w:line="258"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$5,000,000. Retention for winter storms is $4,800,000 under the 2024/2025 Treaty, $5,200,000 under the 2025/2026 Treaty from January 1, 2025 through April 30, 2025, $3,900,000 from October 15, 2025 through January 1, 2026, the expiration date of the 2025/2026 Treaty, and $5,000,000 under the 2026/2027 Treaty through April 30, 2026,</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1" w:name="page112"/>
    <w:bookmarkEnd w:id="111"/>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8"/>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8"/>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94" w:lineRule="exact"/>
        <w:rPr>
          <w:sz w:val="20"/>
          <w:szCs w:val="20"/>
          <w:color w:val="auto"/>
        </w:rPr>
      </w:pPr>
    </w:p>
    <w:tbl>
      <w:tblPr>
        <w:tblLayout w:type="fixed"/>
        <w:tblInd w:w="8" w:type="dxa"/>
        <w:tblCellMar>
          <w:top w:w="0" w:type="dxa"/>
          <w:left w:w="0" w:type="dxa"/>
          <w:bottom w:w="0" w:type="dxa"/>
          <w:right w:w="0" w:type="dxa"/>
        </w:tblCellMar>
      </w:tblPr>
      <w:tr>
        <w:trPr>
          <w:trHeight w:val="163"/>
        </w:trPr>
        <w:tc>
          <w:tcPr>
            <w:tcW w:w="74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Treaty Year</w:t>
            </w: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2"/>
        </w:trPr>
        <w:tc>
          <w:tcPr>
            <w:tcW w:w="74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20"/>
              <w:spacing w:after="0" w:line="132" w:lineRule="exact"/>
              <w:rPr>
                <w:sz w:val="20"/>
                <w:szCs w:val="20"/>
                <w:color w:val="auto"/>
              </w:rPr>
            </w:pPr>
            <w:r>
              <w:rPr>
                <w:rFonts w:ascii="Times New Roman" w:cs="Times New Roman" w:eastAsia="Times New Roman" w:hAnsi="Times New Roman"/>
                <w:sz w:val="12"/>
                <w:szCs w:val="12"/>
                <w:b w:val="1"/>
                <w:bCs w:val="1"/>
                <w:color w:val="auto"/>
              </w:rPr>
              <w:t>July 1, 2025</w:t>
            </w:r>
          </w:p>
        </w:tc>
        <w:tc>
          <w:tcPr>
            <w:tcW w:w="260" w:type="dxa"/>
            <w:vAlign w:val="bottom"/>
          </w:tcPr>
          <w:p>
            <w:pPr>
              <w:spacing w:after="0"/>
              <w:rPr>
                <w:sz w:val="11"/>
                <w:szCs w:val="11"/>
                <w:color w:val="auto"/>
              </w:rPr>
            </w:pPr>
          </w:p>
        </w:tc>
        <w:tc>
          <w:tcPr>
            <w:tcW w:w="138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8"/>
              </w:rPr>
              <w:t>July 1, 2024</w:t>
            </w:r>
          </w:p>
        </w:tc>
        <w:tc>
          <w:tcPr>
            <w:tcW w:w="240" w:type="dxa"/>
            <w:vAlign w:val="bottom"/>
          </w:tcPr>
          <w:p>
            <w:pPr>
              <w:spacing w:after="0"/>
              <w:rPr>
                <w:sz w:val="11"/>
                <w:szCs w:val="11"/>
                <w:color w:val="auto"/>
              </w:rPr>
            </w:pPr>
          </w:p>
        </w:tc>
        <w:tc>
          <w:tcPr>
            <w:tcW w:w="140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July 1, 2023</w:t>
            </w:r>
          </w:p>
        </w:tc>
      </w:tr>
      <w:tr>
        <w:trPr>
          <w:trHeight w:val="144"/>
        </w:trPr>
        <w:tc>
          <w:tcPr>
            <w:tcW w:w="74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to</w:t>
            </w:r>
          </w:p>
        </w:tc>
        <w:tc>
          <w:tcPr>
            <w:tcW w:w="260" w:type="dxa"/>
            <w:vAlign w:val="bottom"/>
          </w:tcPr>
          <w:p>
            <w:pPr>
              <w:spacing w:after="0"/>
              <w:rPr>
                <w:sz w:val="12"/>
                <w:szCs w:val="12"/>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to</w:t>
            </w:r>
          </w:p>
        </w:tc>
        <w:tc>
          <w:tcPr>
            <w:tcW w:w="240" w:type="dxa"/>
            <w:vAlign w:val="bottom"/>
          </w:tcPr>
          <w:p>
            <w:pPr>
              <w:spacing w:after="0"/>
              <w:rPr>
                <w:sz w:val="12"/>
                <w:szCs w:val="12"/>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to</w:t>
            </w:r>
          </w:p>
        </w:tc>
      </w:tr>
      <w:tr>
        <w:trPr>
          <w:trHeight w:val="163"/>
        </w:trPr>
        <w:tc>
          <w:tcPr>
            <w:tcW w:w="6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Line of Business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June 30, 2026</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June 30, 2025</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80" w:type="dxa"/>
            <w:vAlign w:val="bottom"/>
          </w:tcPr>
          <w:p>
            <w:pPr>
              <w:spacing w:after="0"/>
              <w:rPr>
                <w:sz w:val="14"/>
                <w:szCs w:val="14"/>
                <w:color w:val="auto"/>
              </w:rPr>
            </w:pPr>
          </w:p>
        </w:tc>
      </w:tr>
      <w:tr>
        <w:trPr>
          <w:trHeight w:val="299"/>
        </w:trPr>
        <w:tc>
          <w:tcPr>
            <w:tcW w:w="63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Personal Lines:</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63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Personal Umbrella</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38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Quota share treaty:</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6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Percent ceded - first $1,000,000 of coverage</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5"/>
                <w:szCs w:val="15"/>
                <w:color w:val="auto"/>
              </w:rPr>
            </w:pPr>
          </w:p>
        </w:tc>
      </w:tr>
      <w:tr>
        <w:trPr>
          <w:trHeight w:val="167"/>
        </w:trPr>
        <w:tc>
          <w:tcPr>
            <w:tcW w:w="638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Percent ceded - excess of $1,000,000 dollars of coverage</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4"/>
                <w:szCs w:val="14"/>
                <w:color w:val="auto"/>
              </w:rPr>
            </w:pPr>
          </w:p>
        </w:tc>
      </w:tr>
      <w:tr>
        <w:trPr>
          <w:trHeight w:val="175"/>
        </w:trPr>
        <w:tc>
          <w:tcPr>
            <w:tcW w:w="6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Risk retained</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15"/>
                <w:szCs w:val="15"/>
                <w:color w:val="auto"/>
              </w:rPr>
            </w:pPr>
          </w:p>
        </w:tc>
      </w:tr>
      <w:tr>
        <w:trPr>
          <w:trHeight w:val="167"/>
        </w:trPr>
        <w:tc>
          <w:tcPr>
            <w:tcW w:w="6380" w:type="dxa"/>
            <w:vAlign w:val="bottom"/>
            <w:gridSpan w:val="3"/>
          </w:tcPr>
          <w:p>
            <w:pPr>
              <w:ind w:left="320"/>
              <w:spacing w:after="0"/>
              <w:rPr>
                <w:sz w:val="20"/>
                <w:szCs w:val="20"/>
                <w:color w:val="auto"/>
              </w:rPr>
            </w:pPr>
            <w:r>
              <w:rPr>
                <w:rFonts w:ascii="Times New Roman" w:cs="Times New Roman" w:eastAsia="Times New Roman" w:hAnsi="Times New Roman"/>
                <w:sz w:val="12"/>
                <w:szCs w:val="12"/>
                <w:color w:val="auto"/>
              </w:rPr>
              <w:t>Total reinsurance coverage per occurrence</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4,700,000</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4,700,000</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4,700,000</w:t>
            </w:r>
          </w:p>
        </w:tc>
        <w:tc>
          <w:tcPr>
            <w:tcW w:w="80" w:type="dxa"/>
            <w:vAlign w:val="bottom"/>
          </w:tcPr>
          <w:p>
            <w:pPr>
              <w:spacing w:after="0"/>
              <w:rPr>
                <w:sz w:val="14"/>
                <w:szCs w:val="14"/>
                <w:color w:val="auto"/>
              </w:rPr>
            </w:pPr>
          </w:p>
        </w:tc>
      </w:tr>
      <w:tr>
        <w:trPr>
          <w:trHeight w:val="175"/>
        </w:trPr>
        <w:tc>
          <w:tcPr>
            <w:tcW w:w="63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Losses per occurrence subject to quota share reinsurance coverage</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5,000,000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5,000,000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5,000,000</w:t>
            </w:r>
          </w:p>
        </w:tc>
        <w:tc>
          <w:tcPr>
            <w:tcW w:w="80" w:type="dxa"/>
            <w:vAlign w:val="bottom"/>
            <w:shd w:val="clear" w:color="auto" w:fill="CCEEFF"/>
          </w:tcPr>
          <w:p>
            <w:pPr>
              <w:spacing w:after="0"/>
              <w:rPr>
                <w:sz w:val="15"/>
                <w:szCs w:val="15"/>
                <w:color w:val="auto"/>
              </w:rPr>
            </w:pPr>
          </w:p>
        </w:tc>
      </w:tr>
      <w:tr>
        <w:trPr>
          <w:trHeight w:val="162"/>
        </w:trPr>
        <w:tc>
          <w:tcPr>
            <w:tcW w:w="638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Expiration date</w:t>
            </w:r>
          </w:p>
        </w:tc>
        <w:tc>
          <w:tcPr>
            <w:tcW w:w="2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June 30, 2026</w:t>
            </w:r>
          </w:p>
        </w:tc>
        <w:tc>
          <w:tcPr>
            <w:tcW w:w="26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June 30, 2025</w:t>
            </w:r>
          </w:p>
        </w:tc>
        <w:tc>
          <w:tcPr>
            <w:tcW w:w="24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June 30, 2024</w:t>
            </w:r>
          </w:p>
        </w:tc>
      </w:tr>
    </w:tbl>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Commercial Lines (1)</w:t>
      </w:r>
    </w:p>
    <w:p>
      <w:pPr>
        <w:spacing w:after="0" w:line="141" w:lineRule="exact"/>
        <w:rPr>
          <w:sz w:val="20"/>
          <w:szCs w:val="20"/>
          <w:color w:val="auto"/>
        </w:rPr>
      </w:pPr>
    </w:p>
    <w:p>
      <w:pPr>
        <w:ind w:left="1348" w:hanging="700"/>
        <w:spacing w:after="0"/>
        <w:tabs>
          <w:tab w:leader="none" w:pos="134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Coverage on all commercial lines policies expired in September 2020; reinsurance coverage is based on treaties in effect on the date of loss.</w:t>
      </w:r>
    </w:p>
    <w:p>
      <w:pPr>
        <w:spacing w:after="0" w:line="141"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Approximate reinsurance recoverables on unpaid and paid losses by reinsurer at December 31, 2025 and 2024 are as follows:</w:t>
      </w:r>
    </w:p>
    <w:p>
      <w:pPr>
        <w:spacing w:after="0" w:line="179"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Unpaid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3"/>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 in thousands)</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Paid Losses</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Security</w:t>
            </w:r>
          </w:p>
        </w:tc>
        <w:tc>
          <w:tcPr>
            <w:tcW w:w="400" w:type="dxa"/>
            <w:vAlign w:val="bottom"/>
          </w:tcPr>
          <w:p>
            <w:pPr>
              <w:spacing w:after="0"/>
              <w:rPr>
                <w:sz w:val="14"/>
                <w:szCs w:val="14"/>
                <w:color w:val="auto"/>
              </w:rPr>
            </w:pPr>
          </w:p>
        </w:tc>
      </w:tr>
      <w:tr>
        <w:trPr>
          <w:trHeight w:val="160"/>
        </w:trPr>
        <w:tc>
          <w:tcPr>
            <w:tcW w:w="4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Swiss Reinsurance America Corporation</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8,965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9,658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r>
      <w:tr>
        <w:trPr>
          <w:trHeight w:val="166"/>
        </w:trPr>
        <w:tc>
          <w:tcPr>
            <w:tcW w:w="4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Hannover Rueck SE</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12,373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r>
      <w:tr>
        <w:trPr>
          <w:trHeight w:val="17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Lancashire Insurance Company Limited</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r>
      <w:tr>
        <w:trPr>
          <w:trHeight w:val="166"/>
        </w:trPr>
        <w:tc>
          <w:tcPr>
            <w:tcW w:w="4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Others</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5,972</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6,989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400" w:type="dxa"/>
            <w:vAlign w:val="bottom"/>
            <w:tcBorders>
              <w:bottom w:val="single" w:sz="8" w:color="CCEEFF"/>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(1)</w:t>
            </w:r>
          </w:p>
        </w:tc>
      </w:tr>
      <w:tr>
        <w:trPr>
          <w:trHeight w:val="181"/>
        </w:trPr>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33,232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36,060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384</w:t>
            </w:r>
          </w:p>
        </w:tc>
        <w:tc>
          <w:tcPr>
            <w:tcW w:w="400" w:type="dxa"/>
            <w:vAlign w:val="bottom"/>
            <w:tcBorders>
              <w:bottom w:val="single" w:sz="8" w:color="CCEEFF"/>
            </w:tcBorders>
            <w:shd w:val="clear" w:color="auto" w:fill="CCEEFF"/>
          </w:tcPr>
          <w:p>
            <w:pPr>
              <w:spacing w:after="0"/>
              <w:rPr>
                <w:sz w:val="15"/>
                <w:szCs w:val="15"/>
                <w:color w:val="auto"/>
              </w:rPr>
            </w:pPr>
          </w:p>
        </w:tc>
      </w:tr>
      <w:tr>
        <w:trPr>
          <w:trHeight w:val="171"/>
        </w:trPr>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1"/>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7"/>
        </w:trPr>
        <w:tc>
          <w:tcPr>
            <w:tcW w:w="4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Swiss Reinsurance America Corporation</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13,565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r>
      <w:tr>
        <w:trPr>
          <w:trHeight w:val="175"/>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Hannover Rueck SE</w:t>
            </w: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r>
      <w:tr>
        <w:trPr>
          <w:trHeight w:val="166"/>
        </w:trPr>
        <w:tc>
          <w:tcPr>
            <w:tcW w:w="4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Lancashire Insurance Company Limited</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r>
      <w:tr>
        <w:trPr>
          <w:trHeight w:val="17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6,670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8,731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(1)</w:t>
            </w:r>
          </w:p>
        </w:tc>
      </w:tr>
      <w:tr>
        <w:trPr>
          <w:trHeight w:val="155"/>
        </w:trPr>
        <w:tc>
          <w:tcPr>
            <w:tcW w:w="4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32,323</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5,254</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37,577</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400" w:type="dxa"/>
            <w:vAlign w:val="bottom"/>
          </w:tcPr>
          <w:p>
            <w:pPr>
              <w:spacing w:after="0"/>
              <w:rPr>
                <w:sz w:val="13"/>
                <w:szCs w:val="13"/>
                <w:color w:val="auto"/>
              </w:rPr>
            </w:pPr>
          </w:p>
        </w:tc>
      </w:tr>
      <w:tr>
        <w:trPr>
          <w:trHeight w:val="20"/>
        </w:trPr>
        <w:tc>
          <w:tcPr>
            <w:tcW w:w="4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87" w:lineRule="exact"/>
        <w:rPr>
          <w:sz w:val="20"/>
          <w:szCs w:val="20"/>
          <w:color w:val="auto"/>
        </w:rPr>
      </w:pPr>
    </w:p>
    <w:p>
      <w:pPr>
        <w:ind w:left="5548" w:right="4320" w:hanging="5548"/>
        <w:spacing w:after="0" w:line="968" w:lineRule="auto"/>
        <w:tabs>
          <w:tab w:leader="none" w:pos="17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2025 and December 31, 2024, represents$384,000 and $393,000, respectively, guaranteed by irrevocable letters of credit.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720344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In addition to reinsurance recoverables on unpaid and paid losses, reinsurance receivables in the accompanying consolidated balance sheets as of December 31, 2025 and 2024 include unearned ceded premiums of approximately $22,937,000 and $31,745,000,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Ceding Commission Revenue</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earned ceding commission revenue under the 2025/2026 Treaty for the year ended December 31, 2025 based on: (i) a fixed provisional commission rate at which provisional ceding commissions were earned, and (ii) a sliding scale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earned ceding commission revenue under the 2024/2025 Treaty for the year ended December 31, 2024, based on a fixed provisional commission rate at which provisional ceding commissions were earned.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Ceding commission revenue consists of the following:</w:t>
      </w:r>
    </w:p>
    <w:p>
      <w:pPr>
        <w:spacing w:after="0" w:line="182"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2"/>
          <w:szCs w:val="12"/>
          <w:b w:val="1"/>
          <w:bCs w:val="1"/>
          <w:color w:val="auto"/>
        </w:rPr>
        <w:t>Year ended</w:t>
      </w:r>
    </w:p>
    <w:p>
      <w:pPr>
        <w:spacing w:after="0" w:line="1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r>
      <w:tr>
        <w:trPr>
          <w:trHeight w:val="164"/>
        </w:trPr>
        <w:tc>
          <w:tcPr>
            <w:tcW w:w="8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Provisional ceding commissions earned</w:t>
            </w: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13,926,916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18,829,278</w:t>
            </w:r>
          </w:p>
        </w:tc>
        <w:tc>
          <w:tcPr>
            <w:tcW w:w="80" w:type="dxa"/>
            <w:vAlign w:val="bottom"/>
            <w:shd w:val="clear" w:color="auto" w:fill="CCEEFF"/>
          </w:tcPr>
          <w:p>
            <w:pPr>
              <w:spacing w:after="0"/>
              <w:rPr>
                <w:sz w:val="14"/>
                <w:szCs w:val="14"/>
                <w:color w:val="auto"/>
              </w:rPr>
            </w:pPr>
          </w:p>
        </w:tc>
      </w:tr>
      <w:tr>
        <w:trPr>
          <w:trHeight w:val="167"/>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Contingent ceding commissions earned</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1,748,055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8,668</w:t>
            </w:r>
          </w:p>
        </w:tc>
        <w:tc>
          <w:tcPr>
            <w:tcW w:w="80" w:type="dxa"/>
            <w:vAlign w:val="bottom"/>
            <w:tcBorders>
              <w:bottom w:val="single" w:sz="8" w:color="CCEEFF"/>
            </w:tcBorders>
          </w:tcPr>
          <w:p>
            <w:pPr>
              <w:spacing w:after="0"/>
              <w:rPr>
                <w:sz w:val="14"/>
                <w:szCs w:val="14"/>
                <w:color w:val="auto"/>
              </w:rPr>
            </w:pPr>
          </w:p>
        </w:tc>
      </w:tr>
      <w:tr>
        <w:trPr>
          <w:trHeight w:val="180"/>
        </w:trPr>
        <w:tc>
          <w:tcPr>
            <w:tcW w:w="8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15,674,971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18,837,946</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Provisional ceding commissions are settled monthly. Balances due to or from reinsurers for contingent ceding commissions on the 2025/2026 Treaty will be settled annually based on the Loss Ratio of the treaty year that ends on January 1. Balances due to or from reinsurers for contingent ceding commissions on quota share treaties are settled periodically based on the Loss Ratio of each treaty year that ends on June 30 for the expired treaties (which had June 30 expiration dates)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December 31, 2025, contingent ceding commissions receivable from reinsurers under the 2025/2026 Treaty was approximately $1,754,000, which is recorded in other assets on the accompanying consolidated balance sheets. As of December 31, 2025 and December 31, 2024, net contingent ceding commissions payable to reinsurers under all other treaties was approximately $732,000 and $727,000, respectively, which is recorded in reinsurance balances payable on the accompanying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Expected Credit Losses – Uncollectible Reinsurance</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on reinsurance receivables is the financial strength rating of the reinsurer sourced from major rating agencies. Changes in the allowance are presented as a component of other underwriting expenses on the consolidated statements of income and comprehensive income.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 Deferred Policy Acquisition Costs and Deferred Ceding Commission Revenue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policy acquisition costs incurred and policy-related ceding commission revenue are deferred and amortized to income on property and casualty insurance business as follows:</w:t>
      </w:r>
    </w:p>
    <w:p>
      <w:pPr>
        <w:spacing w:after="0" w:line="18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13"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5"/>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deferred policy acquisition costs, net of deferred ceding commission revenue, beginning of year</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13,191,132</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10,341,699</w:t>
            </w:r>
          </w:p>
        </w:tc>
      </w:tr>
      <w:tr>
        <w:trPr>
          <w:trHeight w:val="151"/>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Cost incurred and deferred:</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Commissions and brokerage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43,554,960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37,956,108</w:t>
            </w:r>
          </w:p>
        </w:tc>
      </w:tr>
      <w:tr>
        <w:trPr>
          <w:trHeight w:val="167"/>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Other underwriting and policy acquisition costs</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11,580,881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10,118,578</w:t>
            </w:r>
          </w:p>
        </w:tc>
      </w:tr>
      <w:tr>
        <w:trPr>
          <w:trHeight w:val="175"/>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Ceding commission revenue</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(10,748,206)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(20,909,652)</w:t>
            </w:r>
          </w:p>
        </w:tc>
      </w:tr>
      <w:tr>
        <w:trPr>
          <w:trHeight w:val="155"/>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Net deferred policy acquisition costs</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44,387,635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27,165,034</w:t>
            </w: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w:t>
            </w: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(38,074,089)</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(24,315,601)</w:t>
            </w:r>
          </w:p>
        </w:tc>
      </w:tr>
      <w:tr>
        <w:trPr>
          <w:trHeight w:val="160"/>
        </w:trPr>
        <w:tc>
          <w:tcPr>
            <w:tcW w:w="82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6,313,546</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2,849,433</w:t>
            </w:r>
          </w:p>
        </w:tc>
      </w:tr>
      <w:tr>
        <w:trPr>
          <w:trHeight w:val="183"/>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deferred policy acquisition costs, net of deferred ceding commission revenue, end of year</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19,504,678</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13,191,132</w:t>
            </w:r>
          </w:p>
        </w:tc>
      </w:tr>
      <w:tr>
        <w:trPr>
          <w:trHeight w:val="340"/>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Deferred policy acquisition costs and deferred ceding commission revenue as of December 31, 2025 and 2024 are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3"/>
        </w:trPr>
        <w:tc>
          <w:tcPr>
            <w:tcW w:w="8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156"/>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4"/>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policy acquisition costs</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27,867,207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24,732,371</w:t>
            </w:r>
          </w:p>
        </w:tc>
      </w:tr>
      <w:tr>
        <w:trPr>
          <w:trHeight w:val="167"/>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ceding commission revenue</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(8,362,529)</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(11,541,239)</w:t>
            </w:r>
          </w:p>
        </w:tc>
      </w:tr>
      <w:tr>
        <w:trPr>
          <w:trHeight w:val="180"/>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19,504,678</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13,191,132</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 Debt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Federal Home Loan Bank</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In July 2017, KICO became a member of, and invested in, the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December 31, 2025 and 2024,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under statutory insurance principles as of the previous quarter.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If KICO has sufficient available collateral (as discussed below), based on KICO’s net admitted assets, the maximum allowable advance as of December 31, 2025 and 2024 was approximately $16,873,000 and $13,637,000, respectively. The estimated fair value of available collateral as of December 31, 2025 and 2024 was approximately $9,598,000 and $10,130,000, respectively. Effective April 15, 2025, advances are limited to 91% of the amount of</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available collateral. Prior to April 15, 2025, advances were limited to 85% of the amount of available collateral. There were no borrowings under this facility during the years ended December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5"/>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as of December 31, 2025 and 2024 consists of the following:</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0"/>
        </w:trPr>
        <w:tc>
          <w:tcPr>
            <w:tcW w:w="2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22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r>
      <w:tr>
        <w:trPr>
          <w:trHeight w:val="164"/>
        </w:trPr>
        <w:tc>
          <w:tcPr>
            <w:tcW w:w="2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13.75% Senior Notes due 2026, net</w:t>
            </w:r>
          </w:p>
        </w:tc>
        <w:tc>
          <w:tcPr>
            <w:tcW w:w="92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5,508,000</w:t>
            </w:r>
          </w:p>
        </w:tc>
        <w:tc>
          <w:tcPr>
            <w:tcW w:w="80" w:type="dxa"/>
            <w:vAlign w:val="bottom"/>
            <w:shd w:val="clear" w:color="auto" w:fill="CCEEFF"/>
          </w:tcPr>
          <w:p>
            <w:pPr>
              <w:spacing w:after="0"/>
              <w:rPr>
                <w:sz w:val="14"/>
                <w:szCs w:val="14"/>
                <w:color w:val="auto"/>
              </w:rPr>
            </w:pPr>
          </w:p>
        </w:tc>
      </w:tr>
      <w:tr>
        <w:trPr>
          <w:trHeight w:val="167"/>
        </w:trPr>
        <w:tc>
          <w:tcPr>
            <w:tcW w:w="8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Equipment financing</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4,440,127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5,663,420</w:t>
            </w:r>
          </w:p>
        </w:tc>
        <w:tc>
          <w:tcPr>
            <w:tcW w:w="80" w:type="dxa"/>
            <w:vAlign w:val="bottom"/>
            <w:tcBorders>
              <w:bottom w:val="single" w:sz="8" w:color="CCEEFF"/>
            </w:tcBorders>
          </w:tcPr>
          <w:p>
            <w:pPr>
              <w:spacing w:after="0"/>
              <w:rPr>
                <w:sz w:val="14"/>
                <w:szCs w:val="14"/>
                <w:color w:val="auto"/>
              </w:rPr>
            </w:pPr>
          </w:p>
        </w:tc>
      </w:tr>
      <w:tr>
        <w:trPr>
          <w:trHeight w:val="181"/>
        </w:trPr>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4,440,127</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11,171,420</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Exchange Agreements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2"/>
          <w:szCs w:val="12"/>
          <w:color w:val="auto"/>
        </w:rPr>
        <w:t>On December 9, 2022, the Company entered into a Note and Warrant Exchange Agreement (the “2022 Exchange Agreement”) with several holders (the “2022 Exchanging Noteholders”) of the Company’s outstanding 5.50% Senior Notes due 2022 (the “2017 Notes”). On the date of the 2022 Exchange Agreement, the 2022 Exchanging Noteholders held 2017 Notes in the aggregate principal amount of $21,545,000 of the $30,000,000 aggregate principal amount of the 2017 Notes then outstanding. Pursuant to the 2022 Exchange Agreement, on December 15, 2022, the 2022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until December 30, 2025 at an exercise price of $1.00 per share (the “Warrants”). The remaining $8,455,000 principal amount of the 2017 Notes, together with accrued interest thereon, was paid on the maturity date of the 2017 Notes of December 30, 2022.</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On August 30, 2024, the Company entered into a Note Exchange Agreement (the “2024 Exchange Agreement”) with the holders (the “2024 Exchanging Noteholders”) of the Company’s outstanding 2022 Notes in the aggregate principal amount of $19,950,000. Pursuant to the 2024 Exchange Agreement, on September 12, 2024, the 2024 Exchanging Noteholders exchanged their respective 2022 Notes for the following: (i) new 13.75% Senior Notes due June 30, 2026 of the Company in the aggregate principal amount of $14,950,000 (the “2024 Notes”); and (ii) cash in the aggregate amount of $5,000,000, together with accrued interest on the 2022 Notes (the "2024 Exchange"). See “2024 Notes” below for a discussion of a change in the expiration date of the Warrants.</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analyzed the 2024 Exchange Agreement under ASC 470–50, Debt—Modifications and Extinguishments. The Company determined that extinguishment accounting was applicable, as the present value of the cash flows of the 2024 Notes differed by more than 10% from the 2022 Notes, making it a substantial change in terms. As a result, the 2022 Notes have been derecognized and the 2024 Notes recorded at fair value. No gain or loss was recognized on the 2024 Exchange. Unamortized debt issue costs of $296,533 related to extinguished debt were expensed at the time the 2022 Notes were extinguished and recorded as loss on extinguishment of debt in the consolidated statements of income and comprehensive income within other operating expenses. Fees paid to third parties of $203,381 have been capitalized and were being amortized as debt issuance costs associated with the 2024 Notes.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2024 Notes</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discussed above, on September 12, 2024, the Company issued the 2024 Notes in the aggregate principal amount of $14,950,000 pursuant to the 2024 Exchange Agreement. Interest was payable semi-annually in arrears on June 30 and December 30 of each year at the rate of 13.75% per annum. Pursuant to the 2024 Exchange Agreement, the expiration date of the Warrants to purchase 969,225 shares of Common Stock of the Company was extended to June 30, 2026 from</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December 30, 2025 (see Note 12 – Stockholders’ Equity) and transaction costs were $203,381, for an effective yield of 14.35% per annum. The balance of the 2024 Notes as of December 31, 2025 and December 31, 2024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63"/>
        </w:trPr>
        <w:tc>
          <w:tcPr>
            <w:tcW w:w="818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2"/>
                <w:szCs w:val="12"/>
                <w:b w:val="1"/>
                <w:bCs w:val="1"/>
                <w:color w:val="auto"/>
              </w:rPr>
              <w:t>2025</w:t>
            </w:r>
          </w:p>
        </w:tc>
        <w:tc>
          <w:tcPr>
            <w:tcW w:w="2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65"/>
        </w:trPr>
        <w:tc>
          <w:tcPr>
            <w:tcW w:w="8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13.75% Senior Notes due 2026</w:t>
            </w:r>
          </w:p>
        </w:tc>
        <w:tc>
          <w:tcPr>
            <w:tcW w:w="120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5,950,000</w:t>
            </w:r>
          </w:p>
        </w:tc>
      </w:tr>
      <w:tr>
        <w:trPr>
          <w:trHeight w:val="166"/>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Warrants</w:t>
            </w:r>
          </w:p>
        </w:tc>
        <w:tc>
          <w:tcPr>
            <w:tcW w:w="1200" w:type="dxa"/>
            <w:vAlign w:val="bottom"/>
          </w:tcPr>
          <w:p>
            <w:pPr>
              <w:spacing w:after="0"/>
              <w:rPr>
                <w:sz w:val="14"/>
                <w:szCs w:val="14"/>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(256,909)</w:t>
            </w:r>
          </w:p>
        </w:tc>
      </w:tr>
      <w:tr>
        <w:trPr>
          <w:trHeight w:val="17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costs</w:t>
            </w:r>
          </w:p>
        </w:tc>
        <w:tc>
          <w:tcPr>
            <w:tcW w:w="12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(185,091)</w:t>
            </w:r>
          </w:p>
        </w:tc>
      </w:tr>
      <w:tr>
        <w:trPr>
          <w:trHeight w:val="156"/>
        </w:trPr>
        <w:tc>
          <w:tcPr>
            <w:tcW w:w="8180" w:type="dxa"/>
            <w:vAlign w:val="bottom"/>
          </w:tcPr>
          <w:p>
            <w:pPr>
              <w:spacing w:after="0"/>
              <w:rPr>
                <w:sz w:val="20"/>
                <w:szCs w:val="20"/>
                <w:color w:val="auto"/>
              </w:rPr>
            </w:pPr>
            <w:r>
              <w:rPr>
                <w:rFonts w:ascii="Times New Roman" w:cs="Times New Roman" w:eastAsia="Times New Roman" w:hAnsi="Times New Roman"/>
                <w:sz w:val="12"/>
                <w:szCs w:val="12"/>
                <w:color w:val="auto"/>
              </w:rPr>
              <w:t>2024 Notes, net</w:t>
            </w:r>
          </w:p>
        </w:tc>
        <w:tc>
          <w:tcPr>
            <w:tcW w:w="1200" w:type="dxa"/>
            <w:vAlign w:val="bottom"/>
          </w:tcPr>
          <w:p>
            <w:pPr>
              <w:jc w:val="right"/>
              <w:ind w:right="108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5,508,000</w:t>
            </w:r>
          </w:p>
        </w:tc>
      </w:tr>
      <w:tr>
        <w:trPr>
          <w:trHeight w:val="20"/>
        </w:trPr>
        <w:tc>
          <w:tcPr>
            <w:tcW w:w="8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2024 Notes were redeemable, at the Company’s option, in whole or in part, at any time or in part from time to time, on and after September 12, 2024, upon not less than fifteen (15) and not more than sixty (60) days’ notice, equal to 100% of the principal amount of the 2024 Notes, plus, in each case, accrued and unpaid interest, if any, to the date of redemption (subject to the right of holders of record on the relevant record date to receive interest due on the relevant interest payment date).</w:t>
      </w:r>
    </w:p>
    <w:p>
      <w:pPr>
        <w:spacing w:after="0" w:line="1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The 2024 Exchange Agreement provided for mandatory prepayments of principal. The 2024 Exchange Agreement provided for a first mandatory pro rata partial prepayment of principal on the 2024 Notes in the aggregate amount of $3,000,000 on June 30, 2025, less the principal amount of any optional prepayments of the 2024 Note made prior to June 30, 2025, pursuant to the 2024 Exchange Agreement. The 2024 Exchange Agreement provided for a second mandatory pro rata partial prepayment of principal on the 2024 Notes in the aggregate amount of $3,000,000 on December 30, 2025, less the principal amount of any optional prepayments of the 2024 Notes made from June 30, 2025 to December 29, 2025 pursuant to the 2024 Note Exchange Agreement The Company made optional prepayments of $3,000,000 on September 30, 2024, $2,000,000 on November 13, 2024, $4,000,000 on December 30, 2024, $3,500,000 on January 28, 2025, and $2,450,000 on February 24, 2025, and accordingly, has fully satisfied the entire principal balance of the 2024 Notes. Each prepayment of principal also included accrued and unpaid interest thereon. Unamortized debt issue costs of $174,962 related to extinguished debt were expensed at the time the 2024 Notes were extinguished and recorded as loss on extinguishment of debt in the condensed consolidated statements of income and comprehensive income within other operating expenses.</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The 2024 Notes were unsecured obligations of the Company and were not the obligations of or guaranteed by any of the Company’s subsidiaries. The 2024 Notes ranked senior in right of payment to any of the Company’s existing and future indebtedness that is by its terms expressly subordinated or junior in right of payment to the 2024 Notes. The Notes ranked equally in right of payment to all of the Company’s existing and future senior indebtedness, but were effectively subordinated to any secured indebtedness to the extent of the value of the collateral securing such secured indebtedness. In addition, the 2024 Notes were structurally subordinated to the indebtedness and other obligations of the Company’s subsidiaries.</w:t>
      </w:r>
    </w:p>
    <w:p>
      <w:pPr>
        <w:spacing w:after="0" w:line="14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2"/>
          <w:szCs w:val="12"/>
          <w:color w:val="auto"/>
        </w:rPr>
        <w:t>As of the end of each calendar quarter, commencing with the calendar quarter ending September 30, 2024, the Company was subject to a leverage maintenance test (“Leverage Maintenance Test”), which required that the Total Consolidated Indebtedness (as defined below) of the Company not be greater than 30% of Total Consolidated Capitalization (as defined below). As of December 31, 2024, the ratio as defined under the Leverage Maintenance Test was 7.0%. “Total Consolidated Indebtedness” was the aggregate principal amount (or accreted value in the case of any Indebtedness issued with more than de minimis original issue discount) of all outstanding long-term debt of the Company except for the sale-leaseback transaction described below under “Equipment Financing”, any refinancing or any future sale-leaseback transaction. “Total Consolidated Capitalization” was the amount equal to the sum of (x) Total Consolidated Indebtedness outstanding as of such date and (y) the total consolidated shareholders’ equity of the Company, excluding accumulated other comprehensive income, as recorded on the Company’s consolidated balance sheet.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Equipment Financing</w:t>
      </w:r>
    </w:p>
    <w:p>
      <w:pPr>
        <w:spacing w:after="0" w:line="14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October 27, 2022, KICO entered into a sale leaseback transaction, whereby KICO sold $8,096,824 of fixed assets to a bank. Under GAAP, the sale leaseback transaction is recorded as equipment financing (“Financing”). The provisions of the Financing require KICO to pay a monthly payment of principal and interest at the rate of 5.86% per annum totaling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$126,877 for a term of 60 months, which commenced on October 27, 2022. The terms of the Financing provide buyout options to KICO at the end of the 60 month term, which are as follows:</w:t>
      </w:r>
    </w:p>
    <w:p>
      <w:pPr>
        <w:spacing w:after="0" w:line="141" w:lineRule="exact"/>
        <w:rPr>
          <w:sz w:val="20"/>
          <w:szCs w:val="20"/>
          <w:color w:val="auto"/>
        </w:rPr>
      </w:pPr>
    </w:p>
    <w:p>
      <w:pPr>
        <w:ind w:left="1340" w:hanging="700"/>
        <w:spacing w:after="0"/>
        <w:tabs>
          <w:tab w:leader="none" w:pos="13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end of the lease, KICO may purchase the fixed assets for a purchase price of $2,024,206, which is 25% of the original fixed asset cost of $8,096,824; or</w:t>
      </w:r>
    </w:p>
    <w:p>
      <w:pPr>
        <w:spacing w:after="0" w:line="150" w:lineRule="exact"/>
        <w:rPr>
          <w:rFonts w:ascii="Times New Roman" w:cs="Times New Roman" w:eastAsia="Times New Roman" w:hAnsi="Times New Roman"/>
          <w:sz w:val="12"/>
          <w:szCs w:val="12"/>
          <w:color w:val="auto"/>
        </w:rPr>
      </w:pPr>
    </w:p>
    <w:p>
      <w:pPr>
        <w:ind w:left="1340" w:hanging="700"/>
        <w:spacing w:after="0"/>
        <w:tabs>
          <w:tab w:leader="none" w:pos="13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KICO may renew the lease for 16 months at the same rental rate, which totals $2,024,206.</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 provision of the Financing requires KICO to pledge collateral for the lease obligation. As of December 31, 2025 and 2024, the amount of required collateral was approximately $3,616,000 and $5,308,000, respectively. As of December 31, 2025, the fair value of KICO’s pledged collateral was approximately $3,616,000 in various fixed-maturity securities. As of December 31, 2024, the fair value of KICO’s pledged collateral was approximately $5,308,000 in United States Treasury securities.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Future contractual payment obligations under the Financing as of December 31, 2025 are as follows:</w:t>
            </w: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1"/>
        </w:trPr>
        <w:tc>
          <w:tcPr>
            <w:tcW w:w="6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For the Year</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6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Ending</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3"/>
        </w:trPr>
        <w:tc>
          <w:tcPr>
            <w:tcW w:w="6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64"/>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8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1,296,900</w:t>
            </w:r>
          </w:p>
        </w:tc>
        <w:tc>
          <w:tcPr>
            <w:tcW w:w="80" w:type="dxa"/>
            <w:vAlign w:val="bottom"/>
            <w:tcBorders>
              <w:top w:val="single" w:sz="8" w:color="CCEEFF"/>
            </w:tcBorders>
            <w:shd w:val="clear" w:color="auto" w:fill="CCEEFF"/>
          </w:tcPr>
          <w:p>
            <w:pPr>
              <w:spacing w:after="0"/>
              <w:rPr>
                <w:sz w:val="14"/>
                <w:szCs w:val="14"/>
                <w:color w:val="auto"/>
              </w:rPr>
            </w:pPr>
          </w:p>
        </w:tc>
      </w:tr>
      <w:tr>
        <w:trPr>
          <w:trHeight w:val="16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2027</w:t>
            </w:r>
          </w:p>
        </w:tc>
        <w:tc>
          <w:tcPr>
            <w:tcW w:w="8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1,119,021</w:t>
            </w:r>
          </w:p>
        </w:tc>
        <w:tc>
          <w:tcPr>
            <w:tcW w:w="80" w:type="dxa"/>
            <w:vAlign w:val="bottom"/>
            <w:tcBorders>
              <w:bottom w:val="single" w:sz="8" w:color="CCEEFF"/>
            </w:tcBorders>
          </w:tcPr>
          <w:p>
            <w:pPr>
              <w:spacing w:after="0"/>
              <w:rPr>
                <w:sz w:val="14"/>
                <w:szCs w:val="14"/>
                <w:color w:val="auto"/>
              </w:rPr>
            </w:pPr>
          </w:p>
        </w:tc>
      </w:tr>
      <w:tr>
        <w:trPr>
          <w:trHeight w:val="165"/>
        </w:trPr>
        <w:tc>
          <w:tcPr>
            <w:tcW w:w="6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2,415,921</w:t>
            </w:r>
          </w:p>
        </w:tc>
        <w:tc>
          <w:tcPr>
            <w:tcW w:w="80" w:type="dxa"/>
            <w:vAlign w:val="bottom"/>
            <w:shd w:val="clear" w:color="auto" w:fill="CCEEFF"/>
          </w:tcPr>
          <w:p>
            <w:pPr>
              <w:spacing w:after="0"/>
              <w:rPr>
                <w:sz w:val="14"/>
                <w:szCs w:val="14"/>
                <w:color w:val="auto"/>
              </w:rPr>
            </w:pPr>
          </w:p>
        </w:tc>
      </w:tr>
      <w:tr>
        <w:trPr>
          <w:trHeight w:val="167"/>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2027 purchase price</w:t>
            </w:r>
          </w:p>
        </w:tc>
        <w:tc>
          <w:tcPr>
            <w:tcW w:w="8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2,024,206</w:t>
            </w:r>
          </w:p>
        </w:tc>
        <w:tc>
          <w:tcPr>
            <w:tcW w:w="80" w:type="dxa"/>
            <w:vAlign w:val="bottom"/>
            <w:tcBorders>
              <w:bottom w:val="single" w:sz="8" w:color="CCEEFF"/>
            </w:tcBorders>
          </w:tcPr>
          <w:p>
            <w:pPr>
              <w:spacing w:after="0"/>
              <w:rPr>
                <w:sz w:val="14"/>
                <w:szCs w:val="14"/>
                <w:color w:val="auto"/>
              </w:rPr>
            </w:pPr>
          </w:p>
        </w:tc>
      </w:tr>
      <w:tr>
        <w:trPr>
          <w:trHeight w:val="183"/>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Total</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4,440,127</w:t>
            </w:r>
          </w:p>
        </w:tc>
        <w:tc>
          <w:tcPr>
            <w:tcW w:w="80" w:type="dxa"/>
            <w:vAlign w:val="bottom"/>
            <w:tcBorders>
              <w:bottom w:val="single" w:sz="8" w:color="CCEEFF"/>
            </w:tcBorders>
            <w:shd w:val="clear" w:color="auto" w:fill="CCEEFF"/>
          </w:tcPr>
          <w:p>
            <w:pPr>
              <w:spacing w:after="0"/>
              <w:rPr>
                <w:sz w:val="15"/>
                <w:szCs w:val="15"/>
                <w:color w:val="auto"/>
              </w:rPr>
            </w:pPr>
          </w:p>
        </w:tc>
      </w:tr>
      <w:tr>
        <w:trPr>
          <w:trHeight w:val="349"/>
        </w:trPr>
        <w:tc>
          <w:tcPr>
            <w:tcW w:w="6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Note 10 - Property and Equipment</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9"/>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The components of property and equipment are summarized as follows:</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0"/>
        </w:trPr>
        <w:tc>
          <w:tcPr>
            <w:tcW w:w="6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8"/>
        </w:trPr>
        <w:tc>
          <w:tcPr>
            <w:tcW w:w="6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3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Net</w:t>
            </w:r>
          </w:p>
        </w:tc>
      </w:tr>
      <w:tr>
        <w:trPr>
          <w:trHeight w:val="335"/>
        </w:trPr>
        <w:tc>
          <w:tcPr>
            <w:tcW w:w="6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8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Building (1)</w:t>
            </w: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r>
      <w:tr>
        <w:trPr>
          <w:trHeight w:val="166"/>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Land (1)</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460,031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460,031</w:t>
            </w:r>
          </w:p>
        </w:tc>
        <w:tc>
          <w:tcPr>
            <w:tcW w:w="80" w:type="dxa"/>
            <w:vAlign w:val="bottom"/>
          </w:tcPr>
          <w:p>
            <w:pPr>
              <w:spacing w:after="0"/>
              <w:rPr>
                <w:sz w:val="14"/>
                <w:szCs w:val="14"/>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475,949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(475,949)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r>
      <w:tr>
        <w:trPr>
          <w:trHeight w:val="166"/>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Computer equipment and software</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29,519,178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(22,104,284)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7,414,894</w:t>
            </w:r>
          </w:p>
        </w:tc>
        <w:tc>
          <w:tcPr>
            <w:tcW w:w="80" w:type="dxa"/>
            <w:vAlign w:val="bottom"/>
          </w:tcPr>
          <w:p>
            <w:pPr>
              <w:spacing w:after="0"/>
              <w:rPr>
                <w:sz w:val="14"/>
                <w:szCs w:val="14"/>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Automobile</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163,070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(140,320)</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22,750</w:t>
            </w:r>
          </w:p>
        </w:tc>
        <w:tc>
          <w:tcPr>
            <w:tcW w:w="80" w:type="dxa"/>
            <w:vAlign w:val="bottom"/>
            <w:shd w:val="clear" w:color="auto" w:fill="CCEEFF"/>
          </w:tcPr>
          <w:p>
            <w:pPr>
              <w:spacing w:after="0"/>
              <w:rPr>
                <w:sz w:val="15"/>
                <w:szCs w:val="15"/>
                <w:color w:val="auto"/>
              </w:rPr>
            </w:pPr>
          </w:p>
        </w:tc>
      </w:tr>
      <w:tr>
        <w:trPr>
          <w:trHeight w:val="178"/>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w:t>
            </w:r>
          </w:p>
        </w:tc>
        <w:tc>
          <w:tcPr>
            <w:tcW w:w="8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30,618,228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(22,720,553)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7,897,675</w:t>
            </w:r>
          </w:p>
        </w:tc>
        <w:tc>
          <w:tcPr>
            <w:tcW w:w="80" w:type="dxa"/>
            <w:vAlign w:val="bottom"/>
            <w:tcBorders>
              <w:bottom w:val="single" w:sz="8" w:color="CCEEFF"/>
            </w:tcBorders>
          </w:tcPr>
          <w:p>
            <w:pPr>
              <w:spacing w:after="0"/>
              <w:rPr>
                <w:sz w:val="15"/>
                <w:szCs w:val="15"/>
                <w:color w:val="auto"/>
              </w:rPr>
            </w:pPr>
          </w:p>
        </w:tc>
      </w:tr>
      <w:tr>
        <w:trPr>
          <w:trHeight w:val="169"/>
        </w:trPr>
        <w:tc>
          <w:tcPr>
            <w:tcW w:w="6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6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Building</w:t>
            </w: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2,344,188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(1,083,235)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1,260,953</w:t>
            </w:r>
          </w:p>
        </w:tc>
        <w:tc>
          <w:tcPr>
            <w:tcW w:w="80" w:type="dxa"/>
            <w:vAlign w:val="bottom"/>
            <w:shd w:val="clear" w:color="auto" w:fill="CCEEFF"/>
          </w:tcPr>
          <w:p>
            <w:pPr>
              <w:spacing w:after="0"/>
              <w:rPr>
                <w:sz w:val="15"/>
                <w:szCs w:val="15"/>
                <w:color w:val="auto"/>
              </w:rPr>
            </w:pPr>
          </w:p>
        </w:tc>
      </w:tr>
      <w:tr>
        <w:trPr>
          <w:trHeight w:val="166"/>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Land</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652,437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652,437</w:t>
            </w:r>
          </w:p>
        </w:tc>
        <w:tc>
          <w:tcPr>
            <w:tcW w:w="80" w:type="dxa"/>
            <w:vAlign w:val="bottom"/>
          </w:tcPr>
          <w:p>
            <w:pPr>
              <w:spacing w:after="0"/>
              <w:rPr>
                <w:sz w:val="14"/>
                <w:szCs w:val="14"/>
                <w:color w:val="auto"/>
              </w:rPr>
            </w:pPr>
          </w:p>
        </w:tc>
      </w:tr>
      <w:tr>
        <w:trPr>
          <w:trHeight w:val="17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and office equipment</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828,011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(828,011)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r>
      <w:tr>
        <w:trPr>
          <w:trHeight w:val="166"/>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Computer equipment and software</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27,360,191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(20,000,218)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7,359,973</w:t>
            </w:r>
          </w:p>
        </w:tc>
        <w:tc>
          <w:tcPr>
            <w:tcW w:w="80" w:type="dxa"/>
            <w:vAlign w:val="bottom"/>
          </w:tcPr>
          <w:p>
            <w:pPr>
              <w:spacing w:after="0"/>
              <w:rPr>
                <w:sz w:val="14"/>
                <w:szCs w:val="14"/>
                <w:color w:val="auto"/>
              </w:rPr>
            </w:pPr>
          </w:p>
        </w:tc>
      </w:tr>
      <w:tr>
        <w:trPr>
          <w:trHeight w:val="175"/>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Automobile</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134,034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(123,427)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10,607</w:t>
            </w:r>
          </w:p>
        </w:tc>
        <w:tc>
          <w:tcPr>
            <w:tcW w:w="80" w:type="dxa"/>
            <w:vAlign w:val="bottom"/>
            <w:shd w:val="clear" w:color="auto" w:fill="CCEEFF"/>
          </w:tcPr>
          <w:p>
            <w:pPr>
              <w:spacing w:after="0"/>
              <w:rPr>
                <w:sz w:val="15"/>
                <w:szCs w:val="15"/>
                <w:color w:val="auto"/>
              </w:rPr>
            </w:pPr>
          </w:p>
        </w:tc>
      </w:tr>
      <w:tr>
        <w:trPr>
          <w:trHeight w:val="155"/>
        </w:trPr>
        <w:tc>
          <w:tcPr>
            <w:tcW w:w="660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88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31,318,861</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(22,034,891)</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9,283,970</w:t>
            </w:r>
          </w:p>
        </w:tc>
        <w:tc>
          <w:tcPr>
            <w:tcW w:w="80" w:type="dxa"/>
            <w:vAlign w:val="bottom"/>
          </w:tcPr>
          <w:p>
            <w:pPr>
              <w:spacing w:after="0"/>
              <w:rPr>
                <w:sz w:val="13"/>
                <w:szCs w:val="13"/>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expense for the years ended December 31, 2025 and 2024 was $2,559,835 and $2,448,932, respectively.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(1) See Note 20- Sale of Real Estate.</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79"/>
        </w:trPr>
        <w:tc>
          <w:tcPr>
            <w:tcW w:w="5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Note 11 - Property and Casualty Insurance Activity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8"/>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Premiums written, ceded and earned are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5"/>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Direct</w:t>
            </w:r>
          </w:p>
        </w:tc>
        <w:tc>
          <w:tcPr>
            <w:tcW w:w="28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Assumed</w:t>
            </w:r>
          </w:p>
        </w:tc>
        <w:tc>
          <w:tcPr>
            <w:tcW w:w="320" w:type="dxa"/>
            <w:vAlign w:val="bottom"/>
          </w:tcPr>
          <w:p>
            <w:pPr>
              <w:spacing w:after="0"/>
              <w:rPr>
                <w:sz w:val="24"/>
                <w:szCs w:val="2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Ceded</w:t>
            </w:r>
          </w:p>
        </w:tc>
        <w:tc>
          <w:tcPr>
            <w:tcW w:w="380" w:type="dxa"/>
            <w:vAlign w:val="bottom"/>
          </w:tcPr>
          <w:p>
            <w:pPr>
              <w:spacing w:after="0"/>
              <w:rPr>
                <w:sz w:val="24"/>
                <w:szCs w:val="24"/>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Net</w:t>
            </w:r>
          </w:p>
        </w:tc>
      </w:tr>
      <w:tr>
        <w:trPr>
          <w:trHeight w:val="335"/>
        </w:trPr>
        <w:tc>
          <w:tcPr>
            <w:tcW w:w="50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 2025</w:t>
            </w: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written</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277,800,630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(64,081,564)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213,719,066</w:t>
            </w:r>
          </w:p>
        </w:tc>
        <w:tc>
          <w:tcPr>
            <w:tcW w:w="80" w:type="dxa"/>
            <w:vAlign w:val="bottom"/>
            <w:shd w:val="clear" w:color="auto" w:fill="CCEEFF"/>
          </w:tcPr>
          <w:p>
            <w:pPr>
              <w:spacing w:after="0"/>
              <w:rPr>
                <w:sz w:val="15"/>
                <w:szCs w:val="15"/>
                <w:color w:val="auto"/>
              </w:rPr>
            </w:pPr>
          </w:p>
        </w:tc>
      </w:tr>
      <w:tr>
        <w:trPr>
          <w:trHeight w:val="16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2"/>
                <w:szCs w:val="12"/>
                <w:color w:val="auto"/>
                <w:w w:val="99"/>
              </w:rPr>
              <w:t>(19,326,339)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(7,266,005)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w w:val="99"/>
              </w:rPr>
              <w:t>(26,592,344)</w:t>
            </w:r>
          </w:p>
        </w:tc>
        <w:tc>
          <w:tcPr>
            <w:tcW w:w="80" w:type="dxa"/>
            <w:vAlign w:val="bottom"/>
            <w:tcBorders>
              <w:bottom w:val="single" w:sz="8" w:color="CCEEFF"/>
            </w:tcBorders>
          </w:tcPr>
          <w:p>
            <w:pPr>
              <w:spacing w:after="0"/>
              <w:rPr>
                <w:sz w:val="14"/>
                <w:szCs w:val="14"/>
                <w:color w:val="auto"/>
              </w:rPr>
            </w:pPr>
          </w:p>
        </w:tc>
      </w:tr>
      <w:tr>
        <w:trPr>
          <w:trHeight w:val="181"/>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258,474,291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(71,347,569)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187,126,722</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71"/>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 2024</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Premiums written</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241,979,937</w:t>
            </w:r>
          </w:p>
        </w:tc>
        <w:tc>
          <w:tcPr>
            <w:tcW w:w="8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(87,750,072)</w:t>
            </w:r>
          </w:p>
        </w:tc>
        <w:tc>
          <w:tcPr>
            <w:tcW w:w="8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154,229,865</w:t>
            </w:r>
          </w:p>
        </w:tc>
        <w:tc>
          <w:tcPr>
            <w:tcW w:w="80" w:type="dxa"/>
            <w:vAlign w:val="bottom"/>
          </w:tcPr>
          <w:p>
            <w:pPr>
              <w:spacing w:after="0"/>
              <w:rPr>
                <w:sz w:val="14"/>
                <w:szCs w:val="14"/>
                <w:color w:val="auto"/>
              </w:rPr>
            </w:pPr>
          </w:p>
        </w:tc>
      </w:tr>
      <w:tr>
        <w:trPr>
          <w:trHeight w:val="17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unearned premiums</w:t>
            </w: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w w:val="99"/>
              </w:rPr>
              <w:t>(29,080,195)</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3,348,250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w w:val="99"/>
              </w:rPr>
              <w:t>(25,731,945)</w:t>
            </w:r>
          </w:p>
        </w:tc>
        <w:tc>
          <w:tcPr>
            <w:tcW w:w="80" w:type="dxa"/>
            <w:vAlign w:val="bottom"/>
            <w:shd w:val="clear" w:color="auto" w:fill="CCEEFF"/>
          </w:tcPr>
          <w:p>
            <w:pPr>
              <w:spacing w:after="0"/>
              <w:rPr>
                <w:sz w:val="15"/>
                <w:szCs w:val="15"/>
                <w:color w:val="auto"/>
              </w:rPr>
            </w:pPr>
          </w:p>
        </w:tc>
      </w:tr>
      <w:tr>
        <w:trPr>
          <w:trHeight w:val="155"/>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Premiums earned</w:t>
            </w: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212,899,742</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(84,401,822)</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128,497,920</w:t>
            </w:r>
          </w:p>
        </w:tc>
        <w:tc>
          <w:tcPr>
            <w:tcW w:w="80" w:type="dxa"/>
            <w:vAlign w:val="bottom"/>
          </w:tcPr>
          <w:p>
            <w:pPr>
              <w:spacing w:after="0"/>
              <w:rPr>
                <w:sz w:val="13"/>
                <w:szCs w:val="13"/>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Premium receipts in advance of the policy effective date are recorded as advance premiums. The balance of advance premiums as of December 31, 2025 and 2024 was $4,003,453 and $3,503,063,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components of the liability for loss and LAE expenses and related reinsurance receivables as of December 31, 2025 and 2024 are as follows: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Gross</w:t>
            </w:r>
          </w:p>
        </w:tc>
        <w:tc>
          <w:tcPr>
            <w:tcW w:w="240" w:type="dxa"/>
            <w:vAlign w:val="bottom"/>
          </w:tcPr>
          <w:p>
            <w:pPr>
              <w:spacing w:after="0"/>
              <w:rPr>
                <w:sz w:val="12"/>
                <w:szCs w:val="12"/>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Reinsurance</w:t>
            </w:r>
          </w:p>
        </w:tc>
        <w:tc>
          <w:tcPr>
            <w:tcW w:w="0" w:type="dxa"/>
            <w:vAlign w:val="bottom"/>
          </w:tcPr>
          <w:p>
            <w:pPr>
              <w:spacing w:after="0"/>
              <w:rPr>
                <w:sz w:val="1"/>
                <w:szCs w:val="1"/>
                <w:color w:val="auto"/>
              </w:rPr>
            </w:pPr>
          </w:p>
        </w:tc>
      </w:tr>
      <w:tr>
        <w:trPr>
          <w:trHeight w:val="159"/>
        </w:trPr>
        <w:tc>
          <w:tcPr>
            <w:tcW w:w="37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Liability</w:t>
            </w:r>
          </w:p>
        </w:tc>
        <w:tc>
          <w:tcPr>
            <w:tcW w:w="240" w:type="dxa"/>
            <w:vAlign w:val="bottom"/>
          </w:tcPr>
          <w:p>
            <w:pPr>
              <w:spacing w:after="0"/>
              <w:rPr>
                <w:sz w:val="13"/>
                <w:szCs w:val="13"/>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Receivables</w:t>
            </w:r>
          </w:p>
        </w:tc>
        <w:tc>
          <w:tcPr>
            <w:tcW w:w="0" w:type="dxa"/>
            <w:vAlign w:val="bottom"/>
          </w:tcPr>
          <w:p>
            <w:pPr>
              <w:spacing w:after="0"/>
              <w:rPr>
                <w:sz w:val="1"/>
                <w:szCs w:val="1"/>
                <w:color w:val="auto"/>
              </w:rPr>
            </w:pPr>
          </w:p>
        </w:tc>
      </w:tr>
      <w:tr>
        <w:trPr>
          <w:trHeight w:val="335"/>
        </w:trPr>
        <w:tc>
          <w:tcPr>
            <w:tcW w:w="37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44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Case-basis reserves</w:t>
            </w:r>
          </w:p>
        </w:tc>
        <w:tc>
          <w:tcPr>
            <w:tcW w:w="4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75,384,626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20,748,974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Loss adjustment expenses</w:t>
            </w:r>
          </w:p>
        </w:tc>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26,359,154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4,206,150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IBNR reserves</w:t>
            </w:r>
          </w:p>
        </w:tc>
        <w:tc>
          <w:tcPr>
            <w:tcW w:w="4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38,794,838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8,277,241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Recoverable on unpaid losses</w:t>
            </w:r>
          </w:p>
        </w:tc>
        <w:tc>
          <w:tcPr>
            <w:tcW w:w="4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33,232,365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Recoverable on paid losses</w:t>
            </w:r>
          </w:p>
        </w:tc>
        <w:tc>
          <w:tcPr>
            <w:tcW w:w="44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2,827,829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Total loss and loss adjustment expenses</w:t>
            </w:r>
          </w:p>
        </w:tc>
        <w:tc>
          <w:tcPr>
            <w:tcW w:w="4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140,538,618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36,060,194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Unearned premiums</w:t>
            </w:r>
          </w:p>
        </w:tc>
        <w:tc>
          <w:tcPr>
            <w:tcW w:w="44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22,936,751</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Receivables - reinsurance contracts</w:t>
            </w:r>
          </w:p>
        </w:tc>
        <w:tc>
          <w:tcPr>
            <w:tcW w:w="4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reinsurance receivables</w:t>
            </w:r>
          </w:p>
        </w:tc>
        <w:tc>
          <w:tcPr>
            <w:tcW w:w="44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58,996,945</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4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Case-basis reserves</w:t>
            </w:r>
          </w:p>
        </w:tc>
        <w:tc>
          <w:tcPr>
            <w:tcW w:w="4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64,087,782</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17,721,033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adjustment expenses</w:t>
            </w:r>
          </w:p>
        </w:tc>
        <w:tc>
          <w:tcPr>
            <w:tcW w:w="4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23,442,101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3,940,147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IBNR reserves</w:t>
            </w:r>
          </w:p>
        </w:tc>
        <w:tc>
          <w:tcPr>
            <w:tcW w:w="4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38,680,545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10,661,457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Recoverable on unpaid losses</w:t>
            </w:r>
          </w:p>
        </w:tc>
        <w:tc>
          <w:tcPr>
            <w:tcW w:w="4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32,322,637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Recoverable on paid losses</w:t>
            </w:r>
          </w:p>
        </w:tc>
        <w:tc>
          <w:tcPr>
            <w:tcW w:w="44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5,254,482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loss and loss adjustment expenses</w:t>
            </w:r>
          </w:p>
        </w:tc>
        <w:tc>
          <w:tcPr>
            <w:tcW w:w="4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126,210,428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37,577,119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7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Unearned premiums</w:t>
            </w:r>
          </w:p>
        </w:tc>
        <w:tc>
          <w:tcPr>
            <w:tcW w:w="444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31,745,317</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Receivables - reinsurance contracts</w:t>
            </w:r>
          </w:p>
        </w:tc>
        <w:tc>
          <w:tcPr>
            <w:tcW w:w="4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20" w:type="dxa"/>
            <w:vAlign w:val="bottom"/>
          </w:tcPr>
          <w:p>
            <w:pPr>
              <w:spacing w:after="0"/>
              <w:rPr>
                <w:sz w:val="20"/>
                <w:szCs w:val="20"/>
                <w:color w:val="auto"/>
              </w:rPr>
            </w:pPr>
            <w:r>
              <w:rPr>
                <w:rFonts w:ascii="Times New Roman" w:cs="Times New Roman" w:eastAsia="Times New Roman" w:hAnsi="Times New Roman"/>
                <w:sz w:val="12"/>
                <w:szCs w:val="12"/>
                <w:color w:val="auto"/>
              </w:rPr>
              <w:t>Total reinsurance receivables</w:t>
            </w:r>
          </w:p>
        </w:tc>
        <w:tc>
          <w:tcPr>
            <w:tcW w:w="4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69,322,436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740" w:type="dxa"/>
            <w:vAlign w:val="bottom"/>
            <w:gridSpan w:val="2"/>
            <w:vMerge w:val="restart"/>
          </w:tcPr>
          <w:p>
            <w:pPr>
              <w:jc w:val="right"/>
              <w:ind w:right="2700"/>
              <w:spacing w:after="0"/>
              <w:rPr>
                <w:sz w:val="20"/>
                <w:szCs w:val="20"/>
                <w:color w:val="auto"/>
              </w:rPr>
            </w:pPr>
            <w:r>
              <w:rPr>
                <w:rFonts w:ascii="Times New Roman" w:cs="Times New Roman" w:eastAsia="Times New Roman" w:hAnsi="Times New Roman"/>
                <w:sz w:val="12"/>
                <w:szCs w:val="12"/>
                <w:color w:val="auto"/>
              </w:rPr>
              <w:t>F-37</w:t>
            </w: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720" w:type="dxa"/>
            <w:vAlign w:val="bottom"/>
          </w:tcPr>
          <w:p>
            <w:pPr>
              <w:spacing w:after="0"/>
              <w:rPr>
                <w:sz w:val="24"/>
                <w:szCs w:val="24"/>
                <w:color w:val="auto"/>
              </w:rPr>
            </w:pPr>
          </w:p>
        </w:tc>
        <w:tc>
          <w:tcPr>
            <w:tcW w:w="47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20" w:type="dxa"/>
            <w:vAlign w:val="bottom"/>
            <w:tcBorders>
              <w:bottom w:val="single" w:sz="8" w:color="9A9A9A"/>
            </w:tcBorders>
          </w:tcPr>
          <w:p>
            <w:pPr>
              <w:spacing w:after="0"/>
              <w:rPr>
                <w:sz w:val="6"/>
                <w:szCs w:val="6"/>
                <w:color w:val="auto"/>
              </w:rPr>
            </w:pPr>
          </w:p>
        </w:tc>
        <w:tc>
          <w:tcPr>
            <w:tcW w:w="44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beginning and ending balances for unpaid losses and LAE:</w:t>
      </w:r>
    </w:p>
    <w:p>
      <w:pPr>
        <w:spacing w:after="0" w:line="173"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21"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1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r>
      <w:tr>
        <w:trPr>
          <w:trHeight w:val="165"/>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126,210,428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121,817,862</w:t>
            </w:r>
          </w:p>
        </w:tc>
        <w:tc>
          <w:tcPr>
            <w:tcW w:w="80" w:type="dxa"/>
            <w:vAlign w:val="bottom"/>
            <w:shd w:val="clear" w:color="auto" w:fill="CCEEFF"/>
          </w:tcPr>
          <w:p>
            <w:pPr>
              <w:spacing w:after="0"/>
              <w:rPr>
                <w:sz w:val="14"/>
                <w:szCs w:val="14"/>
                <w:color w:val="auto"/>
              </w:rPr>
            </w:pPr>
          </w:p>
        </w:tc>
      </w:tr>
      <w:tr>
        <w:trPr>
          <w:trHeight w:val="166"/>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reinsurance recoverables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(32,322,637)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(33,288,650)</w:t>
            </w:r>
          </w:p>
        </w:tc>
        <w:tc>
          <w:tcPr>
            <w:tcW w:w="80" w:type="dxa"/>
            <w:vAlign w:val="bottom"/>
            <w:tcBorders>
              <w:bottom w:val="single" w:sz="8" w:color="CCEEFF"/>
            </w:tcBorders>
          </w:tcPr>
          <w:p>
            <w:pPr>
              <w:spacing w:after="0"/>
              <w:rPr>
                <w:sz w:val="14"/>
                <w:szCs w:val="14"/>
                <w:color w:val="auto"/>
              </w:rPr>
            </w:pPr>
          </w:p>
        </w:tc>
      </w:tr>
      <w:tr>
        <w:trPr>
          <w:trHeight w:val="16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balance, beginning of period</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93,887,791</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88,529,212</w:t>
            </w:r>
          </w:p>
        </w:tc>
        <w:tc>
          <w:tcPr>
            <w:tcW w:w="80" w:type="dxa"/>
            <w:vAlign w:val="bottom"/>
            <w:shd w:val="clear" w:color="auto" w:fill="CCEEFF"/>
          </w:tcPr>
          <w:p>
            <w:pPr>
              <w:spacing w:after="0"/>
              <w:rPr>
                <w:sz w:val="13"/>
                <w:szCs w:val="13"/>
                <w:color w:val="auto"/>
              </w:rPr>
            </w:pPr>
          </w:p>
        </w:tc>
      </w:tr>
      <w:tr>
        <w:trPr>
          <w:trHeight w:val="165"/>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Incurred related to:</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Current year</w:t>
            </w: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85,349,385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64,414,543</w:t>
            </w:r>
          </w:p>
        </w:tc>
        <w:tc>
          <w:tcPr>
            <w:tcW w:w="80" w:type="dxa"/>
            <w:vAlign w:val="bottom"/>
          </w:tcPr>
          <w:p>
            <w:pPr>
              <w:spacing w:after="0"/>
              <w:rPr>
                <w:sz w:val="14"/>
                <w:szCs w:val="14"/>
                <w:color w:val="auto"/>
              </w:rPr>
            </w:pPr>
          </w:p>
        </w:tc>
      </w:tr>
      <w:tr>
        <w:trPr>
          <w:trHeight w:val="175"/>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Prior years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(1,083,663)</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(1,779,827)</w:t>
            </w:r>
          </w:p>
        </w:tc>
        <w:tc>
          <w:tcPr>
            <w:tcW w:w="80" w:type="dxa"/>
            <w:vAlign w:val="bottom"/>
            <w:shd w:val="clear" w:color="auto" w:fill="CCEEFF"/>
          </w:tcPr>
          <w:p>
            <w:pPr>
              <w:spacing w:after="0"/>
              <w:rPr>
                <w:sz w:val="15"/>
                <w:szCs w:val="15"/>
                <w:color w:val="auto"/>
              </w:rPr>
            </w:pPr>
          </w:p>
        </w:tc>
      </w:tr>
      <w:tr>
        <w:trPr>
          <w:trHeight w:val="155"/>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incurred</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84,265,722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62,634,716</w:t>
            </w:r>
          </w:p>
        </w:tc>
        <w:tc>
          <w:tcPr>
            <w:tcW w:w="80" w:type="dxa"/>
            <w:vAlign w:val="bottom"/>
            <w:tcBorders>
              <w:bottom w:val="single" w:sz="8" w:color="CCEEFF"/>
            </w:tcBorders>
          </w:tcPr>
          <w:p>
            <w:pPr>
              <w:spacing w:after="0"/>
              <w:rPr>
                <w:sz w:val="13"/>
                <w:szCs w:val="13"/>
                <w:color w:val="auto"/>
              </w:rPr>
            </w:pPr>
          </w:p>
        </w:tc>
      </w:tr>
      <w:tr>
        <w:trPr>
          <w:trHeight w:val="165"/>
        </w:trPr>
        <w:tc>
          <w:tcPr>
            <w:tcW w:w="8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8160" w:type="dxa"/>
            <w:vAlign w:val="bottom"/>
          </w:tcPr>
          <w:p>
            <w:pPr>
              <w:spacing w:after="0"/>
              <w:rPr>
                <w:sz w:val="20"/>
                <w:szCs w:val="20"/>
                <w:color w:val="auto"/>
              </w:rPr>
            </w:pPr>
            <w:r>
              <w:rPr>
                <w:rFonts w:ascii="Times New Roman" w:cs="Times New Roman" w:eastAsia="Times New Roman" w:hAnsi="Times New Roman"/>
                <w:sz w:val="12"/>
                <w:szCs w:val="12"/>
                <w:color w:val="auto"/>
              </w:rPr>
              <w:t>Paid related to:</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year</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40,940,473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32,956,899</w:t>
            </w:r>
          </w:p>
        </w:tc>
        <w:tc>
          <w:tcPr>
            <w:tcW w:w="80" w:type="dxa"/>
            <w:vAlign w:val="bottom"/>
            <w:shd w:val="clear" w:color="auto" w:fill="CCEEFF"/>
          </w:tcPr>
          <w:p>
            <w:pPr>
              <w:spacing w:after="0"/>
              <w:rPr>
                <w:sz w:val="15"/>
                <w:szCs w:val="15"/>
                <w:color w:val="auto"/>
              </w:rPr>
            </w:pPr>
          </w:p>
        </w:tc>
      </w:tr>
      <w:tr>
        <w:trPr>
          <w:trHeight w:val="167"/>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Prior years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29,906,787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24,319,238</w:t>
            </w:r>
          </w:p>
        </w:tc>
        <w:tc>
          <w:tcPr>
            <w:tcW w:w="80" w:type="dxa"/>
            <w:vAlign w:val="bottom"/>
            <w:tcBorders>
              <w:bottom w:val="single" w:sz="8" w:color="CCEEFF"/>
            </w:tcBorders>
          </w:tcPr>
          <w:p>
            <w:pPr>
              <w:spacing w:after="0"/>
              <w:rPr>
                <w:sz w:val="14"/>
                <w:szCs w:val="14"/>
                <w:color w:val="auto"/>
              </w:rPr>
            </w:pPr>
          </w:p>
        </w:tc>
      </w:tr>
      <w:tr>
        <w:trPr>
          <w:trHeight w:val="16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paid</w:t>
            </w: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70,847,260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57,276,137</w:t>
            </w:r>
          </w:p>
        </w:tc>
        <w:tc>
          <w:tcPr>
            <w:tcW w:w="80" w:type="dxa"/>
            <w:vAlign w:val="bottom"/>
            <w:shd w:val="clear" w:color="auto" w:fill="CCEEFF"/>
          </w:tcPr>
          <w:p>
            <w:pPr>
              <w:spacing w:after="0"/>
              <w:rPr>
                <w:sz w:val="13"/>
                <w:szCs w:val="13"/>
                <w:color w:val="auto"/>
              </w:rPr>
            </w:pPr>
          </w:p>
        </w:tc>
      </w:tr>
      <w:tr>
        <w:trPr>
          <w:trHeight w:val="164"/>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balance at end of period</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107,306,253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93,887,791</w:t>
            </w:r>
          </w:p>
        </w:tc>
        <w:tc>
          <w:tcPr>
            <w:tcW w:w="80" w:type="dxa"/>
            <w:vAlign w:val="bottom"/>
            <w:shd w:val="clear" w:color="auto" w:fill="CCEEFF"/>
          </w:tcPr>
          <w:p>
            <w:pPr>
              <w:spacing w:after="0"/>
              <w:rPr>
                <w:sz w:val="14"/>
                <w:szCs w:val="14"/>
                <w:color w:val="auto"/>
              </w:rPr>
            </w:pPr>
          </w:p>
        </w:tc>
      </w:tr>
      <w:tr>
        <w:trPr>
          <w:trHeight w:val="167"/>
        </w:trPr>
        <w:tc>
          <w:tcPr>
            <w:tcW w:w="8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Add reinsurance recoverables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33,232,365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32,322,637</w:t>
            </w:r>
          </w:p>
        </w:tc>
        <w:tc>
          <w:tcPr>
            <w:tcW w:w="80" w:type="dxa"/>
            <w:vAlign w:val="bottom"/>
            <w:tcBorders>
              <w:bottom w:val="single" w:sz="8" w:color="CCEEFF"/>
            </w:tcBorders>
          </w:tcPr>
          <w:p>
            <w:pPr>
              <w:spacing w:after="0"/>
              <w:rPr>
                <w:sz w:val="14"/>
                <w:szCs w:val="14"/>
                <w:color w:val="auto"/>
              </w:rPr>
            </w:pPr>
          </w:p>
        </w:tc>
      </w:tr>
      <w:tr>
        <w:trPr>
          <w:trHeight w:val="181"/>
        </w:trPr>
        <w:tc>
          <w:tcPr>
            <w:tcW w:w="8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end of period</w:t>
            </w: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140,538,618</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126,210,428</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Incurred losses and LAE are net of reinsurance recoveries under reinsurance contracts of $19,019,851 and $20,226,354 for the years ended December 31, 2025 and 2024, respectively.</w:t>
      </w:r>
    </w:p>
    <w:p>
      <w:pPr>
        <w:spacing w:after="0" w:line="1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Prior year incurred loss and LAE development is based upon estimates by line of business and accident year. Prior year loss and LAE development incurred during the years ended December 31, 2025 and 2024 was $1,083,663 favorable and $1,779,827 favorable, respectively. In 2025, property claims overall developed better than expected, driven primarily by reserve takedowns on several large fire and water damage claims from accident years 2023 and 2024, resulting in favorable development. This favorable development was partially offset by increased reserves associated with liability claims, which reflect the inherent variability associated with liability claim settlement patterns. In 2024, the favorable development was primarily attributable to reserve takedowns on several large property losses from accident years 2022 and 2023, reflecting recoverable depreciation. This favorable impact was partially offset by strengthening of reserves for liability claims, particularly related to loss adjustment expenses.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Loss and LAE reserves</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Paid Loss Development </w:t>
      </w:r>
      <w:r>
        <w:rPr>
          <w:rFonts w:ascii="Times New Roman" w:cs="Times New Roman" w:eastAsia="Times New Roman" w:hAnsi="Times New Roman"/>
          <w:sz w:val="12"/>
          <w:szCs w:val="12"/>
          <w:color w:val="auto"/>
        </w:rPr>
        <w:t>– historical patterns of paid loss development are used to project future paid loss emergence in order to estimate required reserves.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Incurred Loss Development </w:t>
      </w:r>
      <w:r>
        <w:rPr>
          <w:rFonts w:ascii="Times New Roman" w:cs="Times New Roman" w:eastAsia="Times New Roman" w:hAnsi="Times New Roman"/>
          <w:sz w:val="12"/>
          <w:szCs w:val="12"/>
          <w:color w:val="auto"/>
        </w:rPr>
        <w:t>– historical patterns of incurred loss development, reflecting both paid losses and changes in case reserves, are used to project future incurred loss emergence in order to estimate required reserves.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Paid Bornhuetter-Ferguson (“BF”) </w:t>
      </w:r>
      <w:r>
        <w:rPr>
          <w:rFonts w:ascii="Times New Roman" w:cs="Times New Roman" w:eastAsia="Times New Roman" w:hAnsi="Times New Roman"/>
          <w:sz w:val="12"/>
          <w:szCs w:val="12"/>
          <w:color w:val="auto"/>
        </w:rPr>
        <w:t>– an estimated loss ratio for a particular accident year is determined, and is weighted against the portion of the accident year claims that have been paid, based on historical paid loss development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Incurred Bornhuetter-Ferguson (“BF”) </w:t>
      </w:r>
      <w:r>
        <w:rPr>
          <w:rFonts w:ascii="Times New Roman" w:cs="Times New Roman" w:eastAsia="Times New Roman" w:hAnsi="Times New Roman"/>
          <w:sz w:val="12"/>
          <w:szCs w:val="12"/>
          <w:color w:val="auto"/>
        </w:rPr>
        <w:t>- an estimated loss ratio for a particular accident year is determined, and is weighted against the portion of the accident year claims that have been reported, based on historical incurred loss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Incremental Claim-Based Methods </w:t>
      </w:r>
      <w:r>
        <w:rPr>
          <w:rFonts w:ascii="Times New Roman" w:cs="Times New Roman" w:eastAsia="Times New Roman" w:hAnsi="Times New Roman"/>
          <w:sz w:val="12"/>
          <w:szCs w:val="12"/>
          <w:color w:val="auto"/>
        </w:rPr>
        <w:t>– historical patterns of incremental incurred losses and paid LAE during various stages of development are reviewed and assumptions are made regarding average loss and LAE development applied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2"/>
          <w:szCs w:val="12"/>
          <w:i w:val="1"/>
          <w:iCs w:val="1"/>
          <w:color w:val="auto"/>
        </w:rPr>
        <w:t xml:space="preserve">Frequency / Severity Based Methods </w:t>
      </w:r>
      <w:r>
        <w:rPr>
          <w:rFonts w:ascii="Times New Roman" w:cs="Times New Roman" w:eastAsia="Times New Roman" w:hAnsi="Times New Roman"/>
          <w:sz w:val="12"/>
          <w:szCs w:val="12"/>
          <w:color w:val="auto"/>
        </w:rPr>
        <w:t>– historical measurements of claim frequency and average paid claim size (severity) are reviewed for more mature accident years where a majority of claims have been reported and/or closed. These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2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December 31, 2022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2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The following is information about incurred and paid claims development as of December 31, 2025, net of reinsurance, as well as the cumulative reported claims by accident year and total IBNR reserves as of December 31, 2025 included in the net incurred loss and allocated expense amounts. The historical information regarding incurred and paid claims development for the years ended December 31, 2016 to December 31, 2024 is presented as supplementary unaudited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All Lines of Business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 except reported claims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jc w:val="right"/>
              <w:ind w:right="812"/>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134"/>
        </w:trPr>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gridSpan w:val="8"/>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7"/>
              </w:rPr>
              <w:t>Incurred Loss and Allocated Loss Adjustment Expenses, Net of Reinsurance</w:t>
            </w:r>
          </w:p>
        </w:tc>
        <w:tc>
          <w:tcPr>
            <w:tcW w:w="6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0" w:type="dxa"/>
            <w:vAlign w:val="bottom"/>
          </w:tcPr>
          <w:p>
            <w:pPr>
              <w:spacing w:after="0"/>
              <w:rPr>
                <w:sz w:val="1"/>
                <w:szCs w:val="1"/>
                <w:color w:val="auto"/>
              </w:rPr>
            </w:pPr>
          </w:p>
        </w:tc>
      </w:tr>
      <w:tr>
        <w:trPr>
          <w:trHeight w:val="107"/>
        </w:trPr>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jc w:val="right"/>
              <w:ind w:right="272"/>
              <w:spacing w:after="0" w:line="107" w:lineRule="exact"/>
              <w:rPr>
                <w:sz w:val="20"/>
                <w:szCs w:val="20"/>
                <w:color w:val="auto"/>
              </w:rPr>
            </w:pPr>
            <w:r>
              <w:rPr>
                <w:rFonts w:ascii="Times New Roman" w:cs="Times New Roman" w:eastAsia="Times New Roman" w:hAnsi="Times New Roman"/>
                <w:sz w:val="10"/>
                <w:szCs w:val="10"/>
                <w:b w:val="1"/>
                <w:bCs w:val="1"/>
                <w:color w:val="auto"/>
              </w:rPr>
              <w:t>Cumulative</w:t>
            </w:r>
          </w:p>
        </w:tc>
        <w:tc>
          <w:tcPr>
            <w:tcW w:w="0" w:type="dxa"/>
            <w:vAlign w:val="bottom"/>
          </w:tcPr>
          <w:p>
            <w:pPr>
              <w:spacing w:after="0"/>
              <w:rPr>
                <w:sz w:val="1"/>
                <w:szCs w:val="1"/>
                <w:color w:val="auto"/>
              </w:rPr>
            </w:pPr>
          </w:p>
        </w:tc>
      </w:tr>
      <w:tr>
        <w:trPr>
          <w:trHeight w:val="99"/>
        </w:trPr>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Number</w:t>
            </w:r>
          </w:p>
        </w:tc>
        <w:tc>
          <w:tcPr>
            <w:tcW w:w="0" w:type="dxa"/>
            <w:vAlign w:val="bottom"/>
          </w:tcPr>
          <w:p>
            <w:pPr>
              <w:spacing w:after="0"/>
              <w:rPr>
                <w:sz w:val="1"/>
                <w:szCs w:val="1"/>
                <w:color w:val="auto"/>
              </w:rPr>
            </w:pPr>
          </w:p>
        </w:tc>
      </w:tr>
      <w:tr>
        <w:trPr>
          <w:trHeight w:val="97"/>
        </w:trPr>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0" w:type="dxa"/>
            <w:vAlign w:val="bottom"/>
            <w:gridSpan w:val="4"/>
            <w:vMerge w:val="restart"/>
          </w:tcPr>
          <w:p>
            <w:pPr>
              <w:jc w:val="center"/>
              <w:ind w:left="312"/>
              <w:spacing w:after="0"/>
              <w:rPr>
                <w:sz w:val="20"/>
                <w:szCs w:val="20"/>
                <w:color w:val="auto"/>
              </w:rPr>
            </w:pPr>
            <w:r>
              <w:rPr>
                <w:rFonts w:ascii="Times New Roman" w:cs="Times New Roman" w:eastAsia="Times New Roman" w:hAnsi="Times New Roman"/>
                <w:sz w:val="10"/>
                <w:szCs w:val="10"/>
                <w:b w:val="1"/>
                <w:bCs w:val="1"/>
                <w:color w:val="auto"/>
                <w:w w:val="95"/>
              </w:rPr>
              <w:t>For the Years Ended December 31,</w:t>
            </w: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8"/>
              </w:rPr>
              <w:t>of Reported</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gridSpan w:val="4"/>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Claims by</w:t>
            </w:r>
          </w:p>
        </w:tc>
        <w:tc>
          <w:tcPr>
            <w:tcW w:w="0" w:type="dxa"/>
            <w:vAlign w:val="bottom"/>
          </w:tcPr>
          <w:p>
            <w:pPr>
              <w:spacing w:after="0"/>
              <w:rPr>
                <w:sz w:val="1"/>
                <w:szCs w:val="1"/>
                <w:color w:val="auto"/>
              </w:rPr>
            </w:pPr>
          </w:p>
        </w:tc>
      </w:tr>
      <w:tr>
        <w:trPr>
          <w:trHeight w:val="98"/>
        </w:trPr>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2016</w:t>
            </w:r>
          </w:p>
        </w:tc>
        <w:tc>
          <w:tcPr>
            <w:tcW w:w="220" w:type="dxa"/>
            <w:vAlign w:val="bottom"/>
          </w:tcPr>
          <w:p>
            <w:pPr>
              <w:spacing w:after="0"/>
              <w:rPr>
                <w:sz w:val="8"/>
                <w:szCs w:val="8"/>
                <w:color w:val="auto"/>
              </w:rPr>
            </w:pPr>
          </w:p>
        </w:tc>
        <w:tc>
          <w:tcPr>
            <w:tcW w:w="60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2017</w:t>
            </w:r>
          </w:p>
        </w:tc>
        <w:tc>
          <w:tcPr>
            <w:tcW w:w="220" w:type="dxa"/>
            <w:vAlign w:val="bottom"/>
          </w:tcPr>
          <w:p>
            <w:pPr>
              <w:spacing w:after="0"/>
              <w:rPr>
                <w:sz w:val="8"/>
                <w:szCs w:val="8"/>
                <w:color w:val="auto"/>
              </w:rPr>
            </w:pPr>
          </w:p>
        </w:tc>
        <w:tc>
          <w:tcPr>
            <w:tcW w:w="60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80" w:type="dxa"/>
            <w:vAlign w:val="bottom"/>
          </w:tcPr>
          <w:p>
            <w:pPr>
              <w:spacing w:after="0"/>
              <w:rPr>
                <w:sz w:val="8"/>
                <w:szCs w:val="8"/>
                <w:color w:val="auto"/>
              </w:rPr>
            </w:pPr>
          </w:p>
        </w:tc>
        <w:tc>
          <w:tcPr>
            <w:tcW w:w="5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Pr>
          <w:p>
            <w:pPr>
              <w:spacing w:after="0"/>
              <w:rPr>
                <w:sz w:val="8"/>
                <w:szCs w:val="8"/>
                <w:color w:val="auto"/>
              </w:rPr>
            </w:pPr>
          </w:p>
        </w:tc>
        <w:tc>
          <w:tcPr>
            <w:tcW w:w="600" w:type="dxa"/>
            <w:vAlign w:val="bottom"/>
            <w:vMerge w:val="restart"/>
          </w:tcPr>
          <w:p>
            <w:pPr>
              <w:jc w:val="center"/>
              <w:ind w:right="132"/>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340" w:type="dxa"/>
            <w:vAlign w:val="bottom"/>
          </w:tcPr>
          <w:p>
            <w:pPr>
              <w:spacing w:after="0"/>
              <w:rPr>
                <w:sz w:val="8"/>
                <w:szCs w:val="8"/>
                <w:color w:val="auto"/>
              </w:rPr>
            </w:pPr>
          </w:p>
        </w:tc>
        <w:tc>
          <w:tcPr>
            <w:tcW w:w="48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w w:val="79"/>
              </w:rPr>
              <w:t>2021</w:t>
            </w:r>
          </w:p>
        </w:tc>
        <w:tc>
          <w:tcPr>
            <w:tcW w:w="220" w:type="dxa"/>
            <w:vAlign w:val="bottom"/>
          </w:tcPr>
          <w:p>
            <w:pPr>
              <w:spacing w:after="0"/>
              <w:rPr>
                <w:sz w:val="8"/>
                <w:szCs w:val="8"/>
                <w:color w:val="auto"/>
              </w:rPr>
            </w:pPr>
          </w:p>
        </w:tc>
        <w:tc>
          <w:tcPr>
            <w:tcW w:w="60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8"/>
                <w:szCs w:val="8"/>
                <w:color w:val="auto"/>
              </w:rPr>
            </w:pPr>
          </w:p>
        </w:tc>
        <w:tc>
          <w:tcPr>
            <w:tcW w:w="60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Pr>
          <w:p>
            <w:pPr>
              <w:spacing w:after="0"/>
              <w:rPr>
                <w:sz w:val="8"/>
                <w:szCs w:val="8"/>
                <w:color w:val="auto"/>
              </w:rPr>
            </w:pPr>
          </w:p>
        </w:tc>
        <w:tc>
          <w:tcPr>
            <w:tcW w:w="58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restart"/>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IBNR</w:t>
            </w:r>
          </w:p>
        </w:tc>
        <w:tc>
          <w:tcPr>
            <w:tcW w:w="110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5"/>
              </w:rPr>
              <w:t>Accident</w:t>
            </w:r>
          </w:p>
        </w:tc>
        <w:tc>
          <w:tcPr>
            <w:tcW w:w="0" w:type="dxa"/>
            <w:vAlign w:val="bottom"/>
          </w:tcPr>
          <w:p>
            <w:pPr>
              <w:spacing w:after="0"/>
              <w:rPr>
                <w:sz w:val="1"/>
                <w:szCs w:val="1"/>
                <w:color w:val="auto"/>
              </w:rPr>
            </w:pPr>
          </w:p>
        </w:tc>
      </w:tr>
      <w:tr>
        <w:trPr>
          <w:trHeight w:val="129"/>
        </w:trPr>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Accident Year</w:t>
            </w: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Year</w:t>
            </w:r>
          </w:p>
        </w:tc>
        <w:tc>
          <w:tcPr>
            <w:tcW w:w="0" w:type="dxa"/>
            <w:vAlign w:val="bottom"/>
          </w:tcPr>
          <w:p>
            <w:pPr>
              <w:spacing w:after="0"/>
              <w:rPr>
                <w:sz w:val="1"/>
                <w:szCs w:val="1"/>
                <w:color w:val="auto"/>
              </w:rPr>
            </w:pPr>
          </w:p>
        </w:tc>
      </w:tr>
      <w:tr>
        <w:trPr>
          <w:trHeight w:val="128"/>
        </w:trPr>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3"/>
          </w:tcPr>
          <w:p>
            <w:pPr>
              <w:jc w:val="center"/>
              <w:ind w:right="192"/>
              <w:spacing w:after="0"/>
              <w:rPr>
                <w:sz w:val="20"/>
                <w:szCs w:val="20"/>
                <w:color w:val="auto"/>
              </w:rPr>
            </w:pPr>
            <w:r>
              <w:rPr>
                <w:rFonts w:ascii="Times New Roman" w:cs="Times New Roman" w:eastAsia="Times New Roman" w:hAnsi="Times New Roman"/>
                <w:sz w:val="10"/>
                <w:szCs w:val="10"/>
                <w:b w:val="1"/>
                <w:bCs w:val="1"/>
                <w:color w:val="auto"/>
                <w:w w:val="95"/>
              </w:rPr>
              <w:t>(Unaudited 2016 - 2024)</w:t>
            </w:r>
          </w:p>
        </w:tc>
        <w:tc>
          <w:tcPr>
            <w:tcW w:w="4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2016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26,062</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24,941</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24,789</w:t>
            </w: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27,887</w:t>
            </w:r>
          </w:p>
        </w:tc>
        <w:tc>
          <w:tcPr>
            <w:tcW w:w="2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27,966</w:t>
            </w:r>
          </w:p>
        </w:tc>
        <w:tc>
          <w:tcPr>
            <w:tcW w:w="34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27,417</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27,352</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27,271</w:t>
            </w: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27,247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27,171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2,884</w:t>
            </w:r>
          </w:p>
        </w:tc>
        <w:tc>
          <w:tcPr>
            <w:tcW w:w="0" w:type="dxa"/>
            <w:vAlign w:val="bottom"/>
          </w:tcPr>
          <w:p>
            <w:pPr>
              <w:spacing w:after="0"/>
              <w:rPr>
                <w:sz w:val="1"/>
                <w:szCs w:val="1"/>
                <w:color w:val="auto"/>
              </w:rPr>
            </w:pPr>
          </w:p>
        </w:tc>
      </w:tr>
      <w:tr>
        <w:trPr>
          <w:trHeight w:val="136"/>
        </w:trPr>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2017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31,605</w:t>
            </w: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32,169</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35,304</w:t>
            </w:r>
          </w:p>
        </w:tc>
        <w:tc>
          <w:tcPr>
            <w:tcW w:w="28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36,160</w:t>
            </w:r>
          </w:p>
        </w:tc>
        <w:tc>
          <w:tcPr>
            <w:tcW w:w="340" w:type="dxa"/>
            <w:vAlign w:val="bottom"/>
          </w:tcPr>
          <w:p>
            <w:pPr>
              <w:spacing w:after="0"/>
              <w:rPr>
                <w:sz w:val="11"/>
                <w:szCs w:val="11"/>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36,532</w:t>
            </w: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36,502</w:t>
            </w: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36,819</w:t>
            </w:r>
          </w:p>
        </w:tc>
        <w:tc>
          <w:tcPr>
            <w:tcW w:w="2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37,268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37,359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3,401</w:t>
            </w: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2018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54,455</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56,351</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58,441</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59,404</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61,237</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61,145</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61,686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61,897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4,238</w:t>
            </w:r>
          </w:p>
        </w:tc>
        <w:tc>
          <w:tcPr>
            <w:tcW w:w="0" w:type="dxa"/>
            <w:vAlign w:val="bottom"/>
          </w:tcPr>
          <w:p>
            <w:pPr>
              <w:spacing w:after="0"/>
              <w:rPr>
                <w:sz w:val="1"/>
                <w:szCs w:val="1"/>
                <w:color w:val="auto"/>
              </w:rPr>
            </w:pPr>
          </w:p>
        </w:tc>
      </w:tr>
      <w:tr>
        <w:trPr>
          <w:trHeight w:val="136"/>
        </w:trPr>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2019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75,092</w:t>
            </w:r>
          </w:p>
        </w:tc>
        <w:tc>
          <w:tcPr>
            <w:tcW w:w="28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72,368</w:t>
            </w:r>
          </w:p>
        </w:tc>
        <w:tc>
          <w:tcPr>
            <w:tcW w:w="340" w:type="dxa"/>
            <w:vAlign w:val="bottom"/>
          </w:tcPr>
          <w:p>
            <w:pPr>
              <w:spacing w:after="0"/>
              <w:rPr>
                <w:sz w:val="11"/>
                <w:szCs w:val="11"/>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71,544</w:t>
            </w: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71,964</w:t>
            </w: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73,310</w:t>
            </w:r>
          </w:p>
        </w:tc>
        <w:tc>
          <w:tcPr>
            <w:tcW w:w="2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74,363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76,337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2,025</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4,509</w:t>
            </w: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2020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63,083</w:t>
            </w: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62,833</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63,217</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63,562</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64,400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65,888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934</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5,896</w:t>
            </w:r>
          </w:p>
        </w:tc>
        <w:tc>
          <w:tcPr>
            <w:tcW w:w="0" w:type="dxa"/>
            <w:vAlign w:val="bottom"/>
          </w:tcPr>
          <w:p>
            <w:pPr>
              <w:spacing w:after="0"/>
              <w:rPr>
                <w:sz w:val="1"/>
                <w:szCs w:val="1"/>
                <w:color w:val="auto"/>
              </w:rPr>
            </w:pPr>
          </w:p>
        </w:tc>
      </w:tr>
      <w:tr>
        <w:trPr>
          <w:trHeight w:val="135"/>
        </w:trPr>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2021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96,425</w:t>
            </w: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96,673</w:t>
            </w: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96,134</w:t>
            </w:r>
          </w:p>
        </w:tc>
        <w:tc>
          <w:tcPr>
            <w:tcW w:w="2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96,771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98,411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1,303</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5,836</w:t>
            </w: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2022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79,835</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78,759</w:t>
            </w: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78,078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77,319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2,533</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4,721</w:t>
            </w:r>
          </w:p>
        </w:tc>
        <w:tc>
          <w:tcPr>
            <w:tcW w:w="0" w:type="dxa"/>
            <w:vAlign w:val="bottom"/>
          </w:tcPr>
          <w:p>
            <w:pPr>
              <w:spacing w:after="0"/>
              <w:rPr>
                <w:sz w:val="1"/>
                <w:szCs w:val="1"/>
                <w:color w:val="auto"/>
              </w:rPr>
            </w:pPr>
          </w:p>
        </w:tc>
      </w:tr>
      <w:tr>
        <w:trPr>
          <w:trHeight w:val="136"/>
        </w:trPr>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2023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78,978</w:t>
            </w:r>
          </w:p>
        </w:tc>
        <w:tc>
          <w:tcPr>
            <w:tcW w:w="240" w:type="dxa"/>
            <w:vAlign w:val="bottom"/>
          </w:tcPr>
          <w:p>
            <w:pPr>
              <w:spacing w:after="0"/>
              <w:rPr>
                <w:sz w:val="11"/>
                <w:szCs w:val="11"/>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72,025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70,128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5,125</w:t>
            </w:r>
          </w:p>
        </w:tc>
        <w:tc>
          <w:tcPr>
            <w:tcW w:w="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4,097</w:t>
            </w:r>
          </w:p>
        </w:tc>
        <w:tc>
          <w:tcPr>
            <w:tcW w:w="0" w:type="dxa"/>
            <w:vAlign w:val="bottom"/>
          </w:tcPr>
          <w:p>
            <w:pPr>
              <w:spacing w:after="0"/>
              <w:rPr>
                <w:sz w:val="1"/>
                <w:szCs w:val="1"/>
                <w:color w:val="auto"/>
              </w:rPr>
            </w:pPr>
          </w:p>
        </w:tc>
      </w:tr>
      <w:tr>
        <w:trPr>
          <w:trHeight w:val="153"/>
        </w:trPr>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2024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57,860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54,364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7,014</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3,140</w:t>
            </w:r>
          </w:p>
        </w:tc>
        <w:tc>
          <w:tcPr>
            <w:tcW w:w="0" w:type="dxa"/>
            <w:vAlign w:val="bottom"/>
          </w:tcPr>
          <w:p>
            <w:pPr>
              <w:spacing w:after="0"/>
              <w:rPr>
                <w:sz w:val="1"/>
                <w:szCs w:val="1"/>
                <w:color w:val="auto"/>
              </w:rPr>
            </w:pPr>
          </w:p>
        </w:tc>
      </w:tr>
      <w:tr>
        <w:trPr>
          <w:trHeight w:val="136"/>
        </w:trPr>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0"/>
                <w:szCs w:val="10"/>
                <w:color w:val="auto"/>
                <w:w w:val="99"/>
              </w:rPr>
              <w:t>2025</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77,556</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20,697</w:t>
            </w:r>
          </w:p>
        </w:tc>
        <w:tc>
          <w:tcPr>
            <w:tcW w:w="8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2,306</w:t>
            </w:r>
          </w:p>
        </w:tc>
        <w:tc>
          <w:tcPr>
            <w:tcW w:w="0" w:type="dxa"/>
            <w:vAlign w:val="bottom"/>
          </w:tcPr>
          <w:p>
            <w:pPr>
              <w:spacing w:after="0"/>
              <w:rPr>
                <w:sz w:val="1"/>
                <w:szCs w:val="1"/>
                <w:color w:val="auto"/>
              </w:rPr>
            </w:pPr>
          </w:p>
        </w:tc>
      </w:tr>
      <w:tr>
        <w:trPr>
          <w:trHeight w:val="133"/>
        </w:trPr>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646,429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All Lines of Business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gridSpan w:val="14"/>
          </w:tcPr>
          <w:p>
            <w:pPr>
              <w:jc w:val="center"/>
              <w:ind w:left="480"/>
              <w:spacing w:after="0"/>
              <w:rPr>
                <w:sz w:val="20"/>
                <w:szCs w:val="20"/>
                <w:color w:val="auto"/>
              </w:rPr>
            </w:pPr>
            <w:r>
              <w:rPr>
                <w:rFonts w:ascii="Times New Roman" w:cs="Times New Roman" w:eastAsia="Times New Roman" w:hAnsi="Times New Roman"/>
                <w:sz w:val="12"/>
                <w:szCs w:val="12"/>
                <w:b w:val="1"/>
                <w:bCs w:val="1"/>
                <w:color w:val="auto"/>
                <w:w w:val="99"/>
              </w:rPr>
              <w:t>Cumulative Paid Loss and Allocated Loss Adjustment Expenses, Net of Reinsurance</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55"/>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For the Years Ended December 31,</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65"/>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Accident Year</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2016</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2017</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2018</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2019</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87"/>
        </w:trPr>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(Unaudited 2016 - 2024)</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64"/>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21,106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26,382</w:t>
            </w: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26,854</w:t>
            </w:r>
          </w:p>
        </w:tc>
        <w:tc>
          <w:tcPr>
            <w:tcW w:w="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26,876</w:t>
            </w:r>
          </w:p>
        </w:tc>
      </w:tr>
      <w:tr>
        <w:trPr>
          <w:trHeight w:val="167"/>
        </w:trPr>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28,693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31,393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33,522</w:t>
            </w:r>
          </w:p>
        </w:tc>
        <w:tc>
          <w:tcPr>
            <w:tcW w:w="3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34,683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35,336</w:t>
            </w:r>
          </w:p>
        </w:tc>
      </w:tr>
      <w:tr>
        <w:trPr>
          <w:trHeight w:val="17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32,383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52,025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54,424</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56,199</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57,185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57,798</w:t>
            </w:r>
          </w:p>
        </w:tc>
      </w:tr>
      <w:tr>
        <w:trPr>
          <w:trHeight w:val="166"/>
        </w:trPr>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60,374</w:t>
            </w:r>
          </w:p>
        </w:tc>
        <w:tc>
          <w:tcPr>
            <w:tcW w:w="3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63,932</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68,648</w:t>
            </w:r>
          </w:p>
        </w:tc>
      </w:tr>
      <w:tr>
        <w:trPr>
          <w:trHeight w:val="17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53,432</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56,523</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59,220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60,859</w:t>
            </w:r>
          </w:p>
        </w:tc>
      </w:tr>
      <w:tr>
        <w:trPr>
          <w:trHeight w:val="166"/>
        </w:trPr>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56,282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77,756</w:t>
            </w:r>
          </w:p>
        </w:tc>
        <w:tc>
          <w:tcPr>
            <w:tcW w:w="3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82,317</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90,865</w:t>
            </w:r>
          </w:p>
        </w:tc>
      </w:tr>
      <w:tr>
        <w:trPr>
          <w:trHeight w:val="176"/>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45,856</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65,732</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70,703</w:t>
            </w:r>
          </w:p>
        </w:tc>
      </w:tr>
      <w:tr>
        <w:trPr>
          <w:trHeight w:val="167"/>
        </w:trPr>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46,280</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56,952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59,571</w:t>
            </w:r>
          </w:p>
        </w:tc>
      </w:tr>
      <w:tr>
        <w:trPr>
          <w:trHeight w:val="175"/>
        </w:trPr>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40,086</w:t>
            </w:r>
          </w:p>
        </w:tc>
      </w:tr>
      <w:tr>
        <w:trPr>
          <w:trHeight w:val="167"/>
        </w:trPr>
        <w:tc>
          <w:tcPr>
            <w:tcW w:w="13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36,572</w:t>
            </w:r>
          </w:p>
        </w:tc>
      </w:tr>
      <w:tr>
        <w:trPr>
          <w:trHeight w:val="160"/>
        </w:trPr>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547,316</w:t>
            </w:r>
          </w:p>
        </w:tc>
      </w:tr>
      <w:tr>
        <w:trPr>
          <w:trHeight w:val="164"/>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900" w:type="dxa"/>
            <w:vAlign w:val="bottom"/>
            <w:gridSpan w:val="1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Net liability for unpaid loss and allocated loss adjustment expenses for the accident years presented</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99,113</w:t>
            </w:r>
          </w:p>
        </w:tc>
      </w:tr>
      <w:tr>
        <w:trPr>
          <w:trHeight w:val="167"/>
        </w:trPr>
        <w:tc>
          <w:tcPr>
            <w:tcW w:w="1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gridSpan w:val="6"/>
          </w:tcPr>
          <w:p>
            <w:pPr>
              <w:jc w:val="right"/>
              <w:ind w:right="100"/>
              <w:spacing w:after="0"/>
              <w:rPr>
                <w:sz w:val="20"/>
                <w:szCs w:val="20"/>
                <w:color w:val="auto"/>
              </w:rPr>
            </w:pPr>
            <w:r>
              <w:rPr>
                <w:rFonts w:ascii="Times New Roman" w:cs="Times New Roman" w:eastAsia="Times New Roman" w:hAnsi="Times New Roman"/>
                <w:sz w:val="12"/>
                <w:szCs w:val="12"/>
                <w:color w:val="auto"/>
                <w:w w:val="99"/>
              </w:rPr>
              <w:t>All outstanding liabilities before 2016, net of reinsurance</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1,441</w:t>
            </w:r>
          </w:p>
        </w:tc>
      </w:tr>
      <w:tr>
        <w:trPr>
          <w:trHeight w:val="181"/>
        </w:trPr>
        <w:tc>
          <w:tcPr>
            <w:tcW w:w="13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20" w:type="dxa"/>
            <w:vAlign w:val="bottom"/>
            <w:tcBorders>
              <w:bottom w:val="single" w:sz="8" w:color="CCEEFF"/>
            </w:tcBorders>
            <w:gridSpan w:val="9"/>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Liabilities for loss and allocated loss adjustment expenses, net of reinsurance</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100,554</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(Components may not sum to totals due to rounding)</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reconciliation of the net incurred and paid claims development tables to the liability for loss and LAE reserves in the consolidated balance sheet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6220" w:type="dxa"/>
            <w:vAlign w:val="bottom"/>
            <w:gridSpan w:val="2"/>
          </w:tcPr>
          <w:p>
            <w:pPr>
              <w:jc w:val="center"/>
              <w:ind w:right="2406"/>
              <w:spacing w:after="0"/>
              <w:rPr>
                <w:sz w:val="20"/>
                <w:szCs w:val="20"/>
                <w:color w:val="auto"/>
              </w:rPr>
            </w:pPr>
            <w:r>
              <w:rPr>
                <w:rFonts w:ascii="Times New Roman" w:cs="Times New Roman" w:eastAsia="Times New Roman" w:hAnsi="Times New Roman"/>
                <w:sz w:val="12"/>
                <w:szCs w:val="12"/>
                <w:b w:val="1"/>
                <w:bCs w:val="1"/>
                <w:color w:val="auto"/>
                <w:w w:val="99"/>
              </w:rPr>
              <w:t>Reconciliation of the Disclosure of Incurred and Paid Loss Development</w:t>
            </w:r>
          </w:p>
        </w:tc>
        <w:tc>
          <w:tcPr>
            <w:tcW w:w="1320" w:type="dxa"/>
            <w:vAlign w:val="bottom"/>
          </w:tcPr>
          <w:p>
            <w:pPr>
              <w:spacing w:after="0"/>
              <w:rPr>
                <w:sz w:val="12"/>
                <w:szCs w:val="12"/>
                <w:color w:val="auto"/>
              </w:rPr>
            </w:pPr>
          </w:p>
        </w:tc>
      </w:tr>
      <w:tr>
        <w:trPr>
          <w:trHeight w:val="159"/>
        </w:trPr>
        <w:tc>
          <w:tcPr>
            <w:tcW w:w="3760" w:type="dxa"/>
            <w:vAlign w:val="bottom"/>
          </w:tcPr>
          <w:p>
            <w:pPr>
              <w:spacing w:after="0"/>
              <w:rPr>
                <w:sz w:val="13"/>
                <w:szCs w:val="13"/>
                <w:color w:val="auto"/>
              </w:rPr>
            </w:pPr>
          </w:p>
        </w:tc>
        <w:tc>
          <w:tcPr>
            <w:tcW w:w="6220" w:type="dxa"/>
            <w:vAlign w:val="bottom"/>
            <w:gridSpan w:val="2"/>
          </w:tcPr>
          <w:p>
            <w:pPr>
              <w:jc w:val="center"/>
              <w:ind w:right="2406"/>
              <w:spacing w:after="0"/>
              <w:rPr>
                <w:sz w:val="20"/>
                <w:szCs w:val="20"/>
                <w:color w:val="auto"/>
              </w:rPr>
            </w:pPr>
            <w:r>
              <w:rPr>
                <w:rFonts w:ascii="Times New Roman" w:cs="Times New Roman" w:eastAsia="Times New Roman" w:hAnsi="Times New Roman"/>
                <w:sz w:val="12"/>
                <w:szCs w:val="12"/>
                <w:b w:val="1"/>
                <w:bCs w:val="1"/>
                <w:color w:val="auto"/>
              </w:rPr>
              <w:t>to the Liability for Loss and LAE Reserves</w:t>
            </w:r>
          </w:p>
        </w:tc>
        <w:tc>
          <w:tcPr>
            <w:tcW w:w="1320" w:type="dxa"/>
            <w:vAlign w:val="bottom"/>
          </w:tcPr>
          <w:p>
            <w:pPr>
              <w:spacing w:after="0"/>
              <w:rPr>
                <w:sz w:val="13"/>
                <w:szCs w:val="13"/>
                <w:color w:val="auto"/>
              </w:rPr>
            </w:pPr>
          </w:p>
        </w:tc>
      </w:tr>
      <w:tr>
        <w:trPr>
          <w:trHeight w:val="291"/>
        </w:trPr>
        <w:tc>
          <w:tcPr>
            <w:tcW w:w="37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63"/>
        </w:trPr>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6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6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 for allocated loss and loss adjustment expenses, net of reinsurance</w:t>
            </w:r>
          </w:p>
        </w:tc>
        <w:tc>
          <w:tcPr>
            <w:tcW w:w="622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100,554</w:t>
            </w:r>
          </w:p>
        </w:tc>
      </w:tr>
      <w:tr>
        <w:trPr>
          <w:trHeight w:val="167"/>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Total reinsurance recoverable on unpaid losses</w:t>
            </w: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33,232</w:t>
            </w:r>
          </w:p>
        </w:tc>
      </w:tr>
      <w:tr>
        <w:trPr>
          <w:trHeight w:val="175"/>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Unallocated loss adjustment expenses</w:t>
            </w:r>
          </w:p>
        </w:tc>
        <w:tc>
          <w:tcPr>
            <w:tcW w:w="60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6,753</w:t>
            </w:r>
          </w:p>
        </w:tc>
      </w:tr>
      <w:tr>
        <w:trPr>
          <w:trHeight w:val="155"/>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Total gross liability for loss and LAE reserves</w:t>
            </w:r>
          </w:p>
        </w:tc>
        <w:tc>
          <w:tcPr>
            <w:tcW w:w="606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140,539</w:t>
            </w:r>
          </w:p>
        </w:tc>
      </w:tr>
      <w:tr>
        <w:trPr>
          <w:trHeight w:val="20"/>
        </w:trPr>
        <w:tc>
          <w:tcPr>
            <w:tcW w:w="3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93"/>
        </w:trPr>
        <w:tc>
          <w:tcPr>
            <w:tcW w:w="3760" w:type="dxa"/>
            <w:vAlign w:val="bottom"/>
          </w:tcPr>
          <w:p>
            <w:pPr>
              <w:spacing w:after="0"/>
              <w:rPr>
                <w:sz w:val="24"/>
                <w:szCs w:val="24"/>
                <w:color w:val="auto"/>
              </w:rPr>
            </w:pPr>
          </w:p>
        </w:tc>
        <w:tc>
          <w:tcPr>
            <w:tcW w:w="6220" w:type="dxa"/>
            <w:vAlign w:val="bottom"/>
            <w:gridSpan w:val="2"/>
          </w:tcPr>
          <w:p>
            <w:pPr>
              <w:jc w:val="center"/>
              <w:ind w:right="2386"/>
              <w:spacing w:after="0"/>
              <w:rPr>
                <w:sz w:val="20"/>
                <w:szCs w:val="20"/>
                <w:color w:val="auto"/>
              </w:rPr>
            </w:pPr>
            <w:r>
              <w:rPr>
                <w:rFonts w:ascii="Times New Roman" w:cs="Times New Roman" w:eastAsia="Times New Roman" w:hAnsi="Times New Roman"/>
                <w:sz w:val="12"/>
                <w:szCs w:val="12"/>
                <w:color w:val="auto"/>
                <w:w w:val="96"/>
              </w:rPr>
              <w:t>F-41</w:t>
            </w:r>
          </w:p>
        </w:tc>
        <w:tc>
          <w:tcPr>
            <w:tcW w:w="1320" w:type="dxa"/>
            <w:vAlign w:val="bottom"/>
          </w:tcPr>
          <w:p>
            <w:pPr>
              <w:spacing w:after="0"/>
              <w:rPr>
                <w:sz w:val="24"/>
                <w:szCs w:val="24"/>
                <w:color w:val="auto"/>
              </w:rPr>
            </w:pPr>
          </w:p>
        </w:tc>
      </w:tr>
      <w:tr>
        <w:trPr>
          <w:trHeight w:val="63"/>
        </w:trPr>
        <w:tc>
          <w:tcPr>
            <w:tcW w:w="3760" w:type="dxa"/>
            <w:vAlign w:val="bottom"/>
            <w:tcBorders>
              <w:bottom w:val="single" w:sz="8" w:color="9A9A9A"/>
            </w:tcBorders>
          </w:tcPr>
          <w:p>
            <w:pPr>
              <w:spacing w:after="0"/>
              <w:rPr>
                <w:sz w:val="5"/>
                <w:szCs w:val="5"/>
                <w:color w:val="auto"/>
              </w:rPr>
            </w:pPr>
          </w:p>
        </w:tc>
        <w:tc>
          <w:tcPr>
            <w:tcW w:w="6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(Components may not sum to totals due to rounding)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supplementary unaudited information about average historical claims duration as of December 31, 2025:</w:t>
      </w:r>
    </w:p>
    <w:p>
      <w:pPr>
        <w:spacing w:after="0" w:line="18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Average Annual Percentage Payout of Incurred Loss and Allocated Loss Adjustment Expenses by Age, Net of Reinsurance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Years</w:t>
            </w:r>
          </w:p>
        </w:tc>
        <w:tc>
          <w:tcPr>
            <w:tcW w:w="1380" w:type="dxa"/>
            <w:vAlign w:val="bottom"/>
            <w:tcBorders>
              <w:top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w:t>
            </w:r>
          </w:p>
        </w:tc>
        <w:tc>
          <w:tcPr>
            <w:tcW w:w="96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w:t>
            </w:r>
          </w:p>
        </w:tc>
        <w:tc>
          <w:tcPr>
            <w:tcW w:w="94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4</w:t>
            </w:r>
          </w:p>
        </w:tc>
        <w:tc>
          <w:tcPr>
            <w:tcW w:w="92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5</w:t>
            </w:r>
          </w:p>
        </w:tc>
        <w:tc>
          <w:tcPr>
            <w:tcW w:w="94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6</w:t>
            </w:r>
          </w:p>
        </w:tc>
        <w:tc>
          <w:tcPr>
            <w:tcW w:w="92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7</w:t>
            </w:r>
          </w:p>
        </w:tc>
        <w:tc>
          <w:tcPr>
            <w:tcW w:w="92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w:t>
            </w:r>
          </w:p>
        </w:tc>
        <w:tc>
          <w:tcPr>
            <w:tcW w:w="940" w:type="dxa"/>
            <w:vAlign w:val="bottom"/>
            <w:tcBorders>
              <w:top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9</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top w:val="single" w:sz="8" w:color="CCEEFF"/>
            </w:tcBorders>
            <w:shd w:val="clear" w:color="auto" w:fill="CCEEFF"/>
          </w:tcPr>
          <w:p>
            <w:pPr>
              <w:spacing w:after="0"/>
              <w:rPr>
                <w:sz w:val="14"/>
                <w:szCs w:val="14"/>
                <w:color w:val="auto"/>
              </w:rPr>
            </w:pPr>
          </w:p>
        </w:tc>
      </w:tr>
      <w:tr>
        <w:trPr>
          <w:trHeight w:val="162"/>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auto"/>
              </w:rPr>
              <w:t>All Lines of Business</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54.9%</w:t>
            </w:r>
          </w:p>
        </w:tc>
        <w:tc>
          <w:tcPr>
            <w:tcW w:w="9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19.3%</w:t>
            </w:r>
          </w:p>
        </w:tc>
        <w:tc>
          <w:tcPr>
            <w:tcW w:w="9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6.0%</w:t>
            </w: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4.9%</w:t>
            </w: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4.3%</w:t>
            </w:r>
          </w:p>
        </w:tc>
        <w:tc>
          <w:tcPr>
            <w:tcW w:w="9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2.6%</w:t>
            </w: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2.6%</w:t>
            </w:r>
          </w:p>
        </w:tc>
        <w:tc>
          <w:tcPr>
            <w:tcW w:w="9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1.2%</w:t>
            </w:r>
          </w:p>
        </w:tc>
        <w:tc>
          <w:tcPr>
            <w:tcW w:w="9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0.3%</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tcPr>
          <w:p>
            <w:pPr>
              <w:spacing w:after="0"/>
              <w:rPr>
                <w:sz w:val="14"/>
                <w:szCs w:val="1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percentages in the above table do not add up to 100 because the percentages represent averages across all accident years at each development stage.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 Stockholders’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Dividends Declared</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July 22, 2025, the Company’s Board of Directors approved a quarterly dividend of $0.05 per share which was paid in cash on August 26, 2025 to stockholders of record as of the close of business on August 11, 2025. On October 30, 2025, the Company’s Board of Directors approved a quarterly dividend of $0.05 per share which was paid in cash on November 26, 2025 to stockholders of record as of the close of business on November 11, 2025. See Note 21 - Subsequent Events, Dividend Declared.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Preferred Stock</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Board of Directors has the authority to issue shares of Preferred Stock from time to time in a series and to fix, before the issuance of each series, the number of shares in each series and the designation, liquidation preferences, conversion privileges, rights and limitations of each series. There was no preferred stock issued as of December 31, 2025 and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2014 Equity Participation Plan</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Effective August 12, 2014, the Company's stockholders approved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determined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were authorized to be issued pursuant to the 2014 Plan to 1,400,000. On August 9, 2023, the Company’s stockholders approved an amendment to the 2014 Plan to increase the maximum number of shares of Common Stock of the Company that were authorized to be issued pursuant to the 2014 Plan to 1,900,000. The 2014 Plan terminated on August 12, 2024 and no further awards may be granted under the 2014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2024 Equity Participation Plan</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Effective August 7, 2024, the Company's stockholders approved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 Plan expire no later than ten years from the date of grant (except no later than five years for a grant to a 10% stockholder). Non-statutory 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there were 256,773 shares granted under the 2024 Plan.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Stock Options</w:t>
      </w:r>
    </w:p>
    <w:p>
      <w:pPr>
        <w:spacing w:after="0" w:line="15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results of operations for the years ended December 31, 2025 and 2024 include stock-based compensation expense for stock options totaling approximately $71,000 and $196,000, respectively, which is included in other operating expenses on the accompanying Consolidated Statements of Income and Comprehensive Income. Stock-based compensation expense related to stock options for the year ended December 31, 2025 is net of estimated forfeitures of approximately 24%.</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No options were granted during the year ended December 31, 2025. The weighted average estimated fair value of stock options granted during the year ended December 31, 2024 was $1.24 per share. The fair value of stock options at the grant date was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weighted average assumptions were used for grants during the following periods:</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28"/>
        </w:trPr>
        <w:tc>
          <w:tcPr>
            <w:tcW w:w="8240" w:type="dxa"/>
            <w:vAlign w:val="bottom"/>
          </w:tcPr>
          <w:p>
            <w:pPr>
              <w:spacing w:after="0"/>
              <w:rPr>
                <w:sz w:val="24"/>
                <w:szCs w:val="24"/>
                <w:color w:val="auto"/>
              </w:rPr>
            </w:pPr>
          </w:p>
        </w:tc>
        <w:tc>
          <w:tcPr>
            <w:tcW w:w="30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r>
      <w:tr>
        <w:trPr>
          <w:trHeight w:val="160"/>
        </w:trPr>
        <w:tc>
          <w:tcPr>
            <w:tcW w:w="824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r>
      <w:tr>
        <w:trPr>
          <w:trHeight w:val="165"/>
        </w:trPr>
        <w:tc>
          <w:tcPr>
            <w:tcW w:w="8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5"/>
              </w:rPr>
              <w:t>n/a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0.00%</w:t>
            </w:r>
          </w:p>
        </w:tc>
      </w:tr>
      <w:tr>
        <w:trPr>
          <w:trHeight w:val="166"/>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Volatility</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5"/>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74.72%</w:t>
            </w:r>
          </w:p>
        </w:tc>
      </w:tr>
      <w:tr>
        <w:trPr>
          <w:trHeight w:val="17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5"/>
              </w:rPr>
              <w:t>n/a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4.17%</w:t>
            </w:r>
          </w:p>
        </w:tc>
      </w:tr>
      <w:tr>
        <w:trPr>
          <w:trHeight w:val="162"/>
        </w:trPr>
        <w:tc>
          <w:tcPr>
            <w:tcW w:w="8240" w:type="dxa"/>
            <w:vAlign w:val="bottom"/>
          </w:tcPr>
          <w:p>
            <w:pPr>
              <w:spacing w:after="0"/>
              <w:rPr>
                <w:sz w:val="20"/>
                <w:szCs w:val="20"/>
                <w:color w:val="auto"/>
              </w:rPr>
            </w:pPr>
            <w:r>
              <w:rPr>
                <w:rFonts w:ascii="Times New Roman" w:cs="Times New Roman" w:eastAsia="Times New Roman" w:hAnsi="Times New Roman"/>
                <w:sz w:val="12"/>
                <w:szCs w:val="12"/>
                <w:color w:val="auto"/>
              </w:rPr>
              <w:t>Expected Life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w w:val="95"/>
              </w:rPr>
              <w:t>n/a</w:t>
            </w:r>
          </w:p>
        </w:tc>
        <w:tc>
          <w:tcPr>
            <w:tcW w:w="14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3.50 years</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have been no stock options granted under the 2024 Plan. A summary of stock option activity under the Company’s 2014 Plan and 2024 Plan for the year ended December 31, 2025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Weighted Average</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5"/>
        </w:trPr>
        <w:tc>
          <w:tcPr>
            <w:tcW w:w="4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Weighted Average Exercise</w:t>
            </w:r>
          </w:p>
        </w:tc>
        <w:tc>
          <w:tcPr>
            <w:tcW w:w="1560" w:type="dxa"/>
            <w:vAlign w:val="bottom"/>
            <w:gridSpan w:val="2"/>
          </w:tcPr>
          <w:p>
            <w:pPr>
              <w:ind w:left="460"/>
              <w:spacing w:after="0" w:line="135" w:lineRule="exact"/>
              <w:rPr>
                <w:sz w:val="20"/>
                <w:szCs w:val="20"/>
                <w:color w:val="auto"/>
              </w:rPr>
            </w:pPr>
            <w:r>
              <w:rPr>
                <w:rFonts w:ascii="Times New Roman" w:cs="Times New Roman" w:eastAsia="Times New Roman" w:hAnsi="Times New Roman"/>
                <w:sz w:val="12"/>
                <w:szCs w:val="12"/>
                <w:b w:val="1"/>
                <w:bCs w:val="1"/>
                <w:color w:val="auto"/>
              </w:rPr>
              <w:t>Remaining</w:t>
            </w: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2"/>
        </w:trPr>
        <w:tc>
          <w:tcPr>
            <w:tcW w:w="5040" w:type="dxa"/>
            <w:vAlign w:val="bottom"/>
            <w:gridSpan w:val="2"/>
          </w:tcPr>
          <w:p>
            <w:pPr>
              <w:ind w:left="2120"/>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Price per Share</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Contractual Term</w:t>
            </w:r>
          </w:p>
        </w:tc>
        <w:tc>
          <w:tcPr>
            <w:tcW w:w="10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Aggregate Intrinsic Value</w:t>
            </w:r>
          </w:p>
        </w:tc>
      </w:tr>
      <w:tr>
        <w:trPr>
          <w:trHeight w:val="165"/>
        </w:trPr>
        <w:tc>
          <w:tcPr>
            <w:tcW w:w="4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281,913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3,517,171</w:t>
            </w:r>
          </w:p>
        </w:tc>
        <w:tc>
          <w:tcPr>
            <w:tcW w:w="80" w:type="dxa"/>
            <w:vAlign w:val="bottom"/>
            <w:shd w:val="clear" w:color="auto" w:fill="CCEEFF"/>
          </w:tcPr>
          <w:p>
            <w:pPr>
              <w:spacing w:after="0"/>
              <w:rPr>
                <w:sz w:val="14"/>
                <w:szCs w:val="14"/>
                <w:color w:val="auto"/>
              </w:rPr>
            </w:pPr>
          </w:p>
        </w:tc>
      </w:tr>
      <w:tr>
        <w:trPr>
          <w:trHeight w:val="17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r>
      <w:tr>
        <w:trPr>
          <w:trHeight w:val="166"/>
        </w:trPr>
        <w:tc>
          <w:tcPr>
            <w:tcW w:w="5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(65,673)</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747,116</w:t>
            </w:r>
          </w:p>
        </w:tc>
        <w:tc>
          <w:tcPr>
            <w:tcW w:w="80" w:type="dxa"/>
            <w:vAlign w:val="bottom"/>
          </w:tcPr>
          <w:p>
            <w:pPr>
              <w:spacing w:after="0"/>
              <w:rPr>
                <w:sz w:val="14"/>
                <w:szCs w:val="14"/>
                <w:color w:val="auto"/>
              </w:rPr>
            </w:pPr>
          </w:p>
        </w:tc>
      </w:tr>
      <w:tr>
        <w:trPr>
          <w:trHeight w:val="171"/>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Expired/Forfeited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231,902</w:t>
            </w:r>
          </w:p>
        </w:tc>
        <w:tc>
          <w:tcPr>
            <w:tcW w:w="80" w:type="dxa"/>
            <w:vAlign w:val="bottom"/>
            <w:shd w:val="clear" w:color="auto" w:fill="CCEEFF"/>
          </w:tcPr>
          <w:p>
            <w:pPr>
              <w:spacing w:after="0"/>
              <w:rPr>
                <w:sz w:val="14"/>
                <w:szCs w:val="14"/>
                <w:color w:val="auto"/>
              </w:rPr>
            </w:pPr>
          </w:p>
        </w:tc>
      </w:tr>
      <w:tr>
        <w:trPr>
          <w:trHeight w:val="165"/>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199,991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2,915,869</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71"/>
        </w:trPr>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and Exercisable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79,190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1,154,590</w:t>
            </w:r>
          </w:p>
        </w:tc>
        <w:tc>
          <w:tcPr>
            <w:tcW w:w="80" w:type="dxa"/>
            <w:vAlign w:val="bottom"/>
            <w:tcBorders>
              <w:bottom w:val="single" w:sz="8" w:color="CCEEFF"/>
            </w:tcBorders>
            <w:shd w:val="clear" w:color="auto" w:fill="CCEEFF"/>
          </w:tcPr>
          <w:p>
            <w:pPr>
              <w:spacing w:after="0"/>
              <w:rPr>
                <w:sz w:val="16"/>
                <w:szCs w:val="16"/>
                <w:color w:val="auto"/>
              </w:rPr>
            </w:pPr>
          </w:p>
        </w:tc>
      </w:tr>
    </w:tbl>
    <w:p>
      <w:pPr>
        <w:spacing w:after="0" w:line="19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The aggregate intrinsic value of options outstanding and options exercisable at December 31, 2025 is calculated as the difference between the exercise price of the underlying options and the market price of the Company’s Common Stock for the options that had exercise prices that were lower than the $16.83 closing price of the Company’s Common Stock 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31, 2025. The total intrinsic value of options when forfeited are determined as of the date of forfeiture. The total intrinsic value of options when expired are determined as of the date of expiration.</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Participants in the 2014 Plan and the 2024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12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The Company received $62,714 from the exercise of 27,923 options during the year ended December 31, 2025. The remaining options exercised during the year ended December 31, 2025 were Net Exercises and Share Exchanges, resulting in the issuance of 23,564 shares of Common Stock.</w:t>
      </w:r>
    </w:p>
    <w:p>
      <w:pPr>
        <w:spacing w:after="0" w:line="11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2"/>
          <w:szCs w:val="12"/>
          <w:color w:val="auto"/>
        </w:rPr>
        <w:t>The Company received 52,719 shares from the exercise of options under a Share Exchange for the purchase of 63,333 shares of Common Stock during the year ended December 31, 2024. Such shares received under the Share Exchange have been included in the consolidated balance sheets within treasury stock. The Company received $63,711 from the exercise of 7,974 options. The remaining option exercised during the year ended December 31, 2024 was a Net Exercise, resulting in the issuance of 690 shares of Common Stock.</w:t>
      </w:r>
    </w:p>
    <w:p>
      <w:pPr>
        <w:spacing w:after="0" w:line="12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As of December 31, 2025, the estimated fair value of unamortized compensation cost related to 120,801 unvested stock option awards was approximately $7,000. Unamortized compensation cost as of December 31, 2025 is expected to be recognized over a remaining weighted-average vesting period of 1.01 years.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Restricted Stock Awards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summary of the restricted Common Stock activity under the Company’s 2014 Plan and 2024 Plan for the year ended December 31, 2025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Weighted Average Grant</w:t>
            </w:r>
          </w:p>
        </w:tc>
        <w:tc>
          <w:tcPr>
            <w:tcW w:w="280" w:type="dxa"/>
            <w:vAlign w:val="bottom"/>
          </w:tcPr>
          <w:p>
            <w:pPr>
              <w:spacing w:after="0"/>
              <w:rPr>
                <w:sz w:val="12"/>
                <w:szCs w:val="12"/>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Aggregate</w:t>
            </w:r>
          </w:p>
        </w:tc>
      </w:tr>
      <w:tr>
        <w:trPr>
          <w:trHeight w:val="172"/>
        </w:trPr>
        <w:tc>
          <w:tcPr>
            <w:tcW w:w="6600" w:type="dxa"/>
            <w:vAlign w:val="bottom"/>
            <w:gridSpan w:val="2"/>
          </w:tcPr>
          <w:p>
            <w:pPr>
              <w:ind w:left="2620"/>
              <w:spacing w:after="0"/>
              <w:rPr>
                <w:sz w:val="20"/>
                <w:szCs w:val="20"/>
                <w:color w:val="auto"/>
              </w:rPr>
            </w:pPr>
            <w:r>
              <w:rPr>
                <w:rFonts w:ascii="Times New Roman" w:cs="Times New Roman" w:eastAsia="Times New Roman" w:hAnsi="Times New Roman"/>
                <w:sz w:val="12"/>
                <w:szCs w:val="12"/>
                <w:b w:val="1"/>
                <w:bCs w:val="1"/>
                <w:color w:val="auto"/>
              </w:rPr>
              <w:t>Restricted Stock Awards</w:t>
            </w: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Date Fair Value per Share</w:t>
            </w:r>
          </w:p>
        </w:tc>
        <w:tc>
          <w:tcPr>
            <w:tcW w:w="28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Fair Value</w:t>
            </w:r>
          </w:p>
        </w:tc>
      </w:tr>
      <w:tr>
        <w:trPr>
          <w:trHeight w:val="164"/>
        </w:trPr>
        <w:tc>
          <w:tcPr>
            <w:tcW w:w="65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January 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267,586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1,402,151</w:t>
            </w:r>
          </w:p>
        </w:tc>
        <w:tc>
          <w:tcPr>
            <w:tcW w:w="80" w:type="dxa"/>
            <w:vAlign w:val="bottom"/>
            <w:shd w:val="clear" w:color="auto" w:fill="CCEEFF"/>
          </w:tcPr>
          <w:p>
            <w:pPr>
              <w:spacing w:after="0"/>
              <w:rPr>
                <w:sz w:val="14"/>
                <w:szCs w:val="14"/>
                <w:color w:val="auto"/>
              </w:rPr>
            </w:pPr>
          </w:p>
        </w:tc>
      </w:tr>
      <w:tr>
        <w:trPr>
          <w:trHeight w:val="171"/>
        </w:trPr>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198,018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3,071,259</w:t>
            </w:r>
          </w:p>
        </w:tc>
        <w:tc>
          <w:tcPr>
            <w:tcW w:w="80" w:type="dxa"/>
            <w:vAlign w:val="bottom"/>
            <w:shd w:val="clear" w:color="auto" w:fill="CCEEFF"/>
          </w:tcPr>
          <w:p>
            <w:pPr>
              <w:spacing w:after="0"/>
              <w:rPr>
                <w:sz w:val="14"/>
                <w:szCs w:val="14"/>
                <w:color w:val="auto"/>
              </w:rPr>
            </w:pPr>
          </w:p>
        </w:tc>
      </w:tr>
      <w:tr>
        <w:trPr>
          <w:trHeight w:val="167"/>
        </w:trPr>
        <w:tc>
          <w:tcPr>
            <w:tcW w:w="6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(231,613)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w:t>
            </w:r>
          </w:p>
        </w:tc>
        <w:tc>
          <w:tcPr>
            <w:tcW w:w="8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(949,613)</w:t>
            </w:r>
          </w:p>
        </w:tc>
        <w:tc>
          <w:tcPr>
            <w:tcW w:w="80" w:type="dxa"/>
            <w:vAlign w:val="bottom"/>
          </w:tcPr>
          <w:p>
            <w:pPr>
              <w:spacing w:after="0"/>
              <w:rPr>
                <w:sz w:val="14"/>
                <w:szCs w:val="14"/>
                <w:color w:val="auto"/>
              </w:rPr>
            </w:pPr>
          </w:p>
        </w:tc>
      </w:tr>
      <w:tr>
        <w:trPr>
          <w:trHeight w:val="171"/>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(97,290)</w:t>
            </w:r>
          </w:p>
        </w:tc>
        <w:tc>
          <w:tcPr>
            <w:tcW w:w="80" w:type="dxa"/>
            <w:vAlign w:val="bottom"/>
            <w:shd w:val="clear" w:color="auto" w:fill="CCEEFF"/>
          </w:tcPr>
          <w:p>
            <w:pPr>
              <w:spacing w:after="0"/>
              <w:rPr>
                <w:sz w:val="14"/>
                <w:szCs w:val="14"/>
                <w:color w:val="auto"/>
              </w:rPr>
            </w:pPr>
          </w:p>
        </w:tc>
      </w:tr>
      <w:tr>
        <w:trPr>
          <w:trHeight w:val="165"/>
        </w:trPr>
        <w:tc>
          <w:tcPr>
            <w:tcW w:w="6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223,288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3,426,507</w:t>
            </w:r>
          </w:p>
        </w:tc>
        <w:tc>
          <w:tcPr>
            <w:tcW w:w="80" w:type="dxa"/>
            <w:vAlign w:val="bottom"/>
            <w:tcBorders>
              <w:bottom w:val="single" w:sz="8" w:color="CCEEFF"/>
            </w:tcBorders>
            <w:shd w:val="clear" w:color="auto" w:fill="CCEEFF"/>
          </w:tcPr>
          <w:p>
            <w:pPr>
              <w:spacing w:after="0"/>
              <w:rPr>
                <w:sz w:val="16"/>
                <w:szCs w:val="16"/>
                <w:color w:val="auto"/>
              </w:rPr>
            </w:pPr>
          </w:p>
        </w:tc>
      </w:tr>
    </w:tbl>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Fair value was calculated using the closing price of the Company’s Common Stock on the grant date. For the years ended December 31, 2025 and 2024, stock-based compensation for these grants was approximately $1,387,000 and $1,187,000, respectively, which is included in other operating expenses on the accompanying consolidated statements of income and comprehensive income. These amounts reflect the Company’s accounting expense and do not correspond to the actual value that will be recognized by the directors, executives and employees. Unamortized compensation cost of $2,170,478 as of December 31, 2025 is expected to be recognized over a remaining weighted-average vesting period of 1.96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Employee Stock Purchase Plan</w:t>
      </w:r>
    </w:p>
    <w:p>
      <w:pPr>
        <w:spacing w:after="0" w:line="14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The initial offering period under the ESPP was from November 1, 2021 through October 31, 2022. There was no offering pursuant to the ESPP from November 1, 2022 through December 31, 2024. Effective January 1, 2025, the Company initiated an offering period of January 1, 2025 through December 31, 2025 under the ESPP (the "2025 Offering"). For the years ended December 31, 2025 and 2024, stock-based compensation under the 2025 Offering was approximately $24,000 and $0, respectively, which is included in other operating expenses on the accompanying condensed consolidated statements of income and comprehensive income. See Note 21 - Subsequent Events - Equity.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Warrants</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connection with the 2022 Exchange Agreement (see Note 9 – Debt – “Exchange Agreements”), as additional consideration, on December 15, 2022, the Company issued warrants (the "Warrants") to the 2022 Exchanging Noteholders to purchase 969,525 shares of Common Stock at an exercise price of $1.00 per share, exercisable through June 30, 2026. As of December 31, 2025, all issued warrants were exercised. Pursuant to the 2024 Exchange Agreement, the expiration date of the Warrants was extended to June 30, 2026 from December 30, 2025. The fair value of the Warrants, using the Black-Scholes valuation formula, was $993,200, which was capitalized as a deferred financing cost of the 2022 Notes and the 2024 Notes. The fair value of the Warrants were amortized over the life of the Warrants, which was 36.5 months through September 12, 2024 and effective as of such date, the unamortized balance was being amortized over the extended life of the Warrants, which was 21.5 months.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Holders of the Warrants were entitled to exercise their outstanding Warrants in cash, or, in whole or in part, by having the Company reduce the number of shares otherwise issuable by a number of shares having a fair market value equal to the exercise price of the Warrants being exercised ("Net Exercise"). During the year ended December 31, 2025, holders exercised 642,025 Warrants under Net Exercises, resulting in the issuance of 604,388 shares of Common Stock. During the year ended December 31, 2024, holders exercised 327,500 Warrants under Net Exercises, resulting in the issuance of 304,413 shares of Common Stock.</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In accordance with ASC 815 - Derivatives and Hedging – Subsequent Measurement, the effect of a modification or an exchange shall be measured as the difference between the fair value of the modified or exchanged instrument and the fair value of that instrument immediately before it is modified or exchanged. The Company calculated the respective fair values and determined the difference was immaterial.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Shelf Registration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At-the-Market Offering</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In May 2024, the Company entered into a Sales Agreement with Janney Montgomery Scott LLC (the “Sales Agent”) under which the Company had the ability to issue and sell shares of its Common Stock, from time to time, through the Sales Agent, pursuant to the Shelf Registration Statement, up to an aggregate offering price of approximately $16,400,000 in what is commonly referred to as an “at-the-market” (“ATM”) program. On January 7, 2025, the Company filed a prospectus supplement increasing the aggregate offering price for the ATM program to $25,000,000. During the year ended December 31, 2025, the Company sold 612,999 shares of its Common Stock at a weighted average price of $16.00 per share and raised $9,464,323 in net proceeds under the ATM program. As of December 31, 2025, the Company had remaining capacity to sell up to an additional $15,945,937 of Common Stock under the ATM program.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7" w:name="page128"/>
    <w:bookmarkEnd w:id="127"/>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8"/>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8"/>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13 - Statutory Financial Information and Accounting Policies</w:t>
      </w:r>
    </w:p>
    <w:p>
      <w:pPr>
        <w:spacing w:after="0" w:line="145"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For regulatory purposes, KICO prepares its statutory basis financial statements based on statutory accounting principles prescribed or permitted by the New York State Department of Financial Services (the “DFS”). The DFS requires insurance companies domiciled in New York State to prepare their statutory financial statements in accordance with Statements of Statutory Accounting Principles as promulgated by the National Association of Insurance Commissioners (the “NAIC”), subject to any deviations prescribed or permitted by the DFS. These statutory accounting practices differ substantially from GAAP used by most business entities. The more significant variances from GAAP are as follows:</w:t>
      </w:r>
    </w:p>
    <w:p>
      <w:pPr>
        <w:spacing w:after="0" w:line="129" w:lineRule="exact"/>
        <w:rPr>
          <w:sz w:val="20"/>
          <w:szCs w:val="20"/>
          <w:color w:val="auto"/>
        </w:rPr>
      </w:pPr>
    </w:p>
    <w:p>
      <w:pPr>
        <w:ind w:left="648" w:hanging="648"/>
        <w:spacing w:after="0"/>
        <w:tabs>
          <w:tab w:leader="none" w:pos="64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Policy acquisition costs are charged to operations in the year such costs are incurred, rather than being deferred and amortized as premiums are earned over the terms of the policies.</w:t>
      </w:r>
    </w:p>
    <w:p>
      <w:pPr>
        <w:spacing w:after="0" w:line="141" w:lineRule="exact"/>
        <w:rPr>
          <w:rFonts w:ascii="Times New Roman" w:cs="Times New Roman" w:eastAsia="Times New Roman" w:hAnsi="Times New Roman"/>
          <w:sz w:val="12"/>
          <w:szCs w:val="12"/>
          <w:color w:val="auto"/>
        </w:rPr>
      </w:pPr>
    </w:p>
    <w:p>
      <w:pPr>
        <w:ind w:left="648" w:hanging="648"/>
        <w:spacing w:after="0" w:line="264" w:lineRule="auto"/>
        <w:tabs>
          <w:tab w:leader="none" w:pos="645"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w:t>
      </w:r>
    </w:p>
    <w:p>
      <w:pPr>
        <w:spacing w:after="0" w:line="119" w:lineRule="exact"/>
        <w:rPr>
          <w:rFonts w:ascii="Times New Roman" w:cs="Times New Roman" w:eastAsia="Times New Roman" w:hAnsi="Times New Roman"/>
          <w:sz w:val="12"/>
          <w:szCs w:val="12"/>
          <w:color w:val="auto"/>
        </w:rPr>
      </w:pPr>
    </w:p>
    <w:p>
      <w:pPr>
        <w:ind w:left="648" w:hanging="648"/>
        <w:spacing w:after="0"/>
        <w:tabs>
          <w:tab w:leader="none" w:pos="64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assets including certain receivables, a portion of the net deferred tax asset, prepaid expenses and furniture and equipment are not admitted.</w:t>
      </w:r>
    </w:p>
    <w:p>
      <w:pPr>
        <w:spacing w:after="0" w:line="141" w:lineRule="exact"/>
        <w:rPr>
          <w:rFonts w:ascii="Times New Roman" w:cs="Times New Roman" w:eastAsia="Times New Roman" w:hAnsi="Times New Roman"/>
          <w:sz w:val="12"/>
          <w:szCs w:val="12"/>
          <w:color w:val="auto"/>
        </w:rPr>
      </w:pPr>
    </w:p>
    <w:p>
      <w:pPr>
        <w:ind w:left="648" w:right="20" w:hanging="648"/>
        <w:spacing w:after="0" w:line="264" w:lineRule="auto"/>
        <w:tabs>
          <w:tab w:leader="none" w:pos="645"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 in fixed-maturity securities are valued at NAIC value for statutory financial purposes, which is primarily amortized cost. GAAP requires certain investments in fixed-maturity securities classified as available-for-sale, to be reported at fair value.</w:t>
      </w:r>
    </w:p>
    <w:p>
      <w:pPr>
        <w:spacing w:after="0" w:line="119" w:lineRule="exact"/>
        <w:rPr>
          <w:rFonts w:ascii="Times New Roman" w:cs="Times New Roman" w:eastAsia="Times New Roman" w:hAnsi="Times New Roman"/>
          <w:sz w:val="12"/>
          <w:szCs w:val="12"/>
          <w:color w:val="auto"/>
        </w:rPr>
      </w:pPr>
    </w:p>
    <w:p>
      <w:pPr>
        <w:ind w:left="648" w:hanging="648"/>
        <w:spacing w:after="0"/>
        <w:tabs>
          <w:tab w:leader="none" w:pos="64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amounts related to ceded reinsurance are reported on a net basis within the statutory basis financial statements. GAAP requires these amounts to be shown gross.</w:t>
      </w:r>
    </w:p>
    <w:p>
      <w:pPr>
        <w:spacing w:after="0" w:line="141" w:lineRule="exact"/>
        <w:rPr>
          <w:rFonts w:ascii="Times New Roman" w:cs="Times New Roman" w:eastAsia="Times New Roman" w:hAnsi="Times New Roman"/>
          <w:sz w:val="12"/>
          <w:szCs w:val="12"/>
          <w:color w:val="auto"/>
        </w:rPr>
      </w:pPr>
    </w:p>
    <w:p>
      <w:pPr>
        <w:ind w:left="648" w:hanging="648"/>
        <w:spacing w:after="0" w:line="264" w:lineRule="auto"/>
        <w:tabs>
          <w:tab w:leader="none" w:pos="645"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w:t>
      </w:r>
    </w:p>
    <w:p>
      <w:pPr>
        <w:spacing w:after="0" w:line="119"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be paid without the need for DFS approval from unassigned surplus, and the amount of an insurer’s unassigned surplus following payment of any dividends must be reasonable in relation to the insurer’s outstanding liabilities and adequate to meet its financial needs.</w:t>
      </w:r>
    </w:p>
    <w:p>
      <w:pPr>
        <w:spacing w:after="0" w:line="120" w:lineRule="exact"/>
        <w:rPr>
          <w:sz w:val="20"/>
          <w:szCs w:val="20"/>
          <w:color w:val="auto"/>
        </w:rPr>
      </w:pPr>
    </w:p>
    <w:p>
      <w:pPr>
        <w:jc w:val="both"/>
        <w:ind w:left="8"/>
        <w:spacing w:after="0" w:line="244" w:lineRule="auto"/>
        <w:rPr>
          <w:sz w:val="20"/>
          <w:szCs w:val="20"/>
          <w:color w:val="auto"/>
        </w:rPr>
      </w:pPr>
      <w:r>
        <w:rPr>
          <w:rFonts w:ascii="Times New Roman" w:cs="Times New Roman" w:eastAsia="Times New Roman" w:hAnsi="Times New Roman"/>
          <w:sz w:val="12"/>
          <w:szCs w:val="12"/>
          <w:color w:val="auto"/>
        </w:rPr>
        <w:t>At December 31, 2025 and 2024, unassigned surplus was $36,152,023 and $13,658,183, respectively. Through September 30, 2025, KICO had an agreement with DFS that KICO was only permitted to pay dividends to the Holding Company for purposes of paying operating expenses and debt obligations, and that the maximum amount of dividends that could be paid in 12 months was $12,000,000 without prior approval. Effective September 30, 2025, the restrictions on KICO to pay dividends were removed by DFS. As of December 31, 2025, the maximum dividends that KICO can pay to the Holding Company is restricted to the lesser of 10% of statutory surplus as shown by its last statement on file with DFS, or 100% of net investment income for the preceding 36 months reduced by dividends paid during such period. As of December 31, 2025, the maximum allowable dividend that KICO may pay to the Holding Company was $1,969,796 without DFS approval. See Note 21 - Subsequent Events - Statutory Financial Information. For the years ended December 31, 2025 and 2024, KICO paid dividends to the Holding Company of $7,950,000 and $0, respectively. For the years ended December 31, 2025 and 2024, KICO recorded statutory basis net income of $38,665,538 and $23,273,658, respectively. At December 31, 2025 and 2024, KICO reported statutory basis surplus as regards policyholders of $99,197,956 and $76,704,115, respectively, as filed with the DFS.</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14 - Risk Based Capital</w:t>
      </w:r>
    </w:p>
    <w:p>
      <w:pPr>
        <w:spacing w:after="0" w:line="154" w:lineRule="exact"/>
        <w:rPr>
          <w:sz w:val="20"/>
          <w:szCs w:val="20"/>
          <w:color w:val="auto"/>
        </w:rPr>
      </w:pPr>
    </w:p>
    <w:p>
      <w:pPr>
        <w:jc w:val="both"/>
        <w:ind w:left="8"/>
        <w:spacing w:after="0" w:line="264" w:lineRule="auto"/>
        <w:rPr>
          <w:sz w:val="20"/>
          <w:szCs w:val="20"/>
          <w:color w:val="auto"/>
        </w:rPr>
      </w:pPr>
      <w:r>
        <w:rPr>
          <w:rFonts w:ascii="Times New Roman" w:cs="Times New Roman" w:eastAsia="Times New Roman" w:hAnsi="Times New Roman"/>
          <w:sz w:val="12"/>
          <w:szCs w:val="12"/>
          <w:color w:val="auto"/>
        </w:rPr>
        <w:t>State insurance departments impose risk-based capital (“RBC”) requirements on insurance enterprises. The RBC Model serves as a benchmark for the regulation of insurance companies by state insurance regulators. RBC provides for targeted</w:t>
      </w:r>
    </w:p>
    <w:p>
      <w:pPr>
        <w:spacing w:after="0" w:line="3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28" w:name="page129"/>
    <w:bookmarkEnd w:id="128"/>
    <w:p>
      <w:pPr>
        <w:ind w:left="8"/>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8"/>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8"/>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12"/>
          <w:szCs w:val="12"/>
          <w:color w:val="auto"/>
        </w:rPr>
        <w:t>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spacing w:after="0" w:line="120"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RBC guidelines define specific capital levels based on a company’s ACL that are determined by the ratio of the company’s total adjusted capital (“TAC”) to its ACL. TAC is equal to statutory capital, plus or minus certain other specified adjustments. The Company’s TAC was above the ACL for each of the last two years and is in compliance with RBC requirements as of December 31, 2025 and 2024.</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 15 – Income Taxes</w:t>
      </w:r>
    </w:p>
    <w:p>
      <w:pPr>
        <w:spacing w:after="0" w:line="145"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Enactment of the One Big Beautiful Bill Act of 2025</w:t>
      </w:r>
    </w:p>
    <w:p>
      <w:pPr>
        <w:spacing w:after="0" w:line="150" w:lineRule="exact"/>
        <w:rPr>
          <w:sz w:val="20"/>
          <w:szCs w:val="20"/>
          <w:color w:val="auto"/>
        </w:rPr>
      </w:pPr>
    </w:p>
    <w:p>
      <w:pPr>
        <w:jc w:val="both"/>
        <w:ind w:left="8"/>
        <w:spacing w:after="0" w:line="264" w:lineRule="auto"/>
        <w:rPr>
          <w:sz w:val="20"/>
          <w:szCs w:val="20"/>
          <w:color w:val="auto"/>
        </w:rPr>
      </w:pPr>
      <w:r>
        <w:rPr>
          <w:rFonts w:ascii="Times New Roman" w:cs="Times New Roman" w:eastAsia="Times New Roman" w:hAnsi="Times New Roman"/>
          <w:sz w:val="12"/>
          <w:szCs w:val="12"/>
          <w:color w:val="auto"/>
        </w:rPr>
        <w:t>On July 4, 2025, the U.S. enacted a budget reconciliation package known as the One Big Beautiful Bill Act of 2025 (OBBBA), which includes both tax and non-tax provisions. The changes resulting from the tax provisions in OBBBA did not have a material impact on the Company’s income tax expense and results of operations, financial position or liquidity.</w:t>
      </w:r>
    </w:p>
    <w:p>
      <w:pPr>
        <w:spacing w:after="0" w:line="10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Components of Income Tax Expense</w:t>
            </w: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 the year ended December 31, 2025, the provision for income taxes is comprised of the following:</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Federal income tax before utilization of net operating loss</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10,896,837</w:t>
            </w:r>
          </w:p>
        </w:tc>
        <w:tc>
          <w:tcPr>
            <w:tcW w:w="0" w:type="dxa"/>
            <w:vAlign w:val="bottom"/>
          </w:tcPr>
          <w:p>
            <w:pPr>
              <w:spacing w:after="0"/>
              <w:rPr>
                <w:sz w:val="1"/>
                <w:szCs w:val="1"/>
                <w:color w:val="auto"/>
              </w:rPr>
            </w:pPr>
          </w:p>
        </w:tc>
      </w:tr>
      <w:tr>
        <w:trPr>
          <w:trHeight w:val="167"/>
        </w:trPr>
        <w:tc>
          <w:tcPr>
            <w:tcW w:w="8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Utilization of net operating loss</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(419,357)</w:t>
            </w:r>
          </w:p>
        </w:tc>
        <w:tc>
          <w:tcPr>
            <w:tcW w:w="0" w:type="dxa"/>
            <w:vAlign w:val="bottom"/>
          </w:tcPr>
          <w:p>
            <w:pPr>
              <w:spacing w:after="0"/>
              <w:rPr>
                <w:sz w:val="1"/>
                <w:szCs w:val="1"/>
                <w:color w:val="auto"/>
              </w:rPr>
            </w:pPr>
          </w:p>
        </w:tc>
      </w:tr>
      <w:tr>
        <w:trPr>
          <w:trHeight w:val="164"/>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federal income tax expense</w:t>
            </w: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10,477,480</w:t>
            </w:r>
          </w:p>
        </w:tc>
        <w:tc>
          <w:tcPr>
            <w:tcW w:w="0" w:type="dxa"/>
            <w:vAlign w:val="bottom"/>
          </w:tcPr>
          <w:p>
            <w:pPr>
              <w:spacing w:after="0"/>
              <w:rPr>
                <w:sz w:val="1"/>
                <w:szCs w:val="1"/>
                <w:color w:val="auto"/>
              </w:rPr>
            </w:pPr>
          </w:p>
        </w:tc>
      </w:tr>
      <w:tr>
        <w:trPr>
          <w:trHeight w:val="166"/>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state income tax expense (1)</w:t>
            </w: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2,590</w:t>
            </w:r>
          </w:p>
        </w:tc>
        <w:tc>
          <w:tcPr>
            <w:tcW w:w="0" w:type="dxa"/>
            <w:vAlign w:val="bottom"/>
          </w:tcPr>
          <w:p>
            <w:pPr>
              <w:spacing w:after="0"/>
              <w:rPr>
                <w:sz w:val="1"/>
                <w:szCs w:val="1"/>
                <w:color w:val="auto"/>
              </w:rPr>
            </w:pPr>
          </w:p>
        </w:tc>
      </w:tr>
      <w:tr>
        <w:trPr>
          <w:trHeight w:val="17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federal and state income tax (benefit) (2)</w:t>
            </w: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(201,548)</w:t>
            </w:r>
          </w:p>
        </w:tc>
        <w:tc>
          <w:tcPr>
            <w:tcW w:w="0" w:type="dxa"/>
            <w:vAlign w:val="bottom"/>
          </w:tcPr>
          <w:p>
            <w:pPr>
              <w:spacing w:after="0"/>
              <w:rPr>
                <w:sz w:val="1"/>
                <w:szCs w:val="1"/>
                <w:color w:val="auto"/>
              </w:rPr>
            </w:pPr>
          </w:p>
        </w:tc>
      </w:tr>
      <w:tr>
        <w:trPr>
          <w:trHeight w:val="151"/>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w:t>
            </w: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10,278,522</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For the year ended December 31, 2024, the provision for income taxes is comprised of the following:</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2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federal income tax expense</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Current state income tax expense (1)</w:t>
            </w:r>
          </w:p>
        </w:tc>
        <w:tc>
          <w:tcPr>
            <w:tcW w:w="4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w:t>
            </w:r>
          </w:p>
        </w:tc>
        <w:tc>
          <w:tcPr>
            <w:tcW w:w="0" w:type="dxa"/>
            <w:vAlign w:val="bottom"/>
          </w:tcPr>
          <w:p>
            <w:pPr>
              <w:spacing w:after="0"/>
              <w:rPr>
                <w:sz w:val="1"/>
                <w:szCs w:val="1"/>
                <w:color w:val="auto"/>
              </w:rPr>
            </w:pPr>
          </w:p>
        </w:tc>
      </w:tr>
      <w:tr>
        <w:trPr>
          <w:trHeight w:val="17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federal and state income tax (2)</w:t>
            </w: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4,927,561</w:t>
            </w:r>
          </w:p>
        </w:tc>
        <w:tc>
          <w:tcPr>
            <w:tcW w:w="0" w:type="dxa"/>
            <w:vAlign w:val="bottom"/>
          </w:tcPr>
          <w:p>
            <w:pPr>
              <w:spacing w:after="0"/>
              <w:rPr>
                <w:sz w:val="1"/>
                <w:szCs w:val="1"/>
                <w:color w:val="auto"/>
              </w:rPr>
            </w:pPr>
          </w:p>
        </w:tc>
      </w:tr>
      <w:tr>
        <w:trPr>
          <w:trHeight w:val="155"/>
        </w:trPr>
        <w:tc>
          <w:tcPr>
            <w:tcW w:w="8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 tax</w:t>
            </w:r>
          </w:p>
        </w:tc>
        <w:tc>
          <w:tcPr>
            <w:tcW w:w="4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4,929,721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 w:hanging="8"/>
        <w:spacing w:after="0" w:line="264" w:lineRule="auto"/>
        <w:tabs>
          <w:tab w:leader="none" w:pos="182"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year ended December 31, 2025, state income tax consisted of New York state minimum tax of $2,340 and Connecticut minimum tax of $250. For the year ended December 31, 2024, state income tax consists of New York state minimum tax of $2,160.</w:t>
      </w:r>
    </w:p>
    <w:p>
      <w:pPr>
        <w:spacing w:after="0" w:line="110"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years ended December 31, 2025 and 2024, the Company recorded a 100% valuation allowance for state deferred taxes. See state valuation allowance discussion below.</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7" w:right="2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Rate Reconciliation</w:t>
            </w: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86"/>
        </w:trPr>
        <w:tc>
          <w:tcPr>
            <w:tcW w:w="662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For the year ended December 31, 2025, a reconciliation of the federal statutory rate to the Company’s effective tax rate is as follows:</w:t>
            </w:r>
          </w:p>
        </w:tc>
        <w:tc>
          <w:tcPr>
            <w:tcW w:w="1560" w:type="dxa"/>
            <w:vAlign w:val="bottom"/>
          </w:tcPr>
          <w:p>
            <w:pPr>
              <w:spacing w:after="0"/>
              <w:rPr>
                <w:sz w:val="24"/>
                <w:szCs w:val="24"/>
                <w:color w:val="auto"/>
              </w:rPr>
            </w:pPr>
          </w:p>
        </w:tc>
      </w:tr>
      <w:tr>
        <w:trPr>
          <w:trHeight w:val="162"/>
        </w:trPr>
        <w:tc>
          <w:tcPr>
            <w:tcW w:w="496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from operations before taxes</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51,045,650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66"/>
        </w:trPr>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Federal statutory income tax rate</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21 %</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r>
      <w:tr>
        <w:trPr>
          <w:trHeight w:val="165"/>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Taxes at federal statutory rate</w:t>
            </w:r>
          </w:p>
        </w:tc>
        <w:tc>
          <w:tcPr>
            <w:tcW w:w="4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10,719,587</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w:t>
            </w:r>
          </w:p>
        </w:tc>
      </w:tr>
      <w:tr>
        <w:trPr>
          <w:trHeight w:val="167"/>
        </w:trPr>
        <w:tc>
          <w:tcPr>
            <w:tcW w:w="49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State income taxes, net of federal effect</w:t>
            </w:r>
          </w:p>
        </w:tc>
        <w:tc>
          <w:tcPr>
            <w:tcW w:w="480" w:type="dxa"/>
            <w:vAlign w:val="bottom"/>
          </w:tcPr>
          <w:p>
            <w:pPr>
              <w:spacing w:after="0"/>
              <w:rPr>
                <w:sz w:val="14"/>
                <w:szCs w:val="14"/>
                <w:color w:val="auto"/>
              </w:rPr>
            </w:pP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11,013</w:t>
            </w:r>
          </w:p>
        </w:tc>
        <w:tc>
          <w:tcPr>
            <w:tcW w:w="80" w:type="dxa"/>
            <w:vAlign w:val="bottom"/>
          </w:tcPr>
          <w:p>
            <w:pPr>
              <w:spacing w:after="0"/>
              <w:rPr>
                <w:sz w:val="14"/>
                <w:szCs w:val="14"/>
                <w:color w:val="auto"/>
              </w:rPr>
            </w:pPr>
          </w:p>
        </w:tc>
        <w:tc>
          <w:tcPr>
            <w:tcW w:w="15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75"/>
        </w:trPr>
        <w:tc>
          <w:tcPr>
            <w:tcW w:w="4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Nontaxable and nondeductible items</w:t>
            </w: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67"/>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Dividends received deduction</w:t>
            </w:r>
          </w:p>
        </w:tc>
        <w:tc>
          <w:tcPr>
            <w:tcW w:w="48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(51,835)</w:t>
            </w:r>
          </w:p>
        </w:tc>
        <w:tc>
          <w:tcPr>
            <w:tcW w:w="80" w:type="dxa"/>
            <w:vAlign w:val="bottom"/>
          </w:tcPr>
          <w:p>
            <w:pPr>
              <w:spacing w:after="0"/>
              <w:rPr>
                <w:sz w:val="14"/>
                <w:szCs w:val="14"/>
                <w:color w:val="auto"/>
              </w:rPr>
            </w:pP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r>
      <w:tr>
        <w:trPr>
          <w:trHeight w:val="17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Non-taxable investment income</w:t>
            </w: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(167,401)</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r>
      <w:tr>
        <w:trPr>
          <w:trHeight w:val="16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Stock-based compensation</w:t>
            </w:r>
          </w:p>
        </w:tc>
        <w:tc>
          <w:tcPr>
            <w:tcW w:w="480" w:type="dxa"/>
            <w:vAlign w:val="bottom"/>
          </w:tcPr>
          <w:p>
            <w:pPr>
              <w:spacing w:after="0"/>
              <w:rPr>
                <w:sz w:val="14"/>
                <w:szCs w:val="14"/>
                <w:color w:val="auto"/>
              </w:rPr>
            </w:pPr>
          </w:p>
        </w:tc>
        <w:tc>
          <w:tcPr>
            <w:tcW w:w="11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(563,954)</w:t>
            </w:r>
          </w:p>
        </w:tc>
        <w:tc>
          <w:tcPr>
            <w:tcW w:w="80" w:type="dxa"/>
            <w:vAlign w:val="bottom"/>
          </w:tcPr>
          <w:p>
            <w:pPr>
              <w:spacing w:after="0"/>
              <w:rPr>
                <w:sz w:val="14"/>
                <w:szCs w:val="14"/>
                <w:color w:val="auto"/>
              </w:rPr>
            </w:pP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r>
      <w:tr>
        <w:trPr>
          <w:trHeight w:val="17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 nontaxable and nondeductible items</w:t>
            </w: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318,977</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0.6</w:t>
            </w:r>
          </w:p>
        </w:tc>
      </w:tr>
      <w:tr>
        <w:trPr>
          <w:trHeight w:val="166"/>
        </w:trPr>
        <w:tc>
          <w:tcPr>
            <w:tcW w:w="49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Other</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12,135</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r>
      <w:tr>
        <w:trPr>
          <w:trHeight w:val="181"/>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10,278,522</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r>
    </w:tbl>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 ended December 31, 2024, a reconciliation of the federal statutory rate to the Company’s effective tax rate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Computed expected tax expense</w:t>
            </w:r>
          </w:p>
        </w:tc>
        <w:tc>
          <w:tcPr>
            <w:tcW w:w="52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4,890,513</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21.0 %</w:t>
            </w:r>
          </w:p>
        </w:tc>
      </w:tr>
      <w:tr>
        <w:trPr>
          <w:trHeight w:val="167"/>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State taxes, net of Federal benefit</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(431,749)</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r>
      <w:tr>
        <w:trPr>
          <w:trHeight w:val="175"/>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 valuation allowance</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439,905</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1.9 %</w:t>
            </w:r>
          </w:p>
        </w:tc>
      </w:tr>
      <w:tr>
        <w:trPr>
          <w:trHeight w:val="167"/>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Permanent differences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5"/>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Dividends received deduction</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(64,525)</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67"/>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Non-taxable investment income</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(122,194)</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7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Stock-based compensation</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(280,104)</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66"/>
        </w:trPr>
        <w:tc>
          <w:tcPr>
            <w:tcW w:w="5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Sale leaseback transaction</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99,775</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0.4 %</w:t>
            </w:r>
          </w:p>
        </w:tc>
      </w:tr>
      <w:tr>
        <w:trPr>
          <w:trHeight w:val="176"/>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permanent differences</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191,488</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0.8 %</w:t>
            </w:r>
          </w:p>
        </w:tc>
      </w:tr>
      <w:tr>
        <w:trPr>
          <w:trHeight w:val="166"/>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Prior year tax matters</w:t>
            </w: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173,572</w:t>
            </w:r>
          </w:p>
        </w:tc>
        <w:tc>
          <w:tcPr>
            <w:tcW w:w="8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0.8 %</w:t>
            </w:r>
          </w:p>
        </w:tc>
      </w:tr>
      <w:tr>
        <w:trPr>
          <w:trHeight w:val="17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33,040</w:t>
            </w:r>
          </w:p>
        </w:tc>
        <w:tc>
          <w:tcPr>
            <w:tcW w:w="80" w:type="dxa"/>
            <w:vAlign w:val="bottom"/>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0.1 %</w:t>
            </w:r>
          </w:p>
        </w:tc>
      </w:tr>
      <w:tr>
        <w:trPr>
          <w:trHeight w:val="155"/>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as reported</w:t>
            </w:r>
          </w:p>
        </w:tc>
        <w:tc>
          <w:tcPr>
            <w:tcW w:w="5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4,929,721</w:t>
            </w:r>
          </w:p>
        </w:tc>
        <w:tc>
          <w:tcPr>
            <w:tcW w:w="80" w:type="dxa"/>
            <w:vAlign w:val="bottom"/>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21.2 %</w:t>
            </w:r>
          </w:p>
        </w:tc>
      </w:tr>
      <w:tr>
        <w:trPr>
          <w:trHeight w:val="20"/>
        </w:trPr>
        <w:tc>
          <w:tcPr>
            <w:tcW w:w="5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Income Taxes Paid</w:t>
      </w:r>
    </w:p>
    <w:p>
      <w:pPr>
        <w:spacing w:after="0" w:line="16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2"/>
          <w:szCs w:val="12"/>
          <w:color w:val="auto"/>
        </w:rPr>
        <w:t>For the year ended December 31, 2025, the Company paid federal income taxes of $8,028,000 and state income taxes of $250. For the year ended December 31, 2024, the Company did not pay any income taxes due to utilization of net operating losses.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Deferred Tax Asset</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Significant components of the Company’s deferred tax assets and liabilities are as follows: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0"/>
        </w:trPr>
        <w:tc>
          <w:tcPr>
            <w:tcW w:w="8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4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r>
      <w:tr>
        <w:trPr>
          <w:trHeight w:val="326"/>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asset: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6"/>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operating loss carryovers (1)</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419,357</w:t>
            </w:r>
          </w:p>
        </w:tc>
        <w:tc>
          <w:tcPr>
            <w:tcW w:w="80" w:type="dxa"/>
            <w:vAlign w:val="bottom"/>
            <w:shd w:val="clear" w:color="auto" w:fill="CCEEFF"/>
          </w:tcPr>
          <w:p>
            <w:pPr>
              <w:spacing w:after="0"/>
              <w:rPr>
                <w:sz w:val="15"/>
                <w:szCs w:val="15"/>
                <w:color w:val="auto"/>
              </w:rPr>
            </w:pPr>
          </w:p>
        </w:tc>
      </w:tr>
      <w:tr>
        <w:trPr>
          <w:trHeight w:val="167"/>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Claims reserve discount</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1,562,424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1,305,466</w:t>
            </w:r>
          </w:p>
        </w:tc>
        <w:tc>
          <w:tcPr>
            <w:tcW w:w="80" w:type="dxa"/>
            <w:vAlign w:val="bottom"/>
          </w:tcPr>
          <w:p>
            <w:pPr>
              <w:spacing w:after="0"/>
              <w:rPr>
                <w:sz w:val="14"/>
                <w:szCs w:val="14"/>
                <w:color w:val="auto"/>
              </w:rPr>
            </w:pPr>
          </w:p>
        </w:tc>
      </w:tr>
      <w:tr>
        <w:trPr>
          <w:trHeight w:val="175"/>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Unearned premium</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4,948,868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3,810,973</w:t>
            </w:r>
          </w:p>
        </w:tc>
        <w:tc>
          <w:tcPr>
            <w:tcW w:w="80" w:type="dxa"/>
            <w:vAlign w:val="bottom"/>
            <w:shd w:val="clear" w:color="auto" w:fill="CCEEFF"/>
          </w:tcPr>
          <w:p>
            <w:pPr>
              <w:spacing w:after="0"/>
              <w:rPr>
                <w:sz w:val="15"/>
                <w:szCs w:val="15"/>
                <w:color w:val="auto"/>
              </w:rPr>
            </w:pPr>
          </w:p>
        </w:tc>
      </w:tr>
      <w:tr>
        <w:trPr>
          <w:trHeight w:val="167"/>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Deferred ceding commission revenue</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1,756,131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2,423,660</w:t>
            </w:r>
          </w:p>
        </w:tc>
        <w:tc>
          <w:tcPr>
            <w:tcW w:w="80" w:type="dxa"/>
            <w:vAlign w:val="bottom"/>
          </w:tcPr>
          <w:p>
            <w:pPr>
              <w:spacing w:after="0"/>
              <w:rPr>
                <w:sz w:val="14"/>
                <w:szCs w:val="14"/>
                <w:color w:val="auto"/>
              </w:rPr>
            </w:pPr>
          </w:p>
        </w:tc>
      </w:tr>
      <w:tr>
        <w:trPr>
          <w:trHeight w:val="175"/>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Net unrealized losses on securities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1,811,373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3,069,900</w:t>
            </w:r>
          </w:p>
        </w:tc>
        <w:tc>
          <w:tcPr>
            <w:tcW w:w="80" w:type="dxa"/>
            <w:vAlign w:val="bottom"/>
            <w:shd w:val="clear" w:color="auto" w:fill="CCEEFF"/>
          </w:tcPr>
          <w:p>
            <w:pPr>
              <w:spacing w:after="0"/>
              <w:rPr>
                <w:sz w:val="15"/>
                <w:szCs w:val="15"/>
                <w:color w:val="auto"/>
              </w:rPr>
            </w:pPr>
          </w:p>
        </w:tc>
      </w:tr>
      <w:tr>
        <w:trPr>
          <w:trHeight w:val="167"/>
        </w:trPr>
        <w:tc>
          <w:tcPr>
            <w:tcW w:w="8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916,350</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834,921</w:t>
            </w:r>
          </w:p>
        </w:tc>
        <w:tc>
          <w:tcPr>
            <w:tcW w:w="80" w:type="dxa"/>
            <w:vAlign w:val="bottom"/>
            <w:tcBorders>
              <w:bottom w:val="single" w:sz="8" w:color="CCEEFF"/>
            </w:tcBorders>
          </w:tcPr>
          <w:p>
            <w:pPr>
              <w:spacing w:after="0"/>
              <w:rPr>
                <w:sz w:val="14"/>
                <w:szCs w:val="14"/>
                <w:color w:val="auto"/>
              </w:rPr>
            </w:pPr>
          </w:p>
        </w:tc>
      </w:tr>
      <w:tr>
        <w:trPr>
          <w:trHeight w:val="160"/>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deferred tax assets</w:t>
            </w:r>
          </w:p>
        </w:tc>
        <w:tc>
          <w:tcPr>
            <w:tcW w:w="24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10,995,146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11,864,277</w:t>
            </w:r>
          </w:p>
        </w:tc>
        <w:tc>
          <w:tcPr>
            <w:tcW w:w="80" w:type="dxa"/>
            <w:vAlign w:val="bottom"/>
            <w:shd w:val="clear" w:color="auto" w:fill="CCEEFF"/>
          </w:tcPr>
          <w:p>
            <w:pPr>
              <w:spacing w:after="0"/>
              <w:rPr>
                <w:sz w:val="13"/>
                <w:szCs w:val="13"/>
                <w:color w:val="auto"/>
              </w:rPr>
            </w:pPr>
          </w:p>
        </w:tc>
      </w:tr>
      <w:tr>
        <w:trPr>
          <w:trHeight w:val="164"/>
        </w:trPr>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liability:</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Investment in KICO (2)</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759,543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759,543</w:t>
            </w:r>
          </w:p>
        </w:tc>
        <w:tc>
          <w:tcPr>
            <w:tcW w:w="80" w:type="dxa"/>
            <w:vAlign w:val="bottom"/>
          </w:tcPr>
          <w:p>
            <w:pPr>
              <w:spacing w:after="0"/>
              <w:rPr>
                <w:sz w:val="14"/>
                <w:szCs w:val="14"/>
                <w:color w:val="auto"/>
              </w:rPr>
            </w:pPr>
          </w:p>
        </w:tc>
      </w:tr>
      <w:tr>
        <w:trPr>
          <w:trHeight w:val="176"/>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acquisition costs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5,852,113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5,193,798</w:t>
            </w:r>
          </w:p>
        </w:tc>
        <w:tc>
          <w:tcPr>
            <w:tcW w:w="80" w:type="dxa"/>
            <w:vAlign w:val="bottom"/>
            <w:shd w:val="clear" w:color="auto" w:fill="CCEEFF"/>
          </w:tcPr>
          <w:p>
            <w:pPr>
              <w:spacing w:after="0"/>
              <w:rPr>
                <w:sz w:val="15"/>
                <w:szCs w:val="15"/>
                <w:color w:val="auto"/>
              </w:rPr>
            </w:pPr>
          </w:p>
        </w:tc>
      </w:tr>
      <w:tr>
        <w:trPr>
          <w:trHeight w:val="166"/>
        </w:trPr>
        <w:tc>
          <w:tcPr>
            <w:tcW w:w="816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Intangibles</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105,000</w:t>
            </w:r>
          </w:p>
        </w:tc>
        <w:tc>
          <w:tcPr>
            <w:tcW w:w="80" w:type="dxa"/>
            <w:vAlign w:val="bottom"/>
          </w:tcPr>
          <w:p>
            <w:pPr>
              <w:spacing w:after="0"/>
              <w:rPr>
                <w:sz w:val="14"/>
                <w:szCs w:val="14"/>
                <w:color w:val="auto"/>
              </w:rPr>
            </w:pPr>
          </w:p>
        </w:tc>
      </w:tr>
      <w:tr>
        <w:trPr>
          <w:trHeight w:val="176"/>
        </w:trPr>
        <w:tc>
          <w:tcPr>
            <w:tcW w:w="8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98,931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208,016</w:t>
            </w:r>
          </w:p>
        </w:tc>
        <w:tc>
          <w:tcPr>
            <w:tcW w:w="80" w:type="dxa"/>
            <w:vAlign w:val="bottom"/>
            <w:shd w:val="clear" w:color="auto" w:fill="CCEEFF"/>
          </w:tcPr>
          <w:p>
            <w:pPr>
              <w:spacing w:after="0"/>
              <w:rPr>
                <w:sz w:val="15"/>
                <w:szCs w:val="15"/>
                <w:color w:val="auto"/>
              </w:rPr>
            </w:pPr>
          </w:p>
        </w:tc>
      </w:tr>
      <w:tr>
        <w:trPr>
          <w:trHeight w:val="156"/>
        </w:trPr>
        <w:tc>
          <w:tcPr>
            <w:tcW w:w="8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6,815,587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6,266,357</w:t>
            </w:r>
          </w:p>
        </w:tc>
        <w:tc>
          <w:tcPr>
            <w:tcW w:w="80" w:type="dxa"/>
            <w:vAlign w:val="bottom"/>
            <w:tcBorders>
              <w:bottom w:val="single" w:sz="8" w:color="CCEEFF"/>
            </w:tcBorders>
          </w:tcPr>
          <w:p>
            <w:pPr>
              <w:spacing w:after="0"/>
              <w:rPr>
                <w:sz w:val="13"/>
                <w:szCs w:val="13"/>
                <w:color w:val="auto"/>
              </w:rPr>
            </w:pPr>
          </w:p>
        </w:tc>
      </w:tr>
      <w:tr>
        <w:trPr>
          <w:trHeight w:val="164"/>
        </w:trPr>
        <w:tc>
          <w:tcPr>
            <w:tcW w:w="8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deferred income tax asset</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4,179,559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5,597,920</w:t>
            </w:r>
          </w:p>
        </w:tc>
        <w:tc>
          <w:tcPr>
            <w:tcW w:w="80" w:type="dxa"/>
            <w:vAlign w:val="bottom"/>
          </w:tcPr>
          <w:p>
            <w:pPr>
              <w:spacing w:after="0"/>
              <w:rPr>
                <w:sz w:val="14"/>
                <w:szCs w:val="14"/>
                <w:color w:val="auto"/>
              </w:rPr>
            </w:pPr>
          </w:p>
        </w:tc>
      </w:tr>
      <w:tr>
        <w:trPr>
          <w:trHeight w:val="20"/>
        </w:trPr>
        <w:tc>
          <w:tcPr>
            <w:tcW w:w="8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 The deferred tax assets from net operating loss carryovers are as follows:</w:t>
            </w: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4780" w:type="dxa"/>
            <w:vAlign w:val="bottom"/>
            <w:gridSpan w:val="2"/>
            <w:vMerge w:val="restart"/>
          </w:tcPr>
          <w:p>
            <w:pPr>
              <w:ind w:left="2020"/>
              <w:spacing w:after="0"/>
              <w:rPr>
                <w:sz w:val="20"/>
                <w:szCs w:val="20"/>
                <w:color w:val="auto"/>
              </w:rPr>
            </w:pPr>
            <w:r>
              <w:rPr>
                <w:rFonts w:ascii="Times New Roman" w:cs="Times New Roman" w:eastAsia="Times New Roman" w:hAnsi="Times New Roman"/>
                <w:sz w:val="12"/>
                <w:szCs w:val="12"/>
                <w:b w:val="1"/>
                <w:bCs w:val="1"/>
                <w:color w:val="auto"/>
              </w:rPr>
              <w:t>Type of NOL</w:t>
            </w:r>
          </w:p>
        </w:tc>
        <w:tc>
          <w:tcPr>
            <w:tcW w:w="24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24"/>
                <w:szCs w:val="24"/>
                <w:color w:val="auto"/>
              </w:rPr>
            </w:pPr>
          </w:p>
        </w:tc>
        <w:tc>
          <w:tcPr>
            <w:tcW w:w="3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Expiration</w:t>
            </w:r>
          </w:p>
        </w:tc>
        <w:tc>
          <w:tcPr>
            <w:tcW w:w="0" w:type="dxa"/>
            <w:vAlign w:val="bottom"/>
          </w:tcPr>
          <w:p>
            <w:pPr>
              <w:spacing w:after="0"/>
              <w:rPr>
                <w:sz w:val="1"/>
                <w:szCs w:val="1"/>
                <w:color w:val="auto"/>
              </w:rPr>
            </w:pPr>
          </w:p>
        </w:tc>
      </w:tr>
      <w:tr>
        <w:trPr>
          <w:trHeight w:val="159"/>
        </w:trPr>
        <w:tc>
          <w:tcPr>
            <w:tcW w:w="4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c>
          <w:tcPr>
            <w:tcW w:w="3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only, NOL from 2024 and 2023</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419,357</w:t>
            </w:r>
          </w:p>
        </w:tc>
        <w:tc>
          <w:tcPr>
            <w:tcW w:w="8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None</w:t>
            </w:r>
          </w:p>
        </w:tc>
        <w:tc>
          <w:tcPr>
            <w:tcW w:w="0" w:type="dxa"/>
            <w:vAlign w:val="bottom"/>
          </w:tcPr>
          <w:p>
            <w:pPr>
              <w:spacing w:after="0"/>
              <w:rPr>
                <w:sz w:val="1"/>
                <w:szCs w:val="1"/>
                <w:color w:val="auto"/>
              </w:rPr>
            </w:pPr>
          </w:p>
        </w:tc>
      </w:tr>
      <w:tr>
        <w:trPr>
          <w:trHeight w:val="164"/>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State only (A)</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3,421,252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3,075,395</w:t>
            </w:r>
          </w:p>
        </w:tc>
        <w:tc>
          <w:tcPr>
            <w:tcW w:w="80" w:type="dxa"/>
            <w:vAlign w:val="bottom"/>
            <w:shd w:val="clear" w:color="auto" w:fill="CCEEFF"/>
          </w:tcPr>
          <w:p>
            <w:pPr>
              <w:spacing w:after="0"/>
              <w:rPr>
                <w:sz w:val="14"/>
                <w:szCs w:val="14"/>
                <w:color w:val="auto"/>
              </w:rPr>
            </w:pPr>
          </w:p>
        </w:tc>
        <w:tc>
          <w:tcPr>
            <w:tcW w:w="3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December 2027 - December 2043</w:t>
            </w:r>
          </w:p>
        </w:tc>
        <w:tc>
          <w:tcPr>
            <w:tcW w:w="0" w:type="dxa"/>
            <w:vAlign w:val="bottom"/>
          </w:tcPr>
          <w:p>
            <w:pPr>
              <w:spacing w:after="0"/>
              <w:rPr>
                <w:sz w:val="1"/>
                <w:szCs w:val="1"/>
                <w:color w:val="auto"/>
              </w:rPr>
            </w:pPr>
          </w:p>
        </w:tc>
      </w:tr>
      <w:tr>
        <w:trPr>
          <w:trHeight w:val="166"/>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Valuation allowance</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(3,421,252)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(3,075,395)</w:t>
            </w:r>
          </w:p>
        </w:tc>
        <w:tc>
          <w:tcPr>
            <w:tcW w:w="8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State only, net of valuation allowance</w:t>
            </w: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3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deferred tax asset from net operating loss carryovers</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419,357</w:t>
            </w:r>
          </w:p>
        </w:tc>
        <w:tc>
          <w:tcPr>
            <w:tcW w:w="8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400" w:hanging="3"/>
        <w:spacing w:after="0" w:line="249" w:lineRule="auto"/>
        <w:tabs>
          <w:tab w:leader="none" w:pos="606"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Kingstone generates operating losses for state purposes and has prior year NOLs available. The state NOL as of December 31, 2025 and 2024 was approximately $52,634,646 and $47,313,775, respectively. KICO, the Company’s insurance underwriting subsidiary, is not subject to state income taxes. KICO’s state tax obligations are paid through a gross premiums tax, which is included in the consolidated statements of income and comprehensive income within other underwriting expenses. Kingstone has recorded a valuation allowance due to the uncertainty of generating enough state taxable income to utilize 100% of the available state NOLs over their remaining lives, which expire between 2027 and 2044.</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 Deferred tax liability - investment in KICO</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2"/>
          <w:szCs w:val="12"/>
          <w:color w:val="auto"/>
        </w:rPr>
        <w:t>On July 1, 2009, the Company completed the acquisition of 100% of the issued and outstanding common stock of KICO (formerly known as Commercial Mutual Insurance Company (“CMIC”)) pursuant to the conversion of CMIC from an advance premium cooperative insurance company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(collectively the “Untaxed Interest”). As of the date of acquisition, the deferred tax liability on the Untaxed Interest was $1,169,000. Under GAAP guidance for business combinations, a temporary difference with an indefinite life exists when the parent company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The table below reconciles the changes in net deferred income tax assets (liabilities) to the deferred income tax benefit for the year ended December 31, 2025:</w:t>
            </w: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8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net deferred income tax assets</w:t>
            </w:r>
          </w:p>
        </w:tc>
        <w:tc>
          <w:tcPr>
            <w:tcW w:w="120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1,418,361</w:t>
            </w:r>
          </w:p>
        </w:tc>
        <w:tc>
          <w:tcPr>
            <w:tcW w:w="80" w:type="dxa"/>
            <w:vAlign w:val="bottom"/>
            <w:shd w:val="clear" w:color="auto" w:fill="CCEEFF"/>
          </w:tcPr>
          <w:p>
            <w:pPr>
              <w:spacing w:after="0"/>
              <w:rPr>
                <w:sz w:val="13"/>
                <w:szCs w:val="13"/>
                <w:color w:val="auto"/>
              </w:rPr>
            </w:pPr>
          </w:p>
        </w:tc>
      </w:tr>
      <w:tr>
        <w:trPr>
          <w:trHeight w:val="153"/>
        </w:trPr>
        <w:tc>
          <w:tcPr>
            <w:tcW w:w="8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Deferred tax expense allocated to other comprehensive income</w:t>
            </w:r>
          </w:p>
        </w:tc>
        <w:tc>
          <w:tcPr>
            <w:tcW w:w="1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1,619,909</w:t>
            </w:r>
          </w:p>
        </w:tc>
        <w:tc>
          <w:tcPr>
            <w:tcW w:w="80" w:type="dxa"/>
            <w:vAlign w:val="bottom"/>
            <w:tcBorders>
              <w:bottom w:val="single" w:sz="8" w:color="CCEEFF"/>
            </w:tcBorders>
          </w:tcPr>
          <w:p>
            <w:pPr>
              <w:spacing w:after="0"/>
              <w:rPr>
                <w:sz w:val="13"/>
                <w:szCs w:val="13"/>
                <w:color w:val="auto"/>
              </w:rPr>
            </w:pPr>
          </w:p>
        </w:tc>
      </w:tr>
      <w:tr>
        <w:trPr>
          <w:trHeight w:val="158"/>
        </w:trPr>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 benefit</w:t>
            </w:r>
          </w:p>
        </w:tc>
        <w:tc>
          <w:tcPr>
            <w:tcW w:w="12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(201,548)</w:t>
            </w:r>
          </w:p>
        </w:tc>
        <w:tc>
          <w:tcPr>
            <w:tcW w:w="80" w:type="dxa"/>
            <w:vAlign w:val="bottom"/>
            <w:tcBorders>
              <w:bottom w:val="single" w:sz="8" w:color="CCEEFF"/>
            </w:tcBorders>
            <w:shd w:val="clear" w:color="auto" w:fill="CCEEFF"/>
          </w:tcPr>
          <w:p>
            <w:pPr>
              <w:spacing w:after="0"/>
              <w:rPr>
                <w:sz w:val="13"/>
                <w:szCs w:val="13"/>
                <w:color w:val="auto"/>
              </w:rPr>
            </w:pPr>
          </w:p>
        </w:tc>
      </w:tr>
    </w:tbl>
    <w:p>
      <w:pPr>
        <w:spacing w:after="0" w:line="1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Uncertain Tax Positions</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Company had no material unrecognized tax benefit and no adjustments to liabilities or operations were required. There were no interest or penalties related to income taxes that have been accrued or recognized as of and for the years ended December 31, 2025 and 2024. If any had been recognized these would have been reported in income tax expense.</w:t>
      </w:r>
    </w:p>
    <w:p>
      <w:pPr>
        <w:spacing w:after="0" w:line="11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Generally, taxing authorities may examine the Company’s tax returns for the three years from the date of filing. The Company’s tax returns for the years ended December 31, 2022 through December 31, 2024 remain subject to examination.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 Employee Benefit Plans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Bonus Plans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Employee Bonus Plan</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For the years ended December 31, 2025 and 2024, the Company accrued approximately $2,434,000 and $2,091,000, respectively ("Cash Payments"), related to an employee bonus plan (the "Bonus Plan"), of which $555,000 and $477,000, respectively, is allocated and recorded in loss and LAE, and $1,879,000 and $1,614,000, respectively, is recorded in other underwriting expenses on the accompanying Consolidated Statements of Income and Comprehensive Income. In addition to the Cash Payments, the Bonus Plan also calls for a restricted stock award to the Company's senior leadership team ("SLT") and other members of management if certain performance metrics have been met. The performance metrics for the years ended December 31, 2025 and 2024 have been met, and accordingly, the SLT and other members of management received in March 2026 and March 2025 RSA's for an aggregate of 57,258 shares and 58,755 shares, respectively, of the Company's Common Stock valued at approximately $964,000 and $892,000, respectively. For the years ended December 31, 2025and 2024, the Company accrued approximately $266,000 and $278,000, respectively, of stock-based</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compensation recorded in other operating expenses on the accompanying Consolidated Statements of Income and Comprehensive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Executive Bonus Plan</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For the years ended December 31, 2025 and 2024, the Company accrued approximately $688,000 and $496,000, respectively, for a bonus pursuant to the Third Amended Golden Employment Agreement and the Second Amended Golden Employment Agreement, respectively, of which $619,000 and $446,000, respectively, is recorded in other underwriting expenses, and $68,000 and $50,000, respectively, is recorded in other operating expenses on the accompanying Consolidated Statements of Income and Comprehensive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401 (k) Plan</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$341,000 and $270,000 of expense for the years ended December 31, 2025 and 2024, respectively, related to the 401(k) Plan, which is recorded in other underwriting expenses on the accompanying Consolidated Statements of Income and Comprehensive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Deferred Compensation Plan</w:t>
      </w:r>
    </w:p>
    <w:p>
      <w:pPr>
        <w:spacing w:after="0" w:line="14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June 18, 2018, the Company adopted the Kingstone Companies, Inc. Deferred Compensation Plan (the "Deferred Compensation Plan"). Effective December 22, 2022, the Company terminated the Deferred Compensation Plan. The assets of the Deferred Compensation Plan were liquidated in September 2024, by making payments to participants in full satisfaction of their interest in the Deferred Compensation Plan.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17 - Commitments and Contingencies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Litigation</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Office Leases</w:t>
      </w:r>
    </w:p>
    <w:p>
      <w:pPr>
        <w:spacing w:after="0" w:line="14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2"/>
          <w:szCs w:val="12"/>
          <w:color w:val="auto"/>
        </w:rPr>
        <w:t>On February 10, 2025, KICO entered into a lease agreement for an office facility located in Kingston, New York under an operating lease. The lease commenced on March 1, 2025 (the "Commencement Date") and will expire on March 31, 2030. KICO has the option to renew the lease for an additional term of five years. KICO may terminate the lease anytime following the third anniversary of the Commencement Date if its insurance business is sold or substantially all of the Company's assets are sold. Base rent over the term of the lease is $269,777 plus a proportionate share of taxes, common area maintenance costs and insurance.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was a party to a non-cancellable operating lease, dated March 27, 2015, for its office facility for KICO located in Valley Stream, New York which expired on March 31, 2024. The lease was not renewed.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Additional information regarding the Company’s office operating leases is as follows: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300"/>
        </w:trPr>
        <w:tc>
          <w:tcPr>
            <w:tcW w:w="8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200" w:type="dxa"/>
            <w:vAlign w:val="bottom"/>
          </w:tcPr>
          <w:p>
            <w:pPr>
              <w:spacing w:after="0"/>
              <w:rPr>
                <w:sz w:val="24"/>
                <w:szCs w:val="24"/>
                <w:color w:val="auto"/>
              </w:rPr>
            </w:pPr>
          </w:p>
        </w:tc>
        <w:tc>
          <w:tcPr>
            <w:tcW w:w="13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Year ended</w:t>
            </w:r>
          </w:p>
        </w:tc>
      </w:tr>
      <w:tr>
        <w:trPr>
          <w:trHeight w:val="163"/>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Lease cost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65"/>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44,638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41,342</w:t>
            </w:r>
          </w:p>
        </w:tc>
      </w:tr>
      <w:tr>
        <w:trPr>
          <w:trHeight w:val="178"/>
        </w:trPr>
        <w:tc>
          <w:tcPr>
            <w:tcW w:w="8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2"/>
                <w:szCs w:val="12"/>
                <w:color w:val="auto"/>
              </w:rPr>
              <w:t>Total lease cost</w:t>
            </w:r>
          </w:p>
        </w:tc>
        <w:tc>
          <w:tcPr>
            <w:tcW w:w="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44,638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41,342</w:t>
            </w:r>
          </w:p>
        </w:tc>
      </w:tr>
      <w:tr>
        <w:trPr>
          <w:trHeight w:val="169"/>
        </w:trPr>
        <w:tc>
          <w:tcPr>
            <w:tcW w:w="8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67"/>
        </w:trPr>
        <w:tc>
          <w:tcPr>
            <w:tcW w:w="8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Other information on operating leases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payments included in the measurement of lease</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1"/>
        </w:trPr>
        <w:tc>
          <w:tcPr>
            <w:tcW w:w="80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liability reported in operating cash flows</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40,845</w:t>
            </w:r>
          </w:p>
        </w:tc>
        <w:tc>
          <w:tcPr>
            <w:tcW w:w="80" w:type="dxa"/>
            <w:vAlign w:val="bottom"/>
          </w:tcPr>
          <w:p>
            <w:pPr>
              <w:spacing w:after="0"/>
              <w:rPr>
                <w:sz w:val="14"/>
                <w:szCs w:val="14"/>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49,145</w:t>
            </w:r>
          </w:p>
        </w:tc>
      </w:tr>
      <w:tr>
        <w:trPr>
          <w:trHeight w:val="171"/>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Discount rate</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13.75 %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5.50 %</w:t>
            </w:r>
          </w:p>
        </w:tc>
      </w:tr>
      <w:tr>
        <w:trPr>
          <w:trHeight w:val="171"/>
        </w:trPr>
        <w:tc>
          <w:tcPr>
            <w:tcW w:w="8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Remaining lease term in years</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bl>
    <w:p>
      <w:pPr>
        <w:spacing w:after="0" w:line="200" w:lineRule="exact"/>
        <w:rPr>
          <w:sz w:val="20"/>
          <w:szCs w:val="20"/>
          <w:color w:val="auto"/>
        </w:rPr>
      </w:pPr>
    </w:p>
    <w:p>
      <w:pPr>
        <w:spacing w:after="0" w:line="302"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Operating lease right-of-use assets, included in other assets, were $136,209 and $0 as of December 31, 2025 and 2024, respectively. Operating lease right-of-use liabilities, included in accounts payable, accrued expenses and other liabilities, were $136,209 and $0 as of December 31, 2025 and 2024, respectively.</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Rent expense for the years ended December 31, 2025 and 2024 amounted to $44,638 and $41,342, respectively, and is included in the accompanying Consolidated Statements of Income and Comprehensive Income within other underwriting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Employment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Meryl Golden, President and Chief Executive Officer; formerly Chief Operating Officer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Employment Agreement effective as of January 1, 2023</w:t>
      </w:r>
    </w:p>
    <w:p>
      <w:pPr>
        <w:spacing w:after="0" w:line="14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June 27, 2022, the Company and Ms. Golden entered into a second amended and restated employment agreement which took effect as of January 1, 2023, and expired on December 31, 2024 (the “Second Amended Golden Employment Agreement”).</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2"/>
          <w:szCs w:val="12"/>
          <w:color w:val="auto"/>
        </w:rPr>
        <w:t>Pursuant to the Second Amended Golden Employment Agreement, Ms. Golden was entitled to receive an annual base salary of $500,000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salary. In addition, pursuant to the Second Amended Golden Employment Agreement, Ms. Golden was granted, under the terms of the 2014 Plan, during each of January 2023 and January 2024, a number of shares of restricted stock determined by dividing $136,500 by the fair market value of the Company’s Common Stock on the date of grant. In January 2023, Ms. Golden was granted 101,111 shares of restricted stock pursuant to this provision. The 2023 grant vested with respect to one-half of the award on the first anniversary of the grant date and one-half of the award on December 31, 2024, based on the continued provision of services through such dates. In January 2024, Ms. Golden was granted 64,085 shares of restricted stock pursuant to this provision. The 2024 grant vested on January 2, 2025, based on the continued provision of services through such date.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as of October 1, 2023, Ms. Golden was appointed to the position of President and Chief Executive Officer of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Employment Agreement to be effective as of January 1, 2025</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On April 15, 2024, the Company and Ms. Golden entered into a third amended and restated employment agreement (the “Third Amended Golden Employment Agreement”). The Third Amended Golden Employment Agreement was effective as of January 1, 2025 and, as amended, extends the expiration date of the Second Amended Golden Employment Agreement currently in effect for Ms. Golden from December 31, 2025 to January 10, 2027. Pursuant to the Third Amended Golden Employment Agreement, Ms. Golden is entitled to receive an annual base salary of $550,000 (increased from $500,000 previously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 provided for in the Second Amended Golden Employment Agreement). Pursuant to the Third Amended Golden Employment Agreement, Ms. Golden received during January 2025, and January 2026, a grant of 40,000 shares of restricted stock. The 2025 grant will become vested with respect to one-half of the award on the first anniversary of the grant date and one-half on December 31, 2026. The 2026 grant will become vested on the first anniversary of the grant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Randy Patten, Chief Financial Officer, Vice President and Treasurer (effective August 25, 2025)</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July 23, 2025, the Company and Randy Patten entered into an employment agreement (the “Patten Employment Agreement”) pursuant to which Mr. Patten serves as the Company’s Chief Financial Officer, Vice President and Treasurer. Mr. Patten also serves as KICO’s Chief Financial Officer, Vice President and Treasurer. The Patten Employment Agreement was effective as of August 25, 2025 (the "Effective Date") and will expire on August 25, 2028 (the "Expiration Date"). The term of the Patten Employment Agreement shall automatically be extended for one year periods beyond the Expiration Date unless either party provides written notice to the other party, no later than four months preceding the Expiration Date (or the end of the term, if extended), of its or his desire that the term not be extended.</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Pursuant to the Patten Employment Agreement, Mr. Patten is entitled to receive an annual base salary of $400,000 and shall participate in the Company's Bonus Plan, including with respect to the SLT RSA bonus, each as described in Note 16 – Employee Benefit Plans, Employee Bonus Plan. In accordance with the Bonus Plan, Mr. Patten's cash bonus target will be 25% of his base salary. Pursuant to the Patten Employment Agreement, Mr. Patten's minimum cash bonus for the calendar year ended December 31, 2025 was $35,000.</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September 12, 2025, the Company paid to Mr. Patten a sign-on bonus of $200,000 (the “Sign-on Bonus”). In the event that, prior to the first anniversary of the Effective Date, Mr. Patten's employment with the Company is terminated by the Company for cause (as defined in the Patten Employment Agreement) or by Mr. Patten without good reason (as defined in the Patten Employment Agreement), Mr. Patten would be obligated to promptly repay the Sign-on Bonus to the Company. At its option, the Company shall have the right to offset such Sign-on Bonus repayment obligation against any and all amounts payable to Mr. Patten.</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Pursuant to the Patten Employment Agreement, Mr. Patten was entitled to receive a restricted stock grant of a number of shares of Common Stock determined by dividing $600,000 by the fair market value of the Company’s Common Stock on the date of grant. On the Effective Date, Mr. Patten was granted 43,290 shares of restricted stock pursuant to this provision. Such stock grant will become vested with respect to 25% of the award on each of the first and second anniversaries of the grant date and 50% on the third anniversary of the grant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xml:space="preserve">Barry Goldstein, formerly Executive Chairman of the Board, President and Chief Executive Officer </w:t>
      </w:r>
      <w:r>
        <w:rPr>
          <w:rFonts w:ascii="Times New Roman" w:cs="Times New Roman" w:eastAsia="Times New Roman" w:hAnsi="Times New Roman"/>
          <w:sz w:val="12"/>
          <w:szCs w:val="12"/>
          <w:color w:val="auto"/>
        </w:rPr>
        <w:t>(retired effective September 10, 2024)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Upon Mr. Goldstein's retirement on September 10, 2024, the balance of his previously unvested shares became fully vested.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 Earnings Per Common Share</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Basic net earnings per common share is computed by dividing net income by the weighted-average number of shares of Common Stock outstanding. Diluted earnings per common share reflects, in periods in which it has a dilutive effect, the impact of common shares issuable upon exercise of stock options and warrants as well as non-vested restricted stock awards. The computation of diluted earnings per common share excludes those options and warrants with an exercise price in excess of the average market price of the Company’s Common Stock during the periods presented. For the years ended December 31, 2025 and 2024, there were -0- and 2,828 options, respectively, with an exercise price in excess of the average market price of the Company’s Common Stock during the period. For the years ended December 31, 2025 and 2024, there were no warrants with an exercise price in excess of the average market price of the Company’s Common Stock during the period.</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computation of diluted earnings per common share excludes outstanding options, warrants and non-vested restricted stock awards in periods where the exercise of such options and warrants or vesting of such restricted stock awards would be anti-dilutive. For the years ended December 31, 2025 and 2024, there were no options, warrants or restricted stock awards that were anti-dilutive for the relevant periods.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reconciliation of the weighted average number of shares of Common Stock used in the calculation of basic and diluted earnings per common share follows:</w:t>
      </w:r>
    </w:p>
    <w:p>
      <w:pPr>
        <w:spacing w:after="0" w:line="182"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21"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2"/>
        </w:trPr>
        <w:tc>
          <w:tcPr>
            <w:tcW w:w="8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1"/>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13,926,024</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11,478,899</w:t>
            </w:r>
          </w:p>
        </w:tc>
      </w:tr>
      <w:tr>
        <w:trPr>
          <w:trHeight w:val="171"/>
        </w:trPr>
        <w:tc>
          <w:tcPr>
            <w:tcW w:w="8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dilutive securities, common share equivalents:</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6"/>
        </w:trPr>
        <w:tc>
          <w:tcPr>
            <w:tcW w:w="9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Stock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171,449</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205,961</w:t>
            </w:r>
          </w:p>
        </w:tc>
      </w:tr>
      <w:tr>
        <w:trPr>
          <w:trHeight w:val="176"/>
        </w:trPr>
        <w:tc>
          <w:tcPr>
            <w:tcW w:w="91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Warrants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554,516</w:t>
            </w:r>
          </w:p>
        </w:tc>
      </w:tr>
      <w:tr>
        <w:trPr>
          <w:trHeight w:val="166"/>
        </w:trPr>
        <w:tc>
          <w:tcPr>
            <w:tcW w:w="91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Restricted stock awards</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45,700</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184,393</w:t>
            </w:r>
          </w:p>
        </w:tc>
      </w:tr>
      <w:tr>
        <w:trPr>
          <w:trHeight w:val="165"/>
        </w:trPr>
        <w:tc>
          <w:tcPr>
            <w:tcW w:w="82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167"/>
        </w:trPr>
        <w:tc>
          <w:tcPr>
            <w:tcW w:w="9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number of shares outstanding,</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2"/>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used for computing diluted earnings per share</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14,143,173</w:t>
            </w:r>
          </w:p>
        </w:tc>
        <w:tc>
          <w:tcPr>
            <w:tcW w:w="10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12,423,769</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 Segment Information</w:t>
      </w:r>
    </w:p>
    <w:p>
      <w:pPr>
        <w:spacing w:after="0" w:line="14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reports results of operations for its reportable segments consistent with the manner in which its chief operating decision maker ("CODM") reviews the business to assess performance and allocate resources. The Company identifies its CODM to be its President and Chief Executive Officer.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evaluates the results of its single reportable segment as follows:</w:t>
      </w:r>
    </w:p>
    <w:p>
      <w:pPr>
        <w:spacing w:after="0" w:line="150" w:lineRule="exact"/>
        <w:rPr>
          <w:sz w:val="20"/>
          <w:szCs w:val="20"/>
          <w:color w:val="auto"/>
        </w:rPr>
      </w:pPr>
    </w:p>
    <w:p>
      <w:pPr>
        <w:ind w:left="420" w:right="20"/>
        <w:spacing w:after="0" w:line="264" w:lineRule="auto"/>
        <w:rPr>
          <w:sz w:val="20"/>
          <w:szCs w:val="20"/>
          <w:color w:val="auto"/>
        </w:rPr>
      </w:pPr>
      <w:r>
        <w:rPr>
          <w:rFonts w:ascii="Times New Roman" w:cs="Times New Roman" w:eastAsia="Times New Roman" w:hAnsi="Times New Roman"/>
          <w:sz w:val="12"/>
          <w:szCs w:val="12"/>
          <w:color w:val="auto"/>
        </w:rPr>
        <w:t>Insurance operations are evaluated on (i) underwriting results (net premiums earned, ceding commission earned, other income, loss and loss adjustment expenses, commission expense, and other underwriting expenses), equating to the components of the net combined ratio.</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Investments from the insurance operation are primarily evaluated on net investment income and its return on equity contribution.</w:t>
      </w:r>
    </w:p>
    <w:p>
      <w:pPr>
        <w:spacing w:after="0" w:line="150" w:lineRule="exact"/>
        <w:rPr>
          <w:sz w:val="20"/>
          <w:szCs w:val="20"/>
          <w:color w:val="auto"/>
        </w:rPr>
      </w:pPr>
    </w:p>
    <w:p>
      <w:pPr>
        <w:ind w:left="420"/>
        <w:spacing w:after="0" w:line="248" w:lineRule="auto"/>
        <w:rPr>
          <w:sz w:val="20"/>
          <w:szCs w:val="20"/>
          <w:color w:val="auto"/>
        </w:rPr>
      </w:pPr>
      <w:r>
        <w:rPr>
          <w:rFonts w:ascii="Times New Roman" w:cs="Times New Roman" w:eastAsia="Times New Roman" w:hAnsi="Times New Roman"/>
          <w:sz w:val="12"/>
          <w:szCs w:val="12"/>
          <w:color w:val="auto"/>
        </w:rPr>
        <w:t>Net (losses) gains on investments, gain on sale of real estate, other operating expenses are corporate expenses, depreciation and amortization, interest expense, and income tax, which are broken out below the insurance operations components of the net combined ratio to return to the consolidated net income.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30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2"/>
          <w:szCs w:val="12"/>
          <w:color w:val="auto"/>
        </w:rPr>
        <w:t>The Company's CODM uses these measures of profit or loss predominantly in the annual budget and forecasting process, considering budget-to-actual variances throughout the year. The CODM also uses these profit measures for evaluating (i) financial performance, (ii) pricing in the Company's insurance operations, and (iii) employee compensation.</w:t>
      </w:r>
    </w:p>
    <w:p>
      <w:pPr>
        <w:spacing w:after="0" w:line="13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2"/>
          <w:szCs w:val="12"/>
          <w:color w:val="auto"/>
        </w:rPr>
        <w:t>The Company does not allocate items not included in the net combined ratio. Such items include net gains on investments, depreciation and amortization, interest expense, corporate expenses included in other operating expenses, and assets to these segments. The Company does not allocate income taxes to its segments. The Company does not manage those segments on after-tax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reconciles the revenue and expense components of the net combined ratio to consolidated net income for the periods presented.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94"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1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5"/>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Revenue components of net combined ratio</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7"/>
        </w:trPr>
        <w:tc>
          <w:tcPr>
            <w:tcW w:w="8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premiums earned</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187,126,722</w:t>
            </w:r>
          </w:p>
        </w:tc>
        <w:tc>
          <w:tcPr>
            <w:tcW w:w="8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128,497,920</w:t>
            </w:r>
          </w:p>
        </w:tc>
      </w:tr>
      <w:tr>
        <w:trPr>
          <w:trHeight w:val="17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Ceding commission revenue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15,674,971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18,837,946</w:t>
            </w:r>
          </w:p>
        </w:tc>
      </w:tr>
      <w:tr>
        <w:trPr>
          <w:trHeight w:val="166"/>
        </w:trPr>
        <w:tc>
          <w:tcPr>
            <w:tcW w:w="8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Other income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610,212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549,967</w:t>
            </w:r>
          </w:p>
        </w:tc>
      </w:tr>
      <w:tr>
        <w:trPr>
          <w:trHeight w:val="160"/>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revenue components of net combined ratio</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203,411,905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147,885,833</w:t>
            </w:r>
          </w:p>
        </w:tc>
      </w:tr>
      <w:tr>
        <w:trPr>
          <w:trHeight w:val="165"/>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Expense components of net combined ratio</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6"/>
        </w:trPr>
        <w:tc>
          <w:tcPr>
            <w:tcW w:w="81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84,265,722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62,634,716</w:t>
            </w:r>
          </w:p>
        </w:tc>
      </w:tr>
      <w:tr>
        <w:trPr>
          <w:trHeight w:val="176"/>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Commission expense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40,726,801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33,929,333</w:t>
            </w:r>
          </w:p>
        </w:tc>
      </w:tr>
      <w:tr>
        <w:trPr>
          <w:trHeight w:val="167"/>
        </w:trPr>
        <w:tc>
          <w:tcPr>
            <w:tcW w:w="8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31,718,770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25,692,727</w:t>
            </w:r>
          </w:p>
        </w:tc>
      </w:tr>
      <w:tr>
        <w:trPr>
          <w:trHeight w:val="16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 expense components of net combined ratio</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156,711,293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122,256,776</w:t>
            </w:r>
          </w:p>
        </w:tc>
      </w:tr>
      <w:tr>
        <w:trPr>
          <w:trHeight w:val="164"/>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Operating segment net income</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46,700,612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25,629,057</w:t>
            </w:r>
          </w:p>
        </w:tc>
      </w:tr>
      <w:tr>
        <w:trPr>
          <w:trHeight w:val="165"/>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Reconciliation of net income components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6"/>
        </w:trPr>
        <w:tc>
          <w:tcPr>
            <w:tcW w:w="81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excluded from net combined ratio:</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5"/>
        </w:trPr>
        <w:tc>
          <w:tcPr>
            <w:tcW w:w="8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67"/>
        </w:trPr>
        <w:tc>
          <w:tcPr>
            <w:tcW w:w="8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Revenue components excluded from net combined ratio</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investment income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9,798,764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6,823,590</w:t>
            </w:r>
          </w:p>
        </w:tc>
      </w:tr>
      <w:tr>
        <w:trPr>
          <w:trHeight w:val="166"/>
        </w:trPr>
        <w:tc>
          <w:tcPr>
            <w:tcW w:w="81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(losses) gains on investments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(309,994)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414,551</w:t>
            </w:r>
          </w:p>
        </w:tc>
      </w:tr>
      <w:tr>
        <w:trPr>
          <w:trHeight w:val="176"/>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Realized gain on sale of real estate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1,965,989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8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Other income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18,129</w:t>
            </w:r>
          </w:p>
        </w:tc>
      </w:tr>
      <w:tr>
        <w:trPr>
          <w:trHeight w:val="156"/>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revenue components excluded</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7"/>
        </w:trPr>
        <w:tc>
          <w:tcPr>
            <w:tcW w:w="8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from net combined ratio</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11,455,396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7,256,270</w:t>
            </w:r>
          </w:p>
        </w:tc>
      </w:tr>
      <w:tr>
        <w:trPr>
          <w:trHeight w:val="164"/>
        </w:trPr>
        <w:tc>
          <w:tcPr>
            <w:tcW w:w="8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7"/>
        </w:trPr>
        <w:tc>
          <w:tcPr>
            <w:tcW w:w="81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Expense components excluded from net combined ratio</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Other operating expenses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4,105,310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3,634,583</w:t>
            </w:r>
          </w:p>
        </w:tc>
      </w:tr>
      <w:tr>
        <w:trPr>
          <w:trHeight w:val="166"/>
        </w:trPr>
        <w:tc>
          <w:tcPr>
            <w:tcW w:w="8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2,559,835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2,448,932</w:t>
            </w:r>
          </w:p>
        </w:tc>
      </w:tr>
      <w:tr>
        <w:trPr>
          <w:trHeight w:val="175"/>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445,213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3,513,655</w:t>
            </w:r>
          </w:p>
        </w:tc>
      </w:tr>
      <w:tr>
        <w:trPr>
          <w:trHeight w:val="167"/>
        </w:trPr>
        <w:tc>
          <w:tcPr>
            <w:tcW w:w="8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Income tax</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10,278,522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4,929,721</w:t>
            </w:r>
          </w:p>
        </w:tc>
      </w:tr>
      <w:tr>
        <w:trPr>
          <w:trHeight w:val="155"/>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expense components excluded</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7"/>
        </w:trPr>
        <w:tc>
          <w:tcPr>
            <w:tcW w:w="8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from net combined ratio</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17,388,880</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14,526,891</w:t>
            </w:r>
          </w:p>
        </w:tc>
      </w:tr>
      <w:tr>
        <w:trPr>
          <w:trHeight w:val="165"/>
        </w:trPr>
        <w:tc>
          <w:tcPr>
            <w:tcW w:w="8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6"/>
        </w:trPr>
        <w:tc>
          <w:tcPr>
            <w:tcW w:w="81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Total net loss components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excluded from net combined ratio:</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(5,933,484)</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(7,270,621)</w:t>
            </w:r>
          </w:p>
        </w:tc>
      </w:tr>
      <w:tr>
        <w:trPr>
          <w:trHeight w:val="165"/>
        </w:trPr>
        <w:tc>
          <w:tcPr>
            <w:tcW w:w="8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7"/>
        </w:trPr>
        <w:tc>
          <w:tcPr>
            <w:tcW w:w="8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Consolidated net income</w:t>
            </w:r>
          </w:p>
        </w:tc>
        <w:tc>
          <w:tcPr>
            <w:tcW w:w="34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40,767,128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18,358,436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shows the calculation of the net combined ratio and return on equity from net investment income for the periods presented.</w:t>
      </w:r>
    </w:p>
    <w:p>
      <w:pPr>
        <w:spacing w:after="0" w:line="18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2"/>
          <w:szCs w:val="12"/>
          <w:b w:val="1"/>
          <w:bCs w:val="1"/>
          <w:color w:val="auto"/>
        </w:rPr>
        <w:t>Years ended</w:t>
      </w:r>
    </w:p>
    <w:p>
      <w:pPr>
        <w:spacing w:after="0" w:line="13"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2"/>
          <w:szCs w:val="12"/>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98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5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combined ratio</w:t>
            </w: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66"/>
        </w:trPr>
        <w:tc>
          <w:tcPr>
            <w:tcW w:w="90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Net loss ratio</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45.0 %</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48.7 %</w:t>
            </w:r>
          </w:p>
        </w:tc>
      </w:tr>
      <w:tr>
        <w:trPr>
          <w:trHeight w:val="176"/>
        </w:trPr>
        <w:tc>
          <w:tcPr>
            <w:tcW w:w="9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31.3 %</w:t>
            </w:r>
          </w:p>
        </w:tc>
      </w:tr>
      <w:tr>
        <w:trPr>
          <w:trHeight w:val="178"/>
        </w:trPr>
        <w:tc>
          <w:tcPr>
            <w:tcW w:w="7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Net combined ratio</w:t>
            </w:r>
          </w:p>
        </w:tc>
        <w:tc>
          <w:tcPr>
            <w:tcW w:w="10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75.0 %</w:t>
            </w:r>
          </w:p>
        </w:tc>
        <w:tc>
          <w:tcPr>
            <w:tcW w:w="10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80.0 %</w:t>
            </w:r>
          </w:p>
        </w:tc>
      </w:tr>
      <w:tr>
        <w:trPr>
          <w:trHeight w:val="160"/>
        </w:trPr>
        <w:tc>
          <w:tcPr>
            <w:tcW w:w="79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Reconciliation of net underwriting expense ratio:</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6"/>
        </w:trPr>
        <w:tc>
          <w:tcPr>
            <w:tcW w:w="7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Commission expense and other</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7"/>
        </w:trPr>
        <w:tc>
          <w:tcPr>
            <w:tcW w:w="7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underwriting expenses</w:t>
            </w:r>
          </w:p>
        </w:tc>
        <w:tc>
          <w:tcPr>
            <w:tcW w:w="46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72,445,571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59,622,060</w:t>
            </w:r>
          </w:p>
        </w:tc>
      </w:tr>
      <w:tr>
        <w:trPr>
          <w:trHeight w:val="175"/>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Less: Ceding commission revenue</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(15,674,971)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(18,837,946)</w:t>
            </w:r>
          </w:p>
        </w:tc>
      </w:tr>
      <w:tr>
        <w:trPr>
          <w:trHeight w:val="167"/>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Less: Other income</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(610,212)</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(549,967)</w:t>
            </w:r>
          </w:p>
        </w:tc>
      </w:tr>
      <w:tr>
        <w:trPr>
          <w:trHeight w:val="155"/>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commission expense and other</w:t>
            </w: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9"/>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underwriting expenses</w:t>
            </w: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56,160,388</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40,234,147</w:t>
            </w:r>
          </w:p>
        </w:tc>
      </w:tr>
      <w:tr>
        <w:trPr>
          <w:trHeight w:val="160"/>
        </w:trPr>
        <w:tc>
          <w:tcPr>
            <w:tcW w:w="7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9"/>
        </w:trPr>
        <w:tc>
          <w:tcPr>
            <w:tcW w:w="7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Net earned premium</w:t>
            </w: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187,126,722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128,497,920</w:t>
            </w:r>
          </w:p>
        </w:tc>
      </w:tr>
      <w:tr>
        <w:trPr>
          <w:trHeight w:val="160"/>
        </w:trPr>
        <w:tc>
          <w:tcPr>
            <w:tcW w:w="7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7"/>
        </w:trPr>
        <w:tc>
          <w:tcPr>
            <w:tcW w:w="7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underwriting expense ratio</w:t>
            </w: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30.0 %</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31.3 %</w:t>
            </w:r>
          </w:p>
        </w:tc>
      </w:tr>
      <w:tr>
        <w:trPr>
          <w:trHeight w:val="184"/>
        </w:trPr>
        <w:tc>
          <w:tcPr>
            <w:tcW w:w="7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66"/>
        </w:trPr>
        <w:tc>
          <w:tcPr>
            <w:tcW w:w="7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Return on equity on net investment income</w:t>
            </w: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7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Stockholders' equity beginning of period</w:t>
            </w: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66,708,451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34,504,139</w:t>
            </w:r>
          </w:p>
        </w:tc>
      </w:tr>
      <w:tr>
        <w:trPr>
          <w:trHeight w:val="167"/>
        </w:trPr>
        <w:tc>
          <w:tcPr>
            <w:tcW w:w="7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Stockholders' equity end of period</w:t>
            </w: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122,731,249</w:t>
            </w:r>
          </w:p>
        </w:tc>
        <w:tc>
          <w:tcPr>
            <w:tcW w:w="100" w:type="dxa"/>
            <w:vAlign w:val="bottom"/>
          </w:tcPr>
          <w:p>
            <w:pPr>
              <w:spacing w:after="0"/>
              <w:rPr>
                <w:sz w:val="14"/>
                <w:szCs w:val="14"/>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66,708,451</w:t>
            </w:r>
          </w:p>
        </w:tc>
      </w:tr>
      <w:tr>
        <w:trPr>
          <w:trHeight w:val="175"/>
        </w:trPr>
        <w:tc>
          <w:tcPr>
            <w:tcW w:w="7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Average stockholders' equity</w:t>
            </w: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94,719,850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50,606,295</w:t>
            </w:r>
          </w:p>
        </w:tc>
      </w:tr>
      <w:tr>
        <w:trPr>
          <w:trHeight w:val="167"/>
        </w:trPr>
        <w:tc>
          <w:tcPr>
            <w:tcW w:w="7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investment income</w:t>
            </w: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9,798,764</w:t>
            </w:r>
          </w:p>
        </w:tc>
        <w:tc>
          <w:tcPr>
            <w:tcW w:w="100" w:type="dxa"/>
            <w:vAlign w:val="bottom"/>
          </w:tcPr>
          <w:p>
            <w:pPr>
              <w:spacing w:after="0"/>
              <w:rPr>
                <w:sz w:val="14"/>
                <w:szCs w:val="14"/>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6,823,590</w:t>
            </w:r>
          </w:p>
        </w:tc>
      </w:tr>
      <w:tr>
        <w:trPr>
          <w:trHeight w:val="175"/>
        </w:trPr>
        <w:tc>
          <w:tcPr>
            <w:tcW w:w="7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Return on equity on net investment income</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r>
      <w:tr>
        <w:trPr>
          <w:trHeight w:val="162"/>
        </w:trPr>
        <w:tc>
          <w:tcPr>
            <w:tcW w:w="79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assets</w:t>
            </w: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453,425,151</w:t>
            </w:r>
          </w:p>
        </w:tc>
        <w:tc>
          <w:tcPr>
            <w:tcW w:w="100" w:type="dxa"/>
            <w:vAlign w:val="bottom"/>
          </w:tcPr>
          <w:p>
            <w:pPr>
              <w:spacing w:after="0"/>
              <w:rPr>
                <w:sz w:val="14"/>
                <w:szCs w:val="14"/>
                <w:color w:val="auto"/>
              </w:rPr>
            </w:pPr>
          </w:p>
        </w:tc>
        <w:tc>
          <w:tcPr>
            <w:tcW w:w="46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374,915,843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27" w:right="3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20 - Sale of Real Estate</w:t>
      </w:r>
    </w:p>
    <w:p>
      <w:pPr>
        <w:spacing w:after="0" w:line="15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2"/>
          <w:szCs w:val="12"/>
          <w:color w:val="auto"/>
        </w:rPr>
        <w:t>On February 5, 2025, a subsidiary of the Company entered into a contract of sale with Ulster County, New York (the “County”) for the sale to the County of the Company’s headquarters building in Kingston, New York, along with an adjacent mixed-use property (collectively, the “Property”). The purchase price for the Property was $3,600,000. The closing of the sale was on March 19, 2025.</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21 - Subsequent Events</w:t>
      </w:r>
    </w:p>
    <w:p>
      <w:pPr>
        <w:spacing w:after="0" w:line="14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 has evaluated events that occurred subsequent to December 31, 2025 through March 16, 2026, the date these consolidated financial statements were issued, for matters that required disclosure or adjustment in these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Reinsurance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January 1, 2026, the Company entered into a new quota share reinsurance treaty for its personal lines business and a new underlying excess of loss treaty (see Note 7 – Reinsurance).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Employee Stock Purchase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Effective January 1, 2026, the Company initiated an offering period of January 1, 2026 through December 31, 2026 under the ESPP. See Note 12 - Stockholders' Equity.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Dividend Declared</w:t>
      </w:r>
    </w:p>
    <w:p>
      <w:pPr>
        <w:spacing w:after="0" w:line="14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January 21, 2026, the Company’s Board of Directors approved a quarterly dividend of $0.05 per share payable in cash on February 26, 2025 to stockholders of record as of the close of business on February 11, 2026. See Note 12 – Stockholders’ Equity.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Statutory 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19, 2026, KICO paid a dividend of $1,800,000 to the Holding Company. See Note 13 - Statutory Financial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2026 Guidance</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During the first quarter of 2026, winter weather in the Northeast United States has been more severe than recent winters with losses incurred from seven catastrophe events during the months of January and February 2026. The 2026 guidance disclosed in the Company's Form 8-K filing on March 5, 2026, assumes higher-than-average catastrophe losses in the first quarter and full year of 2026.</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03440"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i w:val="1"/>
          <w:iCs w:val="1"/>
          <w:u w:val="single" w:color="auto"/>
          <w:color w:val="0000FF"/>
        </w:rPr>
        <w:t>Table of Contents</w:t>
      </w:r>
    </w:p>
    <w:p>
      <w:pPr>
        <w:spacing w:after="0" w:line="1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2"/>
          <w:szCs w:val="12"/>
          <w:b w:val="1"/>
          <w:bCs w:val="1"/>
          <w:color w:val="auto"/>
        </w:rPr>
        <w:t>KINGSTONE COMPANIES, INC. AND SUBSIDIARIES</w:t>
      </w:r>
    </w:p>
    <w:p>
      <w:pPr>
        <w:spacing w:after="0" w:line="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2025 AND 2024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22 – Quarterly Financial Data (Unaudited)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is a summary of unaudited quarterly results of operations for the years ended December 31,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4"/>
        </w:trPr>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30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2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4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60" w:type="dxa"/>
            <w:vAlign w:val="bottom"/>
          </w:tcPr>
          <w:p>
            <w:pPr>
              <w:spacing w:after="0"/>
              <w:rPr>
                <w:sz w:val="14"/>
                <w:szCs w:val="14"/>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0"/>
        </w:trPr>
        <w:tc>
          <w:tcPr>
            <w:tcW w:w="3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43,523,063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46,215,260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47,925,053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49,463,346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187,126,722</w:t>
            </w:r>
          </w:p>
        </w:tc>
        <w:tc>
          <w:tcPr>
            <w:tcW w:w="80" w:type="dxa"/>
            <w:vAlign w:val="bottom"/>
            <w:shd w:val="clear" w:color="auto" w:fill="CCEEFF"/>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Ceding commission revenue</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2,958,691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3,081,556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4,900,401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4,734,323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15,674,971</w:t>
            </w:r>
          </w:p>
        </w:tc>
        <w:tc>
          <w:tcPr>
            <w:tcW w:w="80" w:type="dxa"/>
            <w:vAlign w:val="bottom"/>
          </w:tcPr>
          <w:p>
            <w:pPr>
              <w:spacing w:after="0"/>
              <w:rPr>
                <w:sz w:val="14"/>
                <w:szCs w:val="14"/>
                <w:color w:val="auto"/>
              </w:rPr>
            </w:pPr>
          </w:p>
        </w:tc>
      </w:tr>
      <w:tr>
        <w:trPr>
          <w:trHeight w:val="17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2,048,596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2,300,267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2,499,071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2,950,830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9,798,764</w:t>
            </w:r>
          </w:p>
        </w:tc>
        <w:tc>
          <w:tcPr>
            <w:tcW w:w="80" w:type="dxa"/>
            <w:vAlign w:val="bottom"/>
            <w:shd w:val="clear" w:color="auto" w:fill="CCEEFF"/>
          </w:tcPr>
          <w:p>
            <w:pPr>
              <w:spacing w:after="0"/>
              <w:rPr>
                <w:sz w:val="15"/>
                <w:szCs w:val="15"/>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Net (losses) gains on investments</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(137,979)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546,451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182,122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(900,588)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(309,994)</w:t>
            </w:r>
          </w:p>
        </w:tc>
        <w:tc>
          <w:tcPr>
            <w:tcW w:w="80" w:type="dxa"/>
            <w:vAlign w:val="bottom"/>
          </w:tcPr>
          <w:p>
            <w:pPr>
              <w:spacing w:after="0"/>
              <w:rPr>
                <w:sz w:val="14"/>
                <w:szCs w:val="14"/>
                <w:color w:val="auto"/>
              </w:rPr>
            </w:pPr>
          </w:p>
        </w:tc>
      </w:tr>
      <w:tr>
        <w:trPr>
          <w:trHeight w:val="17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Realized gain on sale of real estate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1,965,989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1,965,989</w:t>
            </w:r>
          </w:p>
        </w:tc>
        <w:tc>
          <w:tcPr>
            <w:tcW w:w="80" w:type="dxa"/>
            <w:vAlign w:val="bottom"/>
            <w:shd w:val="clear" w:color="auto" w:fill="CCEEFF"/>
          </w:tcPr>
          <w:p>
            <w:pPr>
              <w:spacing w:after="0"/>
              <w:rPr>
                <w:sz w:val="15"/>
                <w:szCs w:val="15"/>
                <w:color w:val="auto"/>
              </w:rPr>
            </w:pPr>
          </w:p>
        </w:tc>
      </w:tr>
      <w:tr>
        <w:trPr>
          <w:trHeight w:val="166"/>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50,498,775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52,294,779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55,652,490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56,421,257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214,867,301</w:t>
            </w:r>
          </w:p>
        </w:tc>
        <w:tc>
          <w:tcPr>
            <w:tcW w:w="80" w:type="dxa"/>
            <w:vAlign w:val="bottom"/>
          </w:tcPr>
          <w:p>
            <w:pPr>
              <w:spacing w:after="0"/>
              <w:rPr>
                <w:sz w:val="14"/>
                <w:szCs w:val="14"/>
                <w:color w:val="auto"/>
              </w:rPr>
            </w:pPr>
          </w:p>
        </w:tc>
      </w:tr>
      <w:tr>
        <w:trPr>
          <w:trHeight w:val="17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27,175,078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17,927,162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21,232,324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17,931,158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84,265,722</w:t>
            </w:r>
          </w:p>
        </w:tc>
        <w:tc>
          <w:tcPr>
            <w:tcW w:w="80" w:type="dxa"/>
            <w:vAlign w:val="bottom"/>
            <w:shd w:val="clear" w:color="auto" w:fill="CCEEFF"/>
          </w:tcPr>
          <w:p>
            <w:pPr>
              <w:spacing w:after="0"/>
              <w:rPr>
                <w:sz w:val="15"/>
                <w:szCs w:val="15"/>
                <w:color w:val="auto"/>
              </w:rPr>
            </w:pPr>
          </w:p>
        </w:tc>
      </w:tr>
      <w:tr>
        <w:trPr>
          <w:trHeight w:val="166"/>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Commission expense and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16,718,302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18,356,996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18,666,524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18,703,749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72,445,571</w:t>
            </w:r>
          </w:p>
        </w:tc>
        <w:tc>
          <w:tcPr>
            <w:tcW w:w="80" w:type="dxa"/>
            <w:vAlign w:val="bottom"/>
            <w:shd w:val="clear" w:color="auto" w:fill="CCEEFF"/>
          </w:tcPr>
          <w:p>
            <w:pPr>
              <w:spacing w:after="0"/>
              <w:rPr>
                <w:sz w:val="15"/>
                <w:szCs w:val="15"/>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3,882,660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11,252,332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10,872,475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14,759,661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40,767,128</w:t>
            </w:r>
          </w:p>
        </w:tc>
        <w:tc>
          <w:tcPr>
            <w:tcW w:w="80" w:type="dxa"/>
            <w:vAlign w:val="bottom"/>
          </w:tcPr>
          <w:p>
            <w:pPr>
              <w:spacing w:after="0"/>
              <w:rPr>
                <w:sz w:val="14"/>
                <w:szCs w:val="14"/>
                <w:color w:val="auto"/>
              </w:rPr>
            </w:pPr>
          </w:p>
        </w:tc>
      </w:tr>
      <w:tr>
        <w:trPr>
          <w:trHeight w:val="17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earnings per share</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shd w:val="clear" w:color="auto" w:fill="CCEEFF"/>
          </w:tcPr>
          <w:p>
            <w:pPr>
              <w:spacing w:after="0"/>
              <w:rPr>
                <w:sz w:val="15"/>
                <w:szCs w:val="15"/>
                <w:color w:val="auto"/>
              </w:rPr>
            </w:pPr>
          </w:p>
        </w:tc>
      </w:tr>
      <w:tr>
        <w:trPr>
          <w:trHeight w:val="162"/>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0.27</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0.78</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0.74</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w:t>
            </w:r>
          </w:p>
        </w:tc>
        <w:tc>
          <w:tcPr>
            <w:tcW w:w="80" w:type="dxa"/>
            <w:vAlign w:val="bottom"/>
          </w:tcPr>
          <w:p>
            <w:pPr>
              <w:spacing w:after="0"/>
              <w:rPr>
                <w:sz w:val="14"/>
                <w:szCs w:val="14"/>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3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300" w:type="dxa"/>
            <w:vAlign w:val="bottom"/>
          </w:tcPr>
          <w:p>
            <w:pPr>
              <w:spacing w:after="0"/>
              <w:rPr>
                <w:sz w:val="13"/>
                <w:szCs w:val="13"/>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260" w:type="dxa"/>
            <w:vAlign w:val="bottom"/>
          </w:tcPr>
          <w:p>
            <w:pPr>
              <w:spacing w:after="0"/>
              <w:rPr>
                <w:sz w:val="13"/>
                <w:szCs w:val="13"/>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4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6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60"/>
        </w:trPr>
        <w:tc>
          <w:tcPr>
            <w:tcW w:w="33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premiums earned</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28,819,902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30,303,612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33,407,194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35,967,212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128,497,920</w:t>
            </w:r>
          </w:p>
        </w:tc>
        <w:tc>
          <w:tcPr>
            <w:tcW w:w="80" w:type="dxa"/>
            <w:vAlign w:val="bottom"/>
            <w:shd w:val="clear" w:color="auto" w:fill="CCEEFF"/>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Ceding commission revenue</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4,567,111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4,561,961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4,741,676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4,967,198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18,837,946</w:t>
            </w:r>
          </w:p>
        </w:tc>
        <w:tc>
          <w:tcPr>
            <w:tcW w:w="80" w:type="dxa"/>
            <w:vAlign w:val="bottom"/>
          </w:tcPr>
          <w:p>
            <w:pPr>
              <w:spacing w:after="0"/>
              <w:rPr>
                <w:sz w:val="14"/>
                <w:szCs w:val="14"/>
                <w:color w:val="auto"/>
              </w:rPr>
            </w:pPr>
          </w:p>
        </w:tc>
      </w:tr>
      <w:tr>
        <w:trPr>
          <w:trHeight w:val="17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income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1,502,860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1,764,596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1,649,673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1,906,461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6,823,590</w:t>
            </w:r>
          </w:p>
        </w:tc>
        <w:tc>
          <w:tcPr>
            <w:tcW w:w="80" w:type="dxa"/>
            <w:vAlign w:val="bottom"/>
            <w:shd w:val="clear" w:color="auto" w:fill="CCEEFF"/>
          </w:tcPr>
          <w:p>
            <w:pPr>
              <w:spacing w:after="0"/>
              <w:rPr>
                <w:sz w:val="15"/>
                <w:szCs w:val="15"/>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Net gains (losses) on investments</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726,391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(233,606)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826,522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(904,756)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414,551</w:t>
            </w:r>
          </w:p>
        </w:tc>
        <w:tc>
          <w:tcPr>
            <w:tcW w:w="80" w:type="dxa"/>
            <w:vAlign w:val="bottom"/>
          </w:tcPr>
          <w:p>
            <w:pPr>
              <w:spacing w:after="0"/>
              <w:rPr>
                <w:sz w:val="14"/>
                <w:szCs w:val="14"/>
                <w:color w:val="auto"/>
              </w:rPr>
            </w:pPr>
          </w:p>
        </w:tc>
      </w:tr>
      <w:tr>
        <w:trPr>
          <w:trHeight w:val="17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revenues</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35,765,177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36,502,115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40,771,728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42,103,083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155,142,103</w:t>
            </w:r>
          </w:p>
        </w:tc>
        <w:tc>
          <w:tcPr>
            <w:tcW w:w="80" w:type="dxa"/>
            <w:vAlign w:val="bottom"/>
            <w:shd w:val="clear" w:color="auto" w:fill="CCEEFF"/>
          </w:tcPr>
          <w:p>
            <w:pPr>
              <w:spacing w:after="0"/>
              <w:rPr>
                <w:sz w:val="15"/>
                <w:szCs w:val="15"/>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Loss and loss adjustment expenses</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17,859,587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14,238,308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13,027,597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17,509,224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62,634,716</w:t>
            </w:r>
          </w:p>
        </w:tc>
        <w:tc>
          <w:tcPr>
            <w:tcW w:w="80" w:type="dxa"/>
            <w:vAlign w:val="bottom"/>
          </w:tcPr>
          <w:p>
            <w:pPr>
              <w:spacing w:after="0"/>
              <w:rPr>
                <w:sz w:val="14"/>
                <w:szCs w:val="14"/>
                <w:color w:val="auto"/>
              </w:rPr>
            </w:pPr>
          </w:p>
        </w:tc>
      </w:tr>
      <w:tr>
        <w:trPr>
          <w:trHeight w:val="17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Commission expense and</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33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underwriting expenses</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13,732,417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14,133,005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15,898,844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15,857,794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59,622,060</w:t>
            </w:r>
          </w:p>
        </w:tc>
        <w:tc>
          <w:tcPr>
            <w:tcW w:w="80" w:type="dxa"/>
            <w:vAlign w:val="bottom"/>
          </w:tcPr>
          <w:p>
            <w:pPr>
              <w:spacing w:after="0"/>
              <w:rPr>
                <w:sz w:val="14"/>
                <w:szCs w:val="14"/>
                <w:color w:val="auto"/>
              </w:rPr>
            </w:pPr>
          </w:p>
        </w:tc>
      </w:tr>
      <w:tr>
        <w:trPr>
          <w:trHeight w:val="17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1,426,679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4,514,937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6,978,145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5,438,675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18,358,436</w:t>
            </w:r>
          </w:p>
        </w:tc>
        <w:tc>
          <w:tcPr>
            <w:tcW w:w="80" w:type="dxa"/>
            <w:vAlign w:val="bottom"/>
            <w:shd w:val="clear" w:color="auto" w:fill="CCEEFF"/>
          </w:tcPr>
          <w:p>
            <w:pPr>
              <w:spacing w:after="0"/>
              <w:rPr>
                <w:sz w:val="15"/>
                <w:szCs w:val="15"/>
                <w:color w:val="auto"/>
              </w:rPr>
            </w:pPr>
          </w:p>
        </w:tc>
      </w:tr>
      <w:tr>
        <w:trPr>
          <w:trHeight w:val="167"/>
        </w:trPr>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Basic earnings per share</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8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0.61</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0.44</w:t>
            </w:r>
          </w:p>
        </w:tc>
        <w:tc>
          <w:tcPr>
            <w:tcW w:w="8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80" w:type="dxa"/>
            <w:vAlign w:val="bottom"/>
          </w:tcPr>
          <w:p>
            <w:pPr>
              <w:spacing w:after="0"/>
              <w:rPr>
                <w:sz w:val="14"/>
                <w:szCs w:val="14"/>
                <w:color w:val="auto"/>
              </w:rPr>
            </w:pPr>
          </w:p>
        </w:tc>
      </w:tr>
      <w:tr>
        <w:trPr>
          <w:trHeight w:val="175"/>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earnings per share</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80" w:type="dxa"/>
            <w:vAlign w:val="bottom"/>
            <w:shd w:val="clear" w:color="auto" w:fill="CCEEFF"/>
          </w:tcPr>
          <w:p>
            <w:pPr>
              <w:spacing w:after="0"/>
              <w:rPr>
                <w:sz w:val="15"/>
                <w:szCs w:val="15"/>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Due to changes in number of shares outstanding from quarter to quarter, the total earnings per share of the four quarters may not necessarily equal the total earnings per share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F-60</w:t>
      </w:r>
    </w:p>
    <w:p>
      <w:pPr>
        <w:sectPr>
          <w:pgSz w:w="11900" w:h="16838" w:orient="portrait"/>
          <w:cols w:equalWidth="0" w:num="1">
            <w:col w:w="11300"/>
          </w:cols>
          <w:pgMar w:left="300" w:top="127" w:right="2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9"/>
          <w:szCs w:val="19"/>
          <w:b w:val="1"/>
          <w:bCs w:val="1"/>
          <w:color w:val="auto"/>
        </w:rPr>
        <w:t>Effective as of 08/28/24</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KINGSTONE COMPANIES, INC.</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BY-LAWS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OFFICES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The principal office of the corporation in the State of Delaware shall be in the City of Wilmington, County of New Castle.</w:t>
      </w:r>
    </w:p>
    <w:p>
      <w:pPr>
        <w:spacing w:after="0" w:line="172"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The corporation may also have offices at such other places both within and without the State of Delaware as the board of directors may from time to time determine or the business of the corporation may require.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MEETINGS OF STOCKHOLDERS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All meetings of the stockholders shall be held at such time and place as may be fixed from time to time by the board of directors of the corporation.</w:t>
      </w:r>
    </w:p>
    <w:p>
      <w:pPr>
        <w:spacing w:after="0" w:line="172"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Annual meetings of stockholders shall be held for the election of directors of the corporation. At such annual meeting, the stockholders shall elect a board of directors by a plurality vote (as provided in Section 10 of this Article II), and shall transact such other business as may properly be brought before the meeting. To be properly brought before an annual meeting, business must be (a) specified in the notice of meeting (or any supplement thereto) given by, at the direction of or upon authority granted by the board of directors, (b) otherwise brought before the meeting by, at the direction of or upon authority granted by the board of directors, or (c) subject to Section 12 hereof, otherwise properly brought before the meeting by a stockholder. For business to be properly brought before an annual meeting by a stockholder, the stockholder must have given timely notice thereof in writing to the secretary of the corporation. To be timely, a stockholder’ s notice must be received at the principal executive offices of the corporation not less than 60 days nor more than 90 days prior to the date which is one year from the date of the mailing of the corporation’s notice regarding the availability of proxy materials for the prior year’s annual meeting of stockholders. If during the prior year the corporation did not hold an annual meeting, or if the date of the meeting for which a stockholder intends to submit a proposal has changed more than 30 days from the date of the meeting in the prior year, then such notice must be received a reasonable time before the corporation mails the notice regarding the availability of proxy materials for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141" w:right="299" w:bottom="1440" w:gutter="0" w:footer="0" w:header="0"/>
        </w:sectPr>
      </w:pPr>
    </w:p>
    <w:bookmarkStart w:id="143" w:name="page144"/>
    <w:bookmarkEnd w:id="143"/>
    <w:p>
      <w:pPr>
        <w:jc w:val="both"/>
        <w:ind w:firstLine="864"/>
        <w:spacing w:after="0" w:line="265" w:lineRule="auto"/>
        <w:rPr>
          <w:sz w:val="20"/>
          <w:szCs w:val="20"/>
          <w:color w:val="auto"/>
        </w:rPr>
      </w:pPr>
      <w:r>
        <w:rPr>
          <w:rFonts w:ascii="Times New Roman" w:cs="Times New Roman" w:eastAsia="Times New Roman" w:hAnsi="Times New Roman"/>
          <w:sz w:val="14"/>
          <w:szCs w:val="14"/>
          <w:color w:val="auto"/>
        </w:rPr>
        <w:t>A stockholder’s notice to the secretary must set forth as to each matter the stockholder proposes to bring before the annual meeting (a) a brief description of the business desired to be brought before the annual meeting, and the reasons for conducting such business at the annual meeting, (b) the name and address, as they appear on the corporation’s books, of the stockholder proposing such business, (c) the class and number of shares of the corporation which are beneficially owned by the stockholder, and (d) any material interest of the stockholder in such business. Notwithstanding anything in the By-Laws to the contrary, but subject to Section 12 hereof, no business shall be conducted at an annual meeting except in accordance with the procedures set forth in this Section 2. The chairman of an annual meeting shall, if the facts warrant, determine and declare to the meeting that business was not properly brought before the meeting in accordance with the provisions of this Section 2, and, if he should so determine, he shall so declare to the meeting, and any such business not properly brought before the meeting shall not be transacted.</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Written notice of the annual meeting shall be given to each stockholder entitled to vote thereat not less than ten nor more than sixty days before the date of the meeting.</w:t>
      </w:r>
    </w:p>
    <w:p>
      <w:pPr>
        <w:spacing w:after="0" w:line="17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officer who has charge of the stock ledger of the corporation shall prepare and make, at least ten days before every election of directors, a complete list of the stockholders entitled to vote at said election, arranged in alphabetical order, showing the address and number of shares registered in the name of each stockholder. Such list shall be open to the examination of any stockholder, during ordinary business hours, for a period of at least ten days prior to the election, either at a place within the city, town or village where the election is to be held and which place shall be specified in the notice of the meeting, or, if not specified, at the place where said meeting is to be held, and the list shall be produced and kept at the time and place of election during the whole time thereof, and subject to the inspection of any stockholder who may be present.</w:t>
      </w:r>
    </w:p>
    <w:p>
      <w:pPr>
        <w:spacing w:after="0" w:line="127"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Special meetings of the stockholders, for any purpose or purposes, unless otherwise prescribed by statute or by the certificate of incorporation, shall be called by the secretary of the corporation at the request in writing of a majority of the entire board of directors. Such request shall state the purpose or purposes of the proposed meeting.</w:t>
      </w:r>
    </w:p>
    <w:p>
      <w:pPr>
        <w:spacing w:after="0" w:line="11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Written notice of a special meeting of stockholders, stating the time, place and purposes thereof, shall be given to each stockholder entitled to vote thereat, not less ten nor more than sixty days before the date fixed for the meeting.</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Business transacted at any special meeting of stockholders shall be limited to the purposes stated in the notice.</w:t>
      </w:r>
    </w:p>
    <w:p>
      <w:pPr>
        <w:spacing w:after="0" w:line="172"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44" w:name="page145"/>
    <w:bookmarkEnd w:id="144"/>
    <w:p>
      <w:pPr>
        <w:jc w:val="both"/>
        <w:spacing w:after="0" w:line="268" w:lineRule="auto"/>
        <w:rPr>
          <w:sz w:val="20"/>
          <w:szCs w:val="20"/>
          <w:color w:val="auto"/>
        </w:rPr>
      </w:pPr>
      <w:r>
        <w:rPr>
          <w:rFonts w:ascii="Times New Roman" w:cs="Times New Roman" w:eastAsia="Times New Roman" w:hAnsi="Times New Roman"/>
          <w:sz w:val="14"/>
          <w:szCs w:val="14"/>
          <w:color w:val="auto"/>
        </w:rPr>
        <w:t>represented by proxy, shall have power to adjourn the meeting from time to time, without notice other than announcement at the meeting, until a quorum shall be present or represented. In addition, whether or not a quorum is then present, the Chairman of the Board of the corporation shall have the power and authority to adjourn any meeting of stockholders at any time prior to or during such meeting for any reason without notice other than announcement at the meeting. At any such adjourned meeting at which a quorum shall be present or represented, any business may be transacted which might have been transacted at the meeting as originally notified.</w:t>
      </w:r>
    </w:p>
    <w:p>
      <w:pPr>
        <w:spacing w:after="0" w:line="136"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a statute, the by-laws or the certificate of incorporation, a different vote is required in which case such express provision shall govern and control the decision of such question.</w:t>
      </w:r>
    </w:p>
    <w:p>
      <w:pPr>
        <w:spacing w:after="0" w:line="12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Except as provided in the certificate of incorporation,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 At all elections of directors of the corporation, each stockholder having voting power shall be entitled to exercise the right of cumulative voting as provided in the certificate of incorporation.</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Whenever the vote of stockholders at a meeting thereof is required or permitted to be taken in connection with any corporate action by any provisions of the statutes or of the certificate of incorporation, the meeting and vote of stockholders may be dispensed with, if all the stockholders who would have been entitled to vote upon the action if such meeting were held shall consent in writing to such corporate action being taken unless such action has been authorized by the board of directors, in which event such action may be taken by the written consent of the holders of not less than a majority of the shares of capital stock entitled to vote upon such action.</w:t>
      </w:r>
    </w:p>
    <w:p>
      <w:pPr>
        <w:spacing w:after="0" w:line="136"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Only persons who are nominated in accordance with the procedures set forth in this Section 12 shall be qualified for election as directors. Nominations of persons for election to the board of directors of the corporation may be made at a meeting of stockholders by or at the direction of the board of directors or by any stockholder of the corporation entitled to vote for the election of directors at the meeting who complies with the procedures set forth in this Section 12. In order for persons nominated to the board of directors, other than those persons nominated by or at the direction of the board of directors, to be qualified to serve on the board of directors, such nomination shall be made pursuant to timely notice in writing to the secretary of the corporation. To be timely, a stockholder’s notice must be received at the principal executive offices of the corporation not less than 60 days nor more than 90 days prior to the meeting; provided, however, that, in the event that less than 70 days’ notice of the date of the meeting is given to stockholders and public disclosure of the meeting date, pursuant to a press release, is either not made or is made less than 70 days prior to the meeting date, then notice by the stockholder to be timely must be so received not later than the close of business on the tenth day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color w:val="auto"/>
        </w:rPr>
        <w:t>following the earlier of (a) the day on which such notice of the date of the meeting was mailed to stockholders or (b) the day on which such public disclosure was made.</w:t>
      </w:r>
    </w:p>
    <w:p>
      <w:pPr>
        <w:spacing w:after="0" w:line="172"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14"/>
          <w:szCs w:val="14"/>
          <w:color w:val="auto"/>
        </w:rPr>
        <w:t>A stockholder’s notice to the secretary must set forth (a) as to each person whom the stockholder proposes to nominate for election or re-election as a director (i) the name, age, business address and residence address of such person, (ii) the principal occupation or employment of such person, (iii) the class and number of shares of the corporation which are beneficially owned by such person and (iv) any other information relating to such person that is required to be disclosed in solicitation of proxies for election of directors, or is otherwise required, in each case pursuant to Regulation 14A promulgated under the Securities Exchange Act of 1934, as amended from time to time (including, without limitation, such documentation as is required by Regulation 14A to confirm that such person is a bona fide nominee); and (b) as to the stockholder giving the notice (i) the name and address, as they appear on the corporation’s books, of such stockholder and (ii) the class and number of shares of the corporation which are beneficially owned by such stockholder. At the request of the board of directors, any person nominated by the board of directors for election as a director shall furnish to the secretary of the corporation that information required to be set forth in a stockholder’s notice of nomination which pertains to the nominee. No person shall be qualified for election as a director of the corporation unless nominated in accordance with the procedures set forth in this Section 12. The chairman of the meeting shall, if the facts warrant, determine and declare to the meeting that a nomination was not made in accordance with procedures prescribed by the By-Laws, and, if he should so determine, he shall so declare to the meeting, and the defective nomination shall be disregarded.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III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DIRECTORS</w:t>
      </w:r>
    </w:p>
    <w:p>
      <w:pPr>
        <w:spacing w:after="0" w:line="172" w:lineRule="exact"/>
        <w:rPr>
          <w:sz w:val="20"/>
          <w:szCs w:val="20"/>
          <w:color w:val="auto"/>
        </w:rPr>
      </w:pPr>
    </w:p>
    <w:p>
      <w:pPr>
        <w:jc w:val="both"/>
        <w:ind w:firstLine="432"/>
        <w:spacing w:after="0" w:line="296" w:lineRule="auto"/>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The number of directors which shall constitute the whole board shall be fixed from time to time by the board of directors of the corporation. The directors shall be elected at the annual meeting of the stockholders, except as provided in Section 2 of this Article, and each director elected shall hold office until his successor is elected and qualified. Directors need not be stockholders.</w:t>
      </w:r>
    </w:p>
    <w:p>
      <w:pPr>
        <w:spacing w:after="0" w:line="287"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4"/>
          <w:szCs w:val="14"/>
          <w:color w:val="auto"/>
        </w:rPr>
        <w:t>In the event that, during any period beginning with the adjournment of a particular annual meeting of the stockholders of the corporation and ending with the commencement of the following annual meeting of the stockholders of the corporation, a director shall be absent from (due to his failure to be present in person or by conference telephone) seven (7) meetings of the board of directors of the corporation, then, effective with the missed seventh (7th) meeting, he shall thereupon be deemed to have resigned as a director unless the board of directors shall determine, in its sole discretion, that one or more of the absences was excusable. With regard to any such meeting of the board of directors held for the purpose of determining whether one or more absences was excusable (among possible other purposes), unless the chairman of the board or the president determines otherwise, the subject individual shall not be entitled to notice thereof and shall not be entitled to attend. In the event that the board of directors determines that 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46" w:name="page147"/>
    <w:bookmarkEnd w:id="146"/>
    <w:p>
      <w:pPr>
        <w:jc w:val="both"/>
        <w:spacing w:after="0" w:line="295" w:lineRule="auto"/>
        <w:rPr>
          <w:sz w:val="20"/>
          <w:szCs w:val="20"/>
          <w:color w:val="auto"/>
        </w:rPr>
      </w:pPr>
      <w:r>
        <w:rPr>
          <w:rFonts w:ascii="Times New Roman" w:cs="Times New Roman" w:eastAsia="Times New Roman" w:hAnsi="Times New Roman"/>
          <w:sz w:val="14"/>
          <w:szCs w:val="14"/>
          <w:color w:val="auto"/>
        </w:rPr>
        <w:t>absence from a particular meeting or meetings was excusable, then, for purposes hereof only, the director shall be deemed to have attended the particular meeting(s). The provisions of this paragraph shall apply to meetings missed after November 24, 2004.</w:t>
      </w:r>
    </w:p>
    <w:p>
      <w:pPr>
        <w:spacing w:after="0" w:line="108"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Vacancies and newly created directorships resulting from any increase in the authorized number of directors may be filled by a majority of the directors then in office, though less than a quorum, and the directors so chosen shall hold office until the next annual election and until their successors are duly elected and shall qualify, unless sooner displaced.</w:t>
      </w:r>
    </w:p>
    <w:p>
      <w:pPr>
        <w:spacing w:after="0" w:line="11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The business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MEETINGS OF THE BOARD OF DIRECTORS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board of directors of the corporation may hold meetings, both regular and special, either within or without the State of Delaware.</w:t>
      </w:r>
    </w:p>
    <w:p>
      <w:pPr>
        <w:spacing w:after="0" w:line="17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The first meeting of each newly elected board of directors shall be held immediately following the close of the annual meeting of stockholders at the place of the holding of said annual meeting. No notice of any such meeting shall be necessary to the newly elected directors in order legally to constitute the meeting, provided a quorum shall be present. In the event such meeting is not held at such time and place, the meeting may be held at such time and place as shall be specified in a notice given as hereinafter provided for special meetings of the board of directors, or as shall be specified in a written waiver signed by all of the directors.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Regular meetings of the board of directors may be held without notice at such time and at such place as shall from time to time be determined by the board.</w:t>
      </w:r>
    </w:p>
    <w:p>
      <w:pPr>
        <w:spacing w:after="0" w:line="172"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Special meetings of the board of directors may be called by the chairman of the board or the president on one (1) day’s notice to each director, either personally, by overnight mail, by telegram, by e-mail, by telecopier or by telephone. For purposes hereof, one (1) day’s notice shall be satisfied by the delivery of such notice as shall result in the director receiving notice by 5:00 p.m., New York City time, on the day immediately preceding the date of the meeting (provided that the time of the meeting is no earlier than 8:00 a.m., New York City time).</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At all meetings of the board, a majority of the directors shall constitute a quorum for the transaction of business and the act of a majority of the directors present at any meeting at which there is a quorum shall be the act of the board of directors; provided, however, that, in the event the number of directors in office is less than four, any action to be taken by the Board of Directors shall require the affirmative vote of all of the directors then in office, except as may be otherwise specifically provided by statute or by the certificate of incorporation. If a quorum shall not be present at any meeting of the board of directors, the directors present thereat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color w:val="auto"/>
        </w:rPr>
        <w:t>may adjourn the meeting from time to time, without notice other than announcement at the meeting, until a quorum shall be present.</w:t>
      </w:r>
    </w:p>
    <w:p>
      <w:pPr>
        <w:spacing w:after="0" w:line="1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Unless otherwise restricted by the certificate of incorporation or these by-laws, any action required or permitted to be taken at any meeting of the board of directors may be taken without a meeting, if prior to such action a written consent thereto is signed by all members of the board and such written consent is filed with the minutes of proceedings of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COMMITTEES OF DIRECTORS</w:t>
      </w:r>
    </w:p>
    <w:p>
      <w:pPr>
        <w:spacing w:after="0" w:line="18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The board of directors, by resolution adopted by a majority of the entire board, may designate from among its members an executive committee and other committees, which committees shall serve at the pleasure of the board of directors. The board of directors may designate one or more directors as alternate members of any such committee, who may replace any absent member or members of such committee. The board of directors, by resolution adopted by a majority of the entire board, may remove a member of any such committee with or without cause. To the extent provided in said resolution and to the extent permitted by the laws of the State of Delaware, each such committee shall have and may exercise the powers of the board of directors.</w:t>
      </w:r>
    </w:p>
    <w:p>
      <w:pPr>
        <w:spacing w:after="0" w:line="3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Each committee shall keep regular minutes of its meetings and report the same to the board of directors when required.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Each committee may hold meetings, both regular and special, either within or without the State of Delaware.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Regular meetings of each committee may be held without notice at such time and at such place as shall from time to time be determined by such committee.</w:t>
      </w:r>
    </w:p>
    <w:p>
      <w:pPr>
        <w:spacing w:after="0" w:line="1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u w:val="single" w:color="auto"/>
          <w:color w:val="auto"/>
        </w:rPr>
        <w:t>Section 14</w:t>
      </w:r>
      <w:r>
        <w:rPr>
          <w:rFonts w:ascii="Times New Roman" w:cs="Times New Roman" w:eastAsia="Times New Roman" w:hAnsi="Times New Roman"/>
          <w:sz w:val="14"/>
          <w:szCs w:val="14"/>
          <w:color w:val="auto"/>
        </w:rPr>
        <w:t>. Special meetings of a committee may be called by the chairman of the committee on one (1) day’s notice to each committee member, either personally, by overnight mail, by telegram, by e-mail, by telecopier or by telephone. For purposes hereof, one (1) day’s notice shall be satisfied by the delivery of such notice as shall result in the committee member receiving notice by 5:00 p.m., New York City time, on the day immediately preceding the date of the meeting (provided that the time of the meeting is no earlier than 8:00 a.m., New York City time).</w:t>
      </w:r>
    </w:p>
    <w:p>
      <w:pPr>
        <w:spacing w:after="0" w:line="117"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u w:val="single" w:color="auto"/>
          <w:color w:val="auto"/>
        </w:rPr>
        <w:t>Section 15</w:t>
      </w:r>
      <w:r>
        <w:rPr>
          <w:rFonts w:ascii="Times New Roman" w:cs="Times New Roman" w:eastAsia="Times New Roman" w:hAnsi="Times New Roman"/>
          <w:sz w:val="14"/>
          <w:szCs w:val="14"/>
          <w:color w:val="auto"/>
        </w:rPr>
        <w:t>. At all meetings of a committee, a majority of the committee members shall constitute a quorum for the transaction of business and the act of a majority of the committee members present at any meeting at which there is a quorum shall be the act of the committee. If a quorum shall not be present at any meeting of a committee, the committee members present thereat may adjourn the meeting from time to time, without notice other than announcement at the meeting, until a quorum shall be present.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48" w:name="page149"/>
    <w:bookmarkEnd w:id="148"/>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Unless otherwise restricted by the certificate of incorporation or these by-laws, any action required or permitted to be taken at any meeting of a committee may be taken without a meeting, if prior to such action a written consent thereto is signed by all members of such committee, and such written consent is filed with the minutes of proceedings of the committee.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COMPENSATION OF DIRECTORS</w:t>
      </w:r>
    </w:p>
    <w:p>
      <w:pPr>
        <w:spacing w:after="0" w:line="1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u w:val="single" w:color="auto"/>
          <w:color w:val="auto"/>
        </w:rPr>
        <w:t>Section 17</w:t>
      </w:r>
      <w:r>
        <w:rPr>
          <w:rFonts w:ascii="Times New Roman" w:cs="Times New Roman" w:eastAsia="Times New Roman" w:hAnsi="Times New Roman"/>
          <w:sz w:val="14"/>
          <w:szCs w:val="14"/>
          <w:color w:val="auto"/>
        </w:rPr>
        <w:t>. The directors may be paid their expenses, if any, of attendance at each meeting of the board of directors and may be paid a fixed sum for attendance at each meeting of the board of directors and such salary or other compensation as directors, as the board by resolution may determine. No such payment shall preclude any director from serving the corporation in any other capacity and receiving compensation therefor. Members of special or standing committees may be allowed like compensation for attending committee meetings.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IV</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NOTICES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Notices to directors and stockholders shall be sent as permitted by applicable law and these by-laws.</w:t>
      </w:r>
    </w:p>
    <w:p>
      <w:pPr>
        <w:spacing w:after="0" w:line="18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herein, shall be deemed equivalent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OFFICERS</w:t>
      </w:r>
    </w:p>
    <w:p>
      <w:pPr>
        <w:spacing w:after="0" w:line="172"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The officers of the corporation shall be chosen by the board of directors and shall be a chairman of the board, a president, a secretary and a treasurer. The board of directors may also choose one or more vice-presidents, assistant secretaries and assistant treasurers. Two or more offices may be held by the same person.</w:t>
      </w:r>
    </w:p>
    <w:p>
      <w:pPr>
        <w:spacing w:after="0" w:line="9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The board of directors, at its first meeting after each annual meeting of stockholders, shall choose a chairman of the board, a president, a secretary and a treasurer, none of whom need be a member of the board.</w:t>
      </w:r>
    </w:p>
    <w:p>
      <w:pPr>
        <w:spacing w:after="0" w:line="10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49" w:name="page150"/>
    <w:bookmarkEnd w:id="149"/>
    <w:p>
      <w:pPr>
        <w:ind w:left="420"/>
        <w:spacing w:after="0"/>
        <w:rPr>
          <w:sz w:val="20"/>
          <w:szCs w:val="20"/>
          <w:color w:val="auto"/>
        </w:rPr>
      </w:pP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salaries of all officers of the corporation shall be fixed by the board of directors.</w:t>
      </w:r>
    </w:p>
    <w:p>
      <w:pPr>
        <w:spacing w:after="0" w:line="1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The officers of the corporation shall hold office until their successors are chosen and qualify. Any officer elected or appointed by the board of directors may be removed at any time by the affirmative vote of a majority of the entire board of directors. Any vacancy occurring in any office of the corporation shall be filled by the board of directors.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CHAIRMAN OF THE BOARD</w:t>
      </w:r>
    </w:p>
    <w:p>
      <w:pPr>
        <w:spacing w:after="0" w:line="181"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The chairman of the board of directors, if an executive of the corporation, shall have general supervision and control over the finances of the corporation, subject to the control of the board of directors and the chief executive officer of the corporation, if any, and shall see that all orders and resolutions of the board are carried into effect; shall preside at all meetings of the board of directors and stockholders; shall be ex-officio a member of all standing committees; and shall perform such other duties as from time to time may be assigned to him or her by the board of directors.</w:t>
      </w:r>
    </w:p>
    <w:p>
      <w:pPr>
        <w:spacing w:after="0" w:line="29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A non-executive chairman of the board of directors shall have general supervision over the board of directors and its activities; shall provide overall leadership to the board of directors; shall preside at all meetings of the board of directors and stockholders; shall be ex-officio a member of all standing committees; and shall perform such other duties as from time to time may be assigned to him or her by the board of directors.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PRESIDENT</w:t>
      </w:r>
    </w:p>
    <w:p>
      <w:pPr>
        <w:spacing w:after="0" w:line="1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The president shall have general supervision and control over the day-to-day business and management of the corporation, subject to the control of the board of directors, and shall see that all orders and resolutions of the board are carried into effect. In the absence of an executive chairman of the board of directors and a chief executive officer of the corporation, the president shall have general supervision and control over the finances of the corporation, subject to the control of the board of directors.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VICE-PRESIDENTS</w:t>
      </w:r>
    </w:p>
    <w:p>
      <w:pPr>
        <w:spacing w:after="0" w:line="172"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The vice-president, or if there shall be more than one, the vice-presidents in the order determined by the board of directors, shall, in the absence or disability of the president, perform the duties and exercise the powers of the president and shall perform such other duties and have such other powers as the board of directors may from time to time prescribe.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SECRETARY AND ASSISTANT SECRETARIES</w:t>
      </w:r>
    </w:p>
    <w:p>
      <w:pPr>
        <w:spacing w:after="0" w:line="172"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50" w:name="page151"/>
    <w:bookmarkEnd w:id="150"/>
    <w:p>
      <w:pPr>
        <w:jc w:val="both"/>
        <w:spacing w:after="0" w:line="275" w:lineRule="auto"/>
        <w:rPr>
          <w:sz w:val="20"/>
          <w:szCs w:val="20"/>
          <w:color w:val="auto"/>
        </w:rPr>
      </w:pPr>
      <w:r>
        <w:rPr>
          <w:rFonts w:ascii="Times New Roman" w:cs="Times New Roman" w:eastAsia="Times New Roman" w:hAnsi="Times New Roman"/>
          <w:sz w:val="14"/>
          <w:szCs w:val="14"/>
          <w:color w:val="auto"/>
        </w:rPr>
        <w:t>for the standing committees when required. He shall give, or cause to be given, notice of all meetings of the stockholders and special meetings of the board of directors, and shall perform such other duties as may be prescribed by the board of directors, under whose supervision he shall be. He shall keep in safe custody the seal of the corporation and, when authorized by the board of directors, affix the same to any instrument requiring it and, when so affixed, it shall be attested by his signature or by the signature of an assistant secretary.</w:t>
      </w:r>
    </w:p>
    <w:p>
      <w:pPr>
        <w:spacing w:after="0" w:line="122"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TREASURER AND ASSISTANT TREASURERS</w:t>
      </w:r>
    </w:p>
    <w:p>
      <w:pPr>
        <w:spacing w:after="0" w:line="172"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The treasurer shall have the custody of the corporate funds and securities and shall keep full and accurate accounts of receipts and disbursements in books and belongings to the corporation and shall deposit all moneys and other valuable effects in the name and to the credit of the corporation in such depositories as may be designated by the board of directors.</w:t>
      </w:r>
    </w:p>
    <w:p>
      <w:pPr>
        <w:spacing w:after="0" w:line="108"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9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22"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u w:val="single" w:color="auto"/>
          <w:color w:val="auto"/>
        </w:rPr>
        <w:t>Section 14</w:t>
      </w:r>
      <w:r>
        <w:rPr>
          <w:rFonts w:ascii="Times New Roman" w:cs="Times New Roman" w:eastAsia="Times New Roman" w:hAnsi="Times New Roman"/>
          <w:sz w:val="14"/>
          <w:szCs w:val="14"/>
          <w:color w:val="auto"/>
        </w:rPr>
        <w:t>. The assistant treasurer, or if there shall be more than one, the assistant treasurers in the order determined by the board of directors, shall, in the absence or disability of the treasurer, perform the duties and exercise the powers of the treasurer and shall perform such other duties and have such other powers as the board of directors may form time to time prescribe.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CERTIFICATES OF STOCK</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Shares of the capital stock of the corporation may be certificated or uncertificated, as provided under the General Corporation Law of the State of Delaware. Each</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51" w:name="page152"/>
    <w:bookmarkEnd w:id="151"/>
    <w:p>
      <w:pPr>
        <w:jc w:val="both"/>
        <w:spacing w:after="0" w:line="262" w:lineRule="auto"/>
        <w:rPr>
          <w:sz w:val="20"/>
          <w:szCs w:val="20"/>
          <w:color w:val="auto"/>
        </w:rPr>
      </w:pPr>
      <w:r>
        <w:rPr>
          <w:rFonts w:ascii="Times New Roman" w:cs="Times New Roman" w:eastAsia="Times New Roman" w:hAnsi="Times New Roman"/>
          <w:sz w:val="14"/>
          <w:szCs w:val="14"/>
          <w:color w:val="auto"/>
        </w:rPr>
        <w:t>stockholder, upon written request to the transfer agent or registrar of the corporation, shall be entitled to a certificate of the capital stock of the corporation in such form as may from time to time be prescribed by the board of directors. Such certificate shall bear the corporation’s seal and shall be signed by the chairman of the board or the president or a vice president and by the treasurer or an assistant treasurer or the secretary or an assistant secretary. The corporation’s seal and the signatures by corporation officers may be facsimiles if the certificate is manually countersigned by an authorized person on behalf of a transfer agent or registrar other than the corporation or its employee.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such officer, transfer agent or registrar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The corporation shall be permitted to issue fractional shares.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TRANSFERS</w:t>
      </w:r>
    </w:p>
    <w:p>
      <w:pPr>
        <w:spacing w:after="0" w:line="18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Stock of the corporation shall be transferable in the manner prescribed by applicable law and in these By-Laws. Transfers of stock shall be made on the books of the corporation,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LOST CERTIFICATES</w:t>
      </w:r>
    </w:p>
    <w:p>
      <w:pPr>
        <w:spacing w:after="0" w:line="172" w:lineRule="exact"/>
        <w:rPr>
          <w:sz w:val="20"/>
          <w:szCs w:val="20"/>
          <w:color w:val="auto"/>
        </w:rPr>
      </w:pPr>
    </w:p>
    <w:p>
      <w:pPr>
        <w:jc w:val="both"/>
        <w:ind w:firstLine="180"/>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In case of the alleged loss, destruction or mutilation of a certificate of stock, a duplicate certificate may be issued in place thereof, upon such terms as the board of directors may prescribe, provided, however, that if such shares have ceased to be certificated, a new certificate shall be issued only upon written request to the transfer agent or registrar of the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CLOSING OF TRANSFER BOOKS; RECORD DATE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52" w:name="page153"/>
    <w:bookmarkEnd w:id="152"/>
    <w:p>
      <w:pPr>
        <w:jc w:val="both"/>
        <w:ind w:firstLine="180"/>
        <w:spacing w:after="0" w:line="261" w:lineRule="auto"/>
        <w:rPr>
          <w:sz w:val="20"/>
          <w:szCs w:val="20"/>
          <w:color w:val="auto"/>
        </w:rPr>
      </w:pP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The board of directors may close the stock transfer books of the corporation for a period not exceeding 50 days preceding the date of any meeting of stockholders or the date for payment of any dividend or the date for the allotment of rights or the date when any change or conversion or exchange of capital stock shall go into effect or for a period of not exceeding 50 days in connection with obtaining the consent of stockholders for any purpose. In lieu of closing the stock transfer books as aforesaid, the board of directors may fix in advance a date, which date shall not be more than 60 nor less than ten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 of such dividend, or to receive such allotment of rights, or to exercise such rights, or to give such consent, as the case may be, notwithstanding any transfer of any stock on the books of the corporation after any such record date fixed as aforesaid.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REGISTERED STOCKHOLDERS</w:t>
      </w:r>
    </w:p>
    <w:p>
      <w:pPr>
        <w:spacing w:after="0" w:line="172" w:lineRule="exact"/>
        <w:rPr>
          <w:sz w:val="20"/>
          <w:szCs w:val="20"/>
          <w:color w:val="auto"/>
        </w:rPr>
      </w:pPr>
    </w:p>
    <w:p>
      <w:pPr>
        <w:jc w:val="both"/>
        <w:ind w:firstLine="144"/>
        <w:spacing w:after="0" w:line="275" w:lineRule="auto"/>
        <w:rPr>
          <w:sz w:val="20"/>
          <w:szCs w:val="20"/>
          <w:color w:val="auto"/>
        </w:rPr>
      </w:pP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VII</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GENERAL PROVISIONS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DIVIDENDS</w:t>
      </w:r>
    </w:p>
    <w:p>
      <w:pPr>
        <w:spacing w:after="0" w:line="1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08"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color w:val="auto"/>
        </w:rPr>
        <w:t>other purpose as the directors shall think conducive to the interest of the corporation, and the directors may modify or abolish any such reserve in the manner in which it was created.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ANNUAL STATEMENT</w:t>
      </w:r>
    </w:p>
    <w:p>
      <w:pPr>
        <w:spacing w:after="0" w:line="172"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The board of directors shall present at each annual meeting, and at any special meeting of the stockholders when called for by vote of the stockholders, a full and clear statement of the business and condition of the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CHECKS</w:t>
      </w:r>
    </w:p>
    <w:p>
      <w:pPr>
        <w:spacing w:after="0" w:line="1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All checks or demand for money and notes of the corporation shall be signed by such officer or officers or such other person or persons as the board of directors may from time to time designate.</w:t>
      </w:r>
    </w:p>
    <w:p>
      <w:pPr>
        <w:spacing w:after="0" w:line="10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FISCAL YEAR</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The fiscal year of the corporation shall be fixed by resolution of the board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SEAL</w:t>
      </w:r>
    </w:p>
    <w:p>
      <w:pPr>
        <w:spacing w:after="0" w:line="1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INDEMNIFICATION</w:t>
      </w:r>
    </w:p>
    <w:p>
      <w:pPr>
        <w:spacing w:after="0" w:line="172"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The corporation shall to the full extent permitted by Section 145 of the Delaware General Corporation Law, as amended from time to time, indemnify all persons whom it may indemnify pursuant thereto. The indemnifications authorized hereby shall not be deemed exclusive of any other rights to which those seeking indemnification may be entitled under or through any agreement, vote of stockholders or disinterested directors or otherwise, both as to action in the official capacity of those seeking indemnification and as to action in another capacity while holding such office, and shall continue as to a person who has ceased to be a director, officer, employee or agent and shall inure to the benefit of the heirs, executors and administrators of such persons. The corporation may purchase and maintain insurance on behalf of any person who is or was a director, officer, employee or agent of the corporation, or is or was serving at the request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Section 145.</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VIII</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4"/>
          <w:szCs w:val="14"/>
          <w:color w:val="auto"/>
        </w:rPr>
        <w:t>AMENDMENTS</w:t>
      </w:r>
    </w:p>
    <w:p>
      <w:pPr>
        <w:spacing w:after="0" w:line="172"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 These by-laws may be altered or repealed (a) at any regular meeting of the stockholders or of the board of directors, (b) at any special meeting of the stockholders or of the board of directors if notice of such alteration or repeal be contained in the notice of such special meeting or (c) by unanimous written consent of the stockholders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1064247.8</w:t>
      </w:r>
    </w:p>
    <w:p>
      <w:pPr>
        <w:sectPr>
          <w:pgSz w:w="11900" w:h="16838" w:orient="portrait"/>
          <w:cols w:equalWidth="0" w:num="1">
            <w:col w:w="11300"/>
          </w:cols>
          <w:pgMar w:left="300" w:top="1012" w:right="299" w:bottom="1440" w:gutter="0" w:footer="0" w:header="0"/>
        </w:sectPr>
      </w:pPr>
    </w:p>
    <w:bookmarkStart w:id="155" w:name="page156"/>
    <w:bookmarkEnd w:id="155"/>
    <w:p>
      <w:pPr>
        <w:ind w:right="20"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THIRD AMENDED AND RESTATED EMPLOYMENT AGREEMENT</w:t>
      </w:r>
      <w:r>
        <w:rPr>
          <w:rFonts w:ascii="Times New Roman" w:cs="Times New Roman" w:eastAsia="Times New Roman" w:hAnsi="Times New Roman"/>
          <w:sz w:val="14"/>
          <w:szCs w:val="14"/>
          <w:color w:val="auto"/>
        </w:rPr>
        <w:t>, dated April 15, 2024, by and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“Company”), and </w:t>
      </w:r>
      <w:r>
        <w:rPr>
          <w:rFonts w:ascii="Times New Roman" w:cs="Times New Roman" w:eastAsia="Times New Roman" w:hAnsi="Times New Roman"/>
          <w:sz w:val="14"/>
          <w:szCs w:val="14"/>
          <w:b w:val="1"/>
          <w:bCs w:val="1"/>
          <w:color w:val="auto"/>
        </w:rPr>
        <w:t>MERYL S. GOLDEN</w:t>
      </w:r>
      <w:r>
        <w:rPr>
          <w:rFonts w:ascii="Times New Roman" w:cs="Times New Roman" w:eastAsia="Times New Roman" w:hAnsi="Times New Roman"/>
          <w:sz w:val="14"/>
          <w:szCs w:val="14"/>
          <w:color w:val="auto"/>
        </w:rPr>
        <w:t xml:space="preserve"> (the “Employee” or the “Executive”), as amended by Amendments No. 1 and 2 thereto.</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RECITALS</w:t>
      </w:r>
    </w:p>
    <w:p>
      <w:pPr>
        <w:spacing w:after="0" w:line="163" w:lineRule="exact"/>
        <w:rPr>
          <w:sz w:val="20"/>
          <w:szCs w:val="20"/>
          <w:color w:val="auto"/>
        </w:rPr>
      </w:pPr>
    </w:p>
    <w:p>
      <w:pPr>
        <w:ind w:firstLine="225"/>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and the Employee entered into that certain Employment Agreement, dated August 27, 2019 (the “Employment Agreement“), which sets forth the terms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upon which the Employee was employed by the Company and upon which the Company compensated the Employee for her services through December 31, 2021.</w:t>
      </w:r>
    </w:p>
    <w:p>
      <w:pPr>
        <w:spacing w:after="0" w:line="104" w:lineRule="exact"/>
        <w:rPr>
          <w:sz w:val="20"/>
          <w:szCs w:val="20"/>
          <w:color w:val="auto"/>
        </w:rPr>
      </w:pPr>
    </w:p>
    <w:p>
      <w:pPr>
        <w:ind w:right="20" w:firstLine="153"/>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Employment Agreement was amended and restated (the “Amended Employment Agreement”) effective as of January 1, 2021 to set forth the terms and conditions upon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Employee was employed by the Company and upon which the Company compensated the Employee for her services through December 31, 2022.</w:t>
      </w:r>
    </w:p>
    <w:p>
      <w:pPr>
        <w:spacing w:after="0" w:line="104" w:lineRule="exact"/>
        <w:rPr>
          <w:sz w:val="20"/>
          <w:szCs w:val="20"/>
          <w:color w:val="auto"/>
        </w:rPr>
      </w:pPr>
    </w:p>
    <w:p>
      <w:pPr>
        <w:ind w:firstLine="432"/>
        <w:spacing w:after="0" w:line="312"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Amended Employment Agreement was amended and restated (the “Second Amended Employment Agreement”) effective as of January 1, 2023 to set forth the terms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conditions upon which the Employee is employed by the Company and upon which the Company compensates the Employee for her services through December 31, 2024.</w:t>
      </w:r>
    </w:p>
    <w:p>
      <w:pPr>
        <w:spacing w:after="0" w:line="94" w:lineRule="exact"/>
        <w:rPr>
          <w:sz w:val="20"/>
          <w:szCs w:val="20"/>
          <w:color w:val="auto"/>
        </w:rPr>
      </w:pPr>
    </w:p>
    <w:p>
      <w:pPr>
        <w:ind w:right="20"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and the Employee desire to amend and restate the Second Amended Employment Agreement effective as of January 1, 2025 (the “Effective Date”) to provide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 the continued services and employment of the Employee by the Company from and after the Effective Date, upon the terms and conditions hereinafter set forth.</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all amounts earned and other obligations for periods prior to the Effective Date shall be controlled by the Second Amended Employment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and the mutual covenants hereinafter set forth, the parties hereto hereby agree as follows:</w:t>
      </w:r>
    </w:p>
    <w:p>
      <w:pPr>
        <w:spacing w:after="0" w:line="154" w:lineRule="exact"/>
        <w:rPr>
          <w:sz w:val="20"/>
          <w:szCs w:val="20"/>
          <w:color w:val="auto"/>
        </w:rPr>
      </w:pPr>
    </w:p>
    <w:p>
      <w:pPr>
        <w:ind w:left="860" w:hanging="436"/>
        <w:spacing w:after="0"/>
        <w:tabs>
          <w:tab w:leader="none" w:pos="86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EMPLOYMENT; TERM</w:t>
      </w:r>
    </w:p>
    <w:p>
      <w:pPr>
        <w:spacing w:after="0" w:line="165" w:lineRule="exact"/>
        <w:rPr>
          <w:rFonts w:ascii="Times New Roman" w:cs="Times New Roman" w:eastAsia="Times New Roman" w:hAnsi="Times New Roman"/>
          <w:sz w:val="14"/>
          <w:szCs w:val="14"/>
          <w:b w:val="1"/>
          <w:bCs w:val="1"/>
          <w:color w:val="auto"/>
        </w:rPr>
      </w:pPr>
    </w:p>
    <w:p>
      <w:pPr>
        <w:jc w:val="both"/>
        <w:ind w:left="420" w:firstLine="436"/>
        <w:spacing w:after="0" w:line="275" w:lineRule="auto"/>
        <w:tabs>
          <w:tab w:leader="none" w:pos="1284"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continue to employ the Employee in its business, and the Employee will continue to work for the Company therein, as its Chief Executive Officer and President for a term commencing as of the Effective Date and terminating on January 10, 2027 (the “Expiration Date”), subject to earlier termination as hereinafter provided (the employment period, as earlier terminated as provided for herein, being referred to as the “Term”).</w:t>
      </w:r>
    </w:p>
    <w:p>
      <w:pPr>
        <w:spacing w:after="0" w:line="103" w:lineRule="exact"/>
        <w:rPr>
          <w:rFonts w:ascii="Times New Roman" w:cs="Times New Roman" w:eastAsia="Times New Roman" w:hAnsi="Times New Roman"/>
          <w:sz w:val="14"/>
          <w:szCs w:val="14"/>
          <w:color w:val="auto"/>
        </w:rPr>
      </w:pPr>
    </w:p>
    <w:p>
      <w:pPr>
        <w:ind w:left="420" w:firstLine="436"/>
        <w:spacing w:after="0" w:line="295" w:lineRule="auto"/>
        <w:tabs>
          <w:tab w:leader="none" w:pos="1284"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expiration of the Term or the termination of the Employee’s employment with the Company for any reason whatsoever, whether during or following the Term, she shall be deemed to have resigned all of her positions as an employee, officer and director of the Company and of each and every subsidiary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300"/>
          </w:cols>
          <w:pgMar w:left="300" w:top="992" w:right="299" w:bottom="1440" w:gutter="0" w:footer="0" w:header="0"/>
        </w:sectPr>
      </w:pPr>
    </w:p>
    <w:bookmarkStart w:id="156" w:name="page157"/>
    <w:bookmarkEnd w:id="156"/>
    <w:p>
      <w:pPr>
        <w:ind w:left="440" w:hanging="436"/>
        <w:spacing w:after="0"/>
        <w:tabs>
          <w:tab w:leader="none" w:pos="44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DUTIES</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82" w:lineRule="auto"/>
        <w:tabs>
          <w:tab w:leader="none" w:pos="864"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the Employee shall serve as the Company’s Chief Executive Officer and President and shall have and perform executive, administrative, and managerial duties customary for such a position, and such further duties of an executive character as shall, from time to time, be delegated or assigned to her by the Board of Directors of the Company (the “Board”) consistent with the Employee’s position.</w:t>
      </w:r>
    </w:p>
    <w:p>
      <w:pPr>
        <w:spacing w:after="0" w:line="96"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DEVOTION OF TIME</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68" w:lineRule="auto"/>
        <w:tabs>
          <w:tab w:leader="none" w:pos="864"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the Employee shall expend substantially all of her working time for the Company, shall devote her best efforts, energy and skill to the services of the Company and the promotion of its interests and shall not take part in activities detrimental to the best interests of the Company. Notwithstanding the foregoing, during the term of the Third Amended and Restated Employment Agreement between Kingstone Insurance Company (“KICO”) and the Employee of even date (the “KICO Employment Agreement”), the Employee shall be entitled to devote such time as is necessary to the fulfillment of her duties and responsibilities as Chief Executive Officer and President of KICO, it being understood and agreed that such permitted activity is subject to the reduction in Base Salary (as hereinafter defined) provided for in Section 4.2 hereof.</w:t>
      </w:r>
    </w:p>
    <w:p>
      <w:pPr>
        <w:spacing w:after="0" w:line="109" w:lineRule="exact"/>
        <w:rPr>
          <w:rFonts w:ascii="Times New Roman" w:cs="Times New Roman" w:eastAsia="Times New Roman" w:hAnsi="Times New Roman"/>
          <w:sz w:val="14"/>
          <w:szCs w:val="14"/>
          <w:color w:val="auto"/>
        </w:rPr>
      </w:pPr>
    </w:p>
    <w:p>
      <w:pPr>
        <w:jc w:val="both"/>
        <w:ind w:firstLine="436"/>
        <w:spacing w:after="0" w:line="275" w:lineRule="auto"/>
        <w:tabs>
          <w:tab w:leader="none" w:pos="864"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shall be permitted to engage in the following activities: (a) charity, social or civic work, (b) tend to personal financial and legal affairs, and (c) subject to the prior written consent of the Company (following Board approval), serve on the Board of Directors of, or advisor to, other business organizations, in each case (i.e., (a) through (c) above), provided that such activities do not interfere or conflict with her full-time services to the Company.</w:t>
      </w:r>
    </w:p>
    <w:p>
      <w:pPr>
        <w:spacing w:after="0" w:line="101"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COMPENSATION</w:t>
      </w:r>
    </w:p>
    <w:p>
      <w:pPr>
        <w:spacing w:after="0" w:line="165" w:lineRule="exact"/>
        <w:rPr>
          <w:rFonts w:ascii="Times New Roman" w:cs="Times New Roman" w:eastAsia="Times New Roman" w:hAnsi="Times New Roman"/>
          <w:sz w:val="14"/>
          <w:szCs w:val="14"/>
          <w:b w:val="1"/>
          <w:bCs w:val="1"/>
          <w:color w:val="auto"/>
        </w:rPr>
      </w:pPr>
    </w:p>
    <w:p>
      <w:pPr>
        <w:ind w:firstLine="436"/>
        <w:spacing w:after="0" w:line="295" w:lineRule="auto"/>
        <w:tabs>
          <w:tab w:leader="none" w:pos="864"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services to be rendered by the Employee during the Term, and in consideration of the Employee’s representations and covenants set forth in this Agreement, the Employee shall be entitled to receive from the Company compensation as set forth in Section 4.2 below.</w:t>
      </w:r>
    </w:p>
    <w:p>
      <w:pPr>
        <w:spacing w:after="0" w:line="90" w:lineRule="exact"/>
        <w:rPr>
          <w:rFonts w:ascii="Times New Roman" w:cs="Times New Roman" w:eastAsia="Times New Roman" w:hAnsi="Times New Roman"/>
          <w:sz w:val="14"/>
          <w:szCs w:val="14"/>
          <w:color w:val="auto"/>
        </w:rPr>
      </w:pPr>
    </w:p>
    <w:p>
      <w:pPr>
        <w:ind w:firstLine="436"/>
        <w:spacing w:after="0" w:line="295" w:lineRule="auto"/>
        <w:tabs>
          <w:tab w:leader="none" w:pos="864"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the Employee shall be entitled to receive a salary at the rate of five hundred fifty thousand dollars ($550,000) per annum (the “Base Salary”); provided, however, the Base Salary shall be reduced on a dollar-for-dollar basis to the extent of the salary payable by KICO to the Employee pursuant to the KICO Employment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1298" w:right="299" w:bottom="1440" w:gutter="0" w:footer="0" w:header="0"/>
        </w:sectPr>
      </w:pPr>
    </w:p>
    <w:bookmarkStart w:id="157" w:name="page158"/>
    <w:bookmarkEnd w:id="157"/>
    <w:p>
      <w:pPr>
        <w:jc w:val="both"/>
        <w:ind w:left="420" w:firstLine="436"/>
        <w:spacing w:after="0" w:line="272" w:lineRule="auto"/>
        <w:tabs>
          <w:tab w:leader="none" w:pos="128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Subject to the terms and conditions hereof, the Employee shall also be entitled to receive from the Company, for each calendar year during the Term, a bonus (the “Bonus”) equal to three percent (3%) of the Company’s Net Income (as hereinafter defined) for such calendar year, not to exceed one hundred twenty-five percent (125%) of the Base Salary (the “Bonus Payments”); provided, however, the Bonus Payments shall be reduced on a dollar-for-dollar basis to the extent of any Bonus payable by KICO to the Employee pursuant to the KICO Employment Agreement.</w:t>
      </w:r>
    </w:p>
    <w:p>
      <w:pPr>
        <w:spacing w:after="0" w:line="107" w:lineRule="exact"/>
        <w:rPr>
          <w:rFonts w:ascii="Times New Roman" w:cs="Times New Roman" w:eastAsia="Times New Roman" w:hAnsi="Times New Roman"/>
          <w:sz w:val="14"/>
          <w:szCs w:val="14"/>
          <w:color w:val="auto"/>
        </w:rPr>
      </w:pPr>
    </w:p>
    <w:p>
      <w:pPr>
        <w:jc w:val="both"/>
        <w:ind w:firstLine="1012"/>
        <w:spacing w:after="0" w:line="275" w:lineRule="auto"/>
        <w:tabs>
          <w:tab w:leader="none" w:pos="1345"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hereof, the term “Net Income” for any particular calendar period shall mean the Company’s consolidated income from operations before taxes for such period determined in accordance with generally accepted accounting principles consistently applied, as audited and reported upon by the independent auditors of the Company, except that the Company’s consolidated net investment income (loss), net unrealized gains (losses) on equity securities and net realized gains (losses) on investments shall be excluded.</w:t>
      </w:r>
    </w:p>
    <w:p>
      <w:pPr>
        <w:spacing w:after="0" w:line="122" w:lineRule="exact"/>
        <w:rPr>
          <w:sz w:val="20"/>
          <w:szCs w:val="20"/>
          <w:color w:val="auto"/>
        </w:rPr>
      </w:pPr>
    </w:p>
    <w:p>
      <w:pPr>
        <w:jc w:val="both"/>
        <w:ind w:firstLine="856"/>
        <w:spacing w:after="0" w:line="264" w:lineRule="auto"/>
        <w:tabs>
          <w:tab w:leader="none" w:pos="116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hereof, in the event that this Agreement shall terminate on a date other than December 31 of any calendar year and for such calendar year, pursuant to the terms of this Agreement, the Employee is entitled to receive a Bonus through the termination date (the “Termination Date”), then the Company’s Net Income for such calendar year shall be determined for the period from the first day of such calendar year (the “Termination Year”) until the Termination Date by multiplying the Company’s Net Income for the period from the first day of the Termination Year until the end of the calendar quarter in which the Termination Date falls (the “Termination Quarter”) by a fraction, the numerator of which shall be the number of days from the first day of the Termination Year until the Termination Date and the denominator of which shall be the number of days from the first day of the Termination Year until the end of the Termination Quarter. In the event the Termination Quarter shall be other than the last calendar quarter of the Termination Year, notwithstanding that the term “Net Income” shall have the meaning ascribed to it by paragraph (b) hereof (as adjusted by the provisions of this paragraph (c)), the application of such term to this paragraph (c) shall not be subject to any adjustment based upon an audit or report of the Company’s independent auditors with respect to the Termination Year but instead shall be calculated and paid as provided for in paragraph (d) hereof.</w:t>
      </w:r>
    </w:p>
    <w:p>
      <w:pPr>
        <w:spacing w:after="0" w:line="131" w:lineRule="exact"/>
        <w:rPr>
          <w:rFonts w:ascii="Times New Roman" w:cs="Times New Roman" w:eastAsia="Times New Roman" w:hAnsi="Times New Roman"/>
          <w:sz w:val="14"/>
          <w:szCs w:val="14"/>
          <w:color w:val="auto"/>
        </w:rPr>
      </w:pPr>
    </w:p>
    <w:p>
      <w:pPr>
        <w:jc w:val="both"/>
        <w:ind w:firstLine="856"/>
        <w:spacing w:after="0" w:line="265" w:lineRule="auto"/>
        <w:tabs>
          <w:tab w:leader="none" w:pos="119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Bonus for any calendar year shall be payable in the following calendar year within thirty (30) days following the receipt by the Company of the report of its independent auditors with regard to the Company’s Net Income for such calendar year, calculated in accordance with paragraph (b) hereof and otherwise consistent with the consolidated financial statements of the Company for the calendar year (the “Audited Financial Statements”), as set forth in any Form 10-K filed by the Company with the Securities and Exchange Commission (the “SEC”); provided, however, that, in the event the Audited Financial Statements are not available by February 28 of any calendar year, an interim Bonus payment, if any, shall be made based upon the unaudited consolidated financial statements of the Company for such calendar year, as determined by the Company’s chief financial officer and approved by the Company’s Compensation Committee. Following receipt of the Audited Financial Statements, an appropriate adjustment will be made to the Bonus amount, and the Company will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300"/>
          </w:cols>
          <w:pgMar w:left="300" w:top="994" w:right="299" w:bottom="1440" w:gutter="0" w:footer="0" w:header="0"/>
        </w:sectPr>
      </w:pPr>
    </w:p>
    <w:bookmarkStart w:id="158" w:name="page159"/>
    <w:bookmarkEnd w:id="158"/>
    <w:p>
      <w:pPr>
        <w:jc w:val="both"/>
        <w:spacing w:after="0" w:line="272" w:lineRule="auto"/>
        <w:rPr>
          <w:sz w:val="20"/>
          <w:szCs w:val="20"/>
          <w:color w:val="auto"/>
        </w:rPr>
      </w:pPr>
      <w:r>
        <w:rPr>
          <w:rFonts w:ascii="Times New Roman" w:cs="Times New Roman" w:eastAsia="Times New Roman" w:hAnsi="Times New Roman"/>
          <w:sz w:val="14"/>
          <w:szCs w:val="14"/>
          <w:color w:val="auto"/>
        </w:rPr>
        <w:t>pay any underpayment, or the Employee will return any overpayment, within fifteen (15) days of receipt of the Audited Financial Statements. Notwithstanding the foregoing, with respect to any Termination Year in which the Termination Quarter is other than the last calendar quarter of the Termination Year, the Bonus shall be payable within thirty (30) days following the determination by the Company’s chief financial officer of the Company’s Net Income through the end of the Termination Quarter, if any, calculated in accordance with paragraph (c) hereof and otherwise consistent with the consolidated financial statements of the Company for the period ended with the end of the Termination Quarter, as set forth in any Form 10-Q filed by the Company with the SEC.</w:t>
      </w:r>
    </w:p>
    <w:p>
      <w:pPr>
        <w:spacing w:after="0" w:line="125" w:lineRule="exact"/>
        <w:rPr>
          <w:sz w:val="20"/>
          <w:szCs w:val="20"/>
          <w:color w:val="auto"/>
        </w:rPr>
      </w:pPr>
    </w:p>
    <w:p>
      <w:pPr>
        <w:ind w:left="560"/>
        <w:spacing w:after="0"/>
        <w:tabs>
          <w:tab w:leader="none" w:pos="860" w:val="left"/>
        </w:tabs>
        <w:rPr>
          <w:sz w:val="20"/>
          <w:szCs w:val="20"/>
          <w:color w:val="auto"/>
        </w:rPr>
      </w:pPr>
      <w:r>
        <w:rPr>
          <w:rFonts w:ascii="Times New Roman" w:cs="Times New Roman" w:eastAsia="Times New Roman" w:hAnsi="Times New Roman"/>
          <w:sz w:val="14"/>
          <w:szCs w:val="14"/>
          <w:color w:val="auto"/>
        </w:rPr>
        <w:t>4.4</w:t>
        <w:tab/>
        <w:t>The Employee shall not be eligible to participate in any employee incentive compensation plan other than as expressly provided in this Agreement.</w:t>
      </w:r>
    </w:p>
    <w:p>
      <w:pPr>
        <w:spacing w:after="0" w:line="152" w:lineRule="exact"/>
        <w:rPr>
          <w:sz w:val="20"/>
          <w:szCs w:val="20"/>
          <w:color w:val="auto"/>
        </w:rPr>
      </w:pPr>
    </w:p>
    <w:p>
      <w:pPr>
        <w:ind w:left="860" w:hanging="436"/>
        <w:spacing w:after="0"/>
        <w:tabs>
          <w:tab w:leader="none" w:pos="8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REIMBURSEMENT OF EXPENSES</w:t>
      </w:r>
    </w:p>
    <w:p>
      <w:pPr>
        <w:spacing w:after="0" w:line="156" w:lineRule="exact"/>
        <w:rPr>
          <w:rFonts w:ascii="Times New Roman" w:cs="Times New Roman" w:eastAsia="Times New Roman" w:hAnsi="Times New Roman"/>
          <w:sz w:val="14"/>
          <w:szCs w:val="14"/>
          <w:b w:val="1"/>
          <w:bCs w:val="1"/>
          <w:color w:val="auto"/>
        </w:rPr>
      </w:pPr>
    </w:p>
    <w:p>
      <w:pPr>
        <w:ind w:left="420" w:firstLine="436"/>
        <w:spacing w:after="0" w:line="295" w:lineRule="auto"/>
        <w:tabs>
          <w:tab w:leader="none" w:pos="1284"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5.3 hereof, the Company shall pay directly, or reimburse the Employee for, all reasonable and necessary expenses and disbursements incurred by the Employee for and on behalf of the Company in the performance of her duties during the Term.</w:t>
      </w:r>
    </w:p>
    <w:p>
      <w:pPr>
        <w:spacing w:after="0" w:line="99" w:lineRule="exact"/>
        <w:rPr>
          <w:rFonts w:ascii="Times New Roman" w:cs="Times New Roman" w:eastAsia="Times New Roman" w:hAnsi="Times New Roman"/>
          <w:sz w:val="14"/>
          <w:szCs w:val="14"/>
          <w:color w:val="auto"/>
        </w:rPr>
      </w:pPr>
    </w:p>
    <w:p>
      <w:pPr>
        <w:ind w:left="420" w:firstLine="436"/>
        <w:spacing w:after="0" w:line="295" w:lineRule="auto"/>
        <w:tabs>
          <w:tab w:leader="none" w:pos="1284"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shall periodically submit to the Company reports of such expenses and disbursements in a form and at a frequency normally used by the Company, and receipts with respect thereto, and the Company’s obligations under Section 5.1 hereof shall be subject to compliance therewith.</w:t>
      </w:r>
    </w:p>
    <w:p>
      <w:pPr>
        <w:spacing w:after="0" w:line="90" w:lineRule="exact"/>
        <w:rPr>
          <w:rFonts w:ascii="Times New Roman" w:cs="Times New Roman" w:eastAsia="Times New Roman" w:hAnsi="Times New Roman"/>
          <w:sz w:val="14"/>
          <w:szCs w:val="14"/>
          <w:color w:val="auto"/>
        </w:rPr>
      </w:pPr>
    </w:p>
    <w:p>
      <w:pPr>
        <w:jc w:val="both"/>
        <w:ind w:left="420" w:firstLine="436"/>
        <w:spacing w:after="0" w:line="268" w:lineRule="auto"/>
        <w:tabs>
          <w:tab w:leader="none" w:pos="1284"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the Employee shall be entitled to receive a monthly automobile allowance of one thousand dollars ($1,000) for any and all expenses related to the Employee’s automobile (i.e., lease payments, insurance, gas, tolls, parking and the like). Except for reimbursement of directly related automobile expenses (i.e., parking and tolls) incurred by the Employee while fulfilling her duties and responsibilities to the Company, but which are outside of the Employee’s normal day to day commuting usage of her automobile, the Employee will not be entitled to any additional or alternative reimbursement for any other automobile related expenses.</w:t>
      </w:r>
    </w:p>
    <w:p>
      <w:pPr>
        <w:spacing w:after="0" w:line="115"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DISABILITY; INSURANCE</w:t>
      </w:r>
    </w:p>
    <w:p>
      <w:pPr>
        <w:spacing w:after="0" w:line="156" w:lineRule="exact"/>
        <w:rPr>
          <w:rFonts w:ascii="Times New Roman" w:cs="Times New Roman" w:eastAsia="Times New Roman" w:hAnsi="Times New Roman"/>
          <w:sz w:val="14"/>
          <w:szCs w:val="14"/>
          <w:b w:val="1"/>
          <w:bCs w:val="1"/>
          <w:color w:val="auto"/>
        </w:rPr>
      </w:pPr>
    </w:p>
    <w:p>
      <w:pPr>
        <w:jc w:val="both"/>
        <w:ind w:left="420" w:firstLine="436"/>
        <w:spacing w:after="0" w:line="268" w:lineRule="auto"/>
        <w:tabs>
          <w:tab w:leader="none" w:pos="1284"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during the Term, the Employee, in the opinion of a majority of all of the members of the Board (excluding the Employee if she is a member), as confirmed by competent medical evidence, shall become physically or mentally incapacitated to perform her duties for the Company hereunder (“Disabled”) for a continuous period, then for the first three (3) months of such period she shall receive her full salary (subject to the following sentence, the “Salary Continuation Period”). In no event, however, shall the Employee be entitled to receive any payments under this Section 6.1 beyond the expiration or termination date of this Agreement. Effective with the date of her resumption of full employment, the Employee shall be re-entitled to receive her full salary. If such illness or other incapacity shall endure for a continuous period of at least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300"/>
          </w:cols>
          <w:pgMar w:left="300" w:top="994" w:right="299" w:bottom="1440" w:gutter="0" w:footer="0" w:header="0"/>
        </w:sectPr>
      </w:pPr>
    </w:p>
    <w:bookmarkStart w:id="159" w:name="page160"/>
    <w:bookmarkEnd w:id="159"/>
    <w:p>
      <w:pPr>
        <w:jc w:val="both"/>
        <w:spacing w:after="0" w:line="275" w:lineRule="auto"/>
        <w:rPr>
          <w:sz w:val="20"/>
          <w:szCs w:val="20"/>
          <w:color w:val="auto"/>
        </w:rPr>
      </w:pPr>
      <w:r>
        <w:rPr>
          <w:rFonts w:ascii="Times New Roman" w:cs="Times New Roman" w:eastAsia="Times New Roman" w:hAnsi="Times New Roman"/>
          <w:sz w:val="14"/>
          <w:szCs w:val="14"/>
          <w:color w:val="auto"/>
        </w:rPr>
        <w:t>three (3) months or for at least sixty (60) business days during any six (6) month period, the Company shall have the right, by written notice, to terminate the Employee’s employment hereunder as of a date (not less than thirty (30) days after the date of the sending of such notice) to be specified in such notice. The Employee agrees to submit herself for appropriate medical examination to a physician of the Company’s designation as necessary for purposes of this Section 6.1.</w:t>
      </w:r>
    </w:p>
    <w:p>
      <w:pPr>
        <w:spacing w:after="0" w:line="113" w:lineRule="exact"/>
        <w:rPr>
          <w:sz w:val="20"/>
          <w:szCs w:val="20"/>
          <w:color w:val="auto"/>
        </w:rPr>
      </w:pPr>
    </w:p>
    <w:p>
      <w:pPr>
        <w:ind w:right="20" w:firstLine="436"/>
        <w:spacing w:after="0" w:line="295" w:lineRule="auto"/>
        <w:tabs>
          <w:tab w:leader="none" w:pos="864"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obligations of the Company under this Article 6 may be satisfied, in whole or in part, by payments to the Employee under a disability insurance policy provided by the Company and/or KICO.</w:t>
      </w:r>
    </w:p>
    <w:p>
      <w:pPr>
        <w:spacing w:after="0" w:line="90" w:lineRule="exact"/>
        <w:rPr>
          <w:rFonts w:ascii="Times New Roman" w:cs="Times New Roman" w:eastAsia="Times New Roman" w:hAnsi="Times New Roman"/>
          <w:sz w:val="14"/>
          <w:szCs w:val="14"/>
          <w:color w:val="auto"/>
        </w:rPr>
      </w:pPr>
    </w:p>
    <w:p>
      <w:pPr>
        <w:jc w:val="both"/>
        <w:ind w:firstLine="436"/>
        <w:spacing w:after="0" w:line="275" w:lineRule="auto"/>
        <w:tabs>
          <w:tab w:leader="none" w:pos="864"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in the event that, at the time of any apparent incapacity, the Company has in effect a disability policy with respect to the Employee (other than disability coverage through the New York State Insurance Fund), the Employee shall be considered Disabled for purposes of Section 6.1 only if she is considered disabled for purposes of the policy.</w:t>
      </w:r>
    </w:p>
    <w:p>
      <w:pPr>
        <w:spacing w:after="0" w:line="112" w:lineRule="exact"/>
        <w:rPr>
          <w:rFonts w:ascii="Times New Roman" w:cs="Times New Roman" w:eastAsia="Times New Roman" w:hAnsi="Times New Roman"/>
          <w:sz w:val="14"/>
          <w:szCs w:val="14"/>
          <w:color w:val="auto"/>
        </w:rPr>
      </w:pPr>
    </w:p>
    <w:p>
      <w:pPr>
        <w:jc w:val="both"/>
        <w:ind w:firstLine="436"/>
        <w:spacing w:after="0" w:line="268" w:lineRule="auto"/>
        <w:tabs>
          <w:tab w:leader="none" w:pos="864"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termination of the Employee’s employment based upon her becoming Disabled, as severance, the Employee shall be entitled to receive the Bonus compensation to which she is entitled until the expiration of the Salary Continuation Period pursuant to Section 4.3 hereof (i.e., the Termination Date shall be considered the last day of the Salary Continuation Period). The amount to be paid to the Employee pursuant to this Section 6.4 shall constitute the sole and exclusive remedy of the Employee, and the Employee shall not be entitled to any other or further compensation, rights or benefits hereunder or otherwise, including pursuant to Article 11.</w:t>
      </w:r>
    </w:p>
    <w:p>
      <w:pPr>
        <w:spacing w:after="0" w:line="106"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RESTRICTIVE COVENANTS</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65" w:lineRule="auto"/>
        <w:tabs>
          <w:tab w:leader="none" w:pos="864"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services of the Employee are unique and extraordinary and essential to the business of the Company, especially since the Employee shall have access to the Company’s customer lists, producer lists, trade secrets and other privileged and confidential information essential to the Company’s business. Therefore, the Employee agrees that, if her employment shall at any time terminate during the Term for any reason whatsoever, with or without Cause (as hereinafter defined) and with or without Good Reason (as hereinafter defined), the Employee will not at any time during the Restrictive Covenant Period (as hereinafter defined), without the prior written consent of the Company, directly or indirectly, whether individually or as a principal, officer, employee, partner, shareholder, member, manager, director, agent of, or consultant or independent contractor to, any person, corporation, limited liability company, partnership, limited partnership or other entity (collectively, “Person”):</w:t>
      </w:r>
    </w:p>
    <w:p>
      <w:pPr>
        <w:spacing w:after="0" w:line="121" w:lineRule="exact"/>
        <w:rPr>
          <w:rFonts w:ascii="Times New Roman" w:cs="Times New Roman" w:eastAsia="Times New Roman" w:hAnsi="Times New Roman"/>
          <w:sz w:val="14"/>
          <w:szCs w:val="14"/>
          <w:color w:val="auto"/>
        </w:rPr>
      </w:pPr>
    </w:p>
    <w:p>
      <w:pPr>
        <w:jc w:val="both"/>
        <w:ind w:right="20" w:firstLine="1300"/>
        <w:spacing w:after="0" w:line="275" w:lineRule="auto"/>
        <w:tabs>
          <w:tab w:leader="none" w:pos="1720" w:val="left"/>
        </w:tabs>
        <w:numPr>
          <w:ilvl w:val="2"/>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any state in which the Company has a license to operate on the date on which the Employee ceases to be employed by the Company (the “Cessation Date”) (the “Territory”), engage or participate in a business which, as of the Cessation Date, is competitive with the business in which the Company is then engaged (“Competitive Business”) (it being understood and agreed that, without limiting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5</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60" w:name="page161"/>
    <w:bookmarkEnd w:id="160"/>
    <w:p>
      <w:pPr>
        <w:jc w:val="both"/>
        <w:ind w:left="280"/>
        <w:spacing w:after="0" w:line="263" w:lineRule="auto"/>
        <w:rPr>
          <w:sz w:val="20"/>
          <w:szCs w:val="20"/>
          <w:color w:val="auto"/>
        </w:rPr>
      </w:pPr>
      <w:r>
        <w:rPr>
          <w:rFonts w:ascii="Times New Roman" w:cs="Times New Roman" w:eastAsia="Times New Roman" w:hAnsi="Times New Roman"/>
          <w:sz w:val="14"/>
          <w:szCs w:val="14"/>
          <w:color w:val="auto"/>
        </w:rPr>
        <w:t>generality of the foregoing, Heritage, Ocean Harbor, US Coastal, United Insurance Holdings, TypTap and HCI are currently engaged in a Competitive Business and “Competitive Business” includes the business of a Coastline Homeowner’s Insurance Provider (as defined below) and/or the provision of automobile insurance for the ridesharing industry), and shall not make any investments in any such Competitive Business, except that the foregoing shall not restrict the Employee from (A) acquiring up to one percent (1%) of the outstanding voting stock of any Competitive Business whose securities are listed on a stock exchange, including Nasdaq or (B) engaging or participating in the business of a Person which is not a Coastline Homeowner’s Insurance Provider. For purposes hereof, the term “Coastline Homeowner’s Insurance Provider” means a Person which, directly or indirectly, derives at least twenty-five percent (25%) of its gross premiums written for personal property insurance from policies as to which the insured premises are located (I) within two (2) miles of the nearest coastline and/or (II) in areas, such as Long Island and Cape Cod, typically avoided by carriers that focus on preferred/standard business, such as State Farm Insurance, due to hurricane exposure;</w:t>
      </w:r>
    </w:p>
    <w:p>
      <w:pPr>
        <w:spacing w:after="0" w:line="115" w:lineRule="exact"/>
        <w:rPr>
          <w:sz w:val="20"/>
          <w:szCs w:val="20"/>
          <w:color w:val="auto"/>
        </w:rPr>
      </w:pPr>
    </w:p>
    <w:p>
      <w:pPr>
        <w:jc w:val="both"/>
        <w:ind w:left="280" w:right="20" w:firstLine="1300"/>
        <w:spacing w:after="0" w:line="282" w:lineRule="auto"/>
        <w:tabs>
          <w:tab w:leader="none" w:pos="200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or seek to persuade any director, officer, employee, customer, client, account, agent, producer, reinsurer or supplier of, or consultant or independent contractor to, the Company, or others with whom the Company has a business relationship (collectively, “Business Associates”), to discontinue or materially modify the status, employment or relationship of such Person with the Company;</w:t>
      </w:r>
    </w:p>
    <w:p>
      <w:pPr>
        <w:spacing w:after="0" w:line="98" w:lineRule="exact"/>
        <w:rPr>
          <w:rFonts w:ascii="Times New Roman" w:cs="Times New Roman" w:eastAsia="Times New Roman" w:hAnsi="Times New Roman"/>
          <w:sz w:val="14"/>
          <w:szCs w:val="14"/>
          <w:color w:val="auto"/>
        </w:rPr>
      </w:pPr>
    </w:p>
    <w:p>
      <w:pPr>
        <w:ind w:left="280" w:firstLine="1300"/>
        <w:spacing w:after="0" w:line="295" w:lineRule="auto"/>
        <w:tabs>
          <w:tab w:leader="none" w:pos="2008"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or seek to persuade any prospective customer, client, account or other Business Associate of the Company (which at or about the Cessation Date was then actively being solicited by the Company) to determine not to enter into a business relationship with the Company or to materially modify its contemplated business relationship; or</w:t>
      </w:r>
    </w:p>
    <w:p>
      <w:pPr>
        <w:spacing w:after="0" w:line="90" w:lineRule="exact"/>
        <w:rPr>
          <w:rFonts w:ascii="Times New Roman" w:cs="Times New Roman" w:eastAsia="Times New Roman" w:hAnsi="Times New Roman"/>
          <w:sz w:val="14"/>
          <w:szCs w:val="14"/>
          <w:color w:val="auto"/>
        </w:rPr>
      </w:pPr>
    </w:p>
    <w:p>
      <w:pPr>
        <w:ind w:left="2000" w:hanging="420"/>
        <w:spacing w:after="0"/>
        <w:tabs>
          <w:tab w:leader="none" w:pos="20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retain or associate in a business relationship with, directly or indirectly, any director, officer or employee of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restrictions set forth in this Section 7.1(a) shall apply likewise during the Term.</w:t>
      </w:r>
    </w:p>
    <w:p>
      <w:pPr>
        <w:spacing w:after="0" w:line="163" w:lineRule="exact"/>
        <w:rPr>
          <w:sz w:val="20"/>
          <w:szCs w:val="20"/>
          <w:color w:val="auto"/>
        </w:rPr>
      </w:pPr>
    </w:p>
    <w:p>
      <w:pPr>
        <w:ind w:left="1140" w:hanging="424"/>
        <w:spacing w:after="0"/>
        <w:tabs>
          <w:tab w:leader="none" w:pos="11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hereof, the term “Restrictive Covenant Period” shall mean the twelve (12) month period commencing with the Cessation Date.</w:t>
      </w:r>
    </w:p>
    <w:p>
      <w:pPr>
        <w:spacing w:after="0" w:line="154" w:lineRule="exact"/>
        <w:rPr>
          <w:sz w:val="20"/>
          <w:szCs w:val="20"/>
          <w:color w:val="auto"/>
        </w:rPr>
      </w:pPr>
    </w:p>
    <w:p>
      <w:pPr>
        <w:jc w:val="both"/>
        <w:ind w:left="280" w:firstLine="436"/>
        <w:spacing w:after="0" w:line="268" w:lineRule="auto"/>
        <w:tabs>
          <w:tab w:leader="none" w:pos="114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agrees to timely disclose to the Board all material ideas, processes, methods, devices, business concepts, inventions, improvements, discoveries, know-how and other creative achievements, whether or not the same or any part thereof is capable of being patented, trademarked, copyrighted, or otherwise protected, which the Employee, while employed by the Company, conceives, makes, develops, acquires or reduces to practice, whether acting alone or with others and whether during or after usual working hours, and which are related to the Company’s business or interests, or are used or usable by the Company, or arise out of or in connection with the duties performed by the Employee (hereinafter referred to collectively as “Discoveries”). The Employee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160"/>
          </w:cols>
          <w:pgMar w:left="440" w:top="994" w:right="299" w:bottom="1440" w:gutter="0" w:footer="0" w:header="0"/>
        </w:sectPr>
      </w:pPr>
    </w:p>
    <w:bookmarkStart w:id="161" w:name="page162"/>
    <w:bookmarkEnd w:id="161"/>
    <w:p>
      <w:pPr>
        <w:jc w:val="both"/>
        <w:spacing w:after="0" w:line="268" w:lineRule="auto"/>
        <w:rPr>
          <w:sz w:val="20"/>
          <w:szCs w:val="20"/>
          <w:color w:val="auto"/>
        </w:rPr>
      </w:pPr>
      <w:r>
        <w:rPr>
          <w:rFonts w:ascii="Times New Roman" w:cs="Times New Roman" w:eastAsia="Times New Roman" w:hAnsi="Times New Roman"/>
          <w:sz w:val="14"/>
          <w:szCs w:val="14"/>
          <w:color w:val="auto"/>
        </w:rPr>
        <w:t>hereby transfers and assigns to the Company all right, title and interest in and to such Discoveries, including any and all domestic and foreign copyrights and patent and trademark rights therein and any renewals thereof. On request of the Company, the Employee will, without any additional compensation, from time to time during, and after the expiration or termination of, the Term, execute such further instruments (including, without limitation, applications for copyrights, patents, trademarks and assignments thereof) and do all such other acts and things as may be deemed necessary or desirable by the Company to protect and/or enforce its right in respect of such Discoveries. All expenses of filing or prosecuting any patent, trademark or copyright application shall be borne by the Company, but the Employee shall cooperate, at the Company’s expense, in filing and/or prosecuting any such application.</w:t>
      </w:r>
    </w:p>
    <w:p>
      <w:pPr>
        <w:spacing w:after="0" w:line="109" w:lineRule="exact"/>
        <w:rPr>
          <w:sz w:val="20"/>
          <w:szCs w:val="20"/>
          <w:color w:val="auto"/>
        </w:rPr>
      </w:pPr>
    </w:p>
    <w:p>
      <w:pPr>
        <w:jc w:val="both"/>
        <w:ind w:firstLine="436"/>
        <w:spacing w:after="0" w:line="265" w:lineRule="auto"/>
        <w:tabs>
          <w:tab w:leader="none" w:pos="864"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Employee represents that she has been informed that it is the policy of the Company to maintain as confidential all confidential and/or proprietary information relating to the Company, including, without limitation, any and all knowledge or information with respect to confidential methods, processes, plans, materials, customer, producer and reinsurer lists or data, or with respect to any other confidential or secret aspect of the Company’s activities, and further acknowledges that such confidential information is of great value to the Company. The Employee recognizes that, by reason of her employment with the Company, she has acquired and will acquire confidential information as aforesaid. The Employee confirms that it is reasonably necessary to protect the Company’s goodwill, and, accordingly, hereby agrees that she will not, directly or indirectly (except where authorized by the Board), at any time during the Term or thereafter divulge to any Person, or use, or cause or authorize any Person to use, any such confidential information.</w:t>
      </w:r>
    </w:p>
    <w:p>
      <w:pPr>
        <w:spacing w:after="0" w:line="112" w:lineRule="exact"/>
        <w:rPr>
          <w:sz w:val="20"/>
          <w:szCs w:val="20"/>
          <w:color w:val="auto"/>
        </w:rPr>
      </w:pPr>
    </w:p>
    <w:p>
      <w:pPr>
        <w:ind w:right="20" w:firstLine="436"/>
        <w:spacing w:after="0" w:line="295" w:lineRule="auto"/>
        <w:tabs>
          <w:tab w:leader="none" w:pos="8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agrees that she will not, at any time, remove from the Company’s premises any drawings, notebooks, software, data or other confidential information relating to the business and procedures heretofore or hereafter acquired, developed and/or used by the Company, except where necessary in the fulfillment of her duties hereunder.</w:t>
      </w:r>
    </w:p>
    <w:p>
      <w:pPr>
        <w:spacing w:after="0" w:line="90" w:lineRule="exact"/>
        <w:rPr>
          <w:rFonts w:ascii="Times New Roman" w:cs="Times New Roman" w:eastAsia="Times New Roman" w:hAnsi="Times New Roman"/>
          <w:sz w:val="14"/>
          <w:szCs w:val="14"/>
          <w:color w:val="auto"/>
        </w:rPr>
      </w:pPr>
    </w:p>
    <w:p>
      <w:pPr>
        <w:jc w:val="both"/>
        <w:ind w:firstLine="436"/>
        <w:spacing w:after="0" w:line="282" w:lineRule="auto"/>
        <w:tabs>
          <w:tab w:leader="none" w:pos="85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agrees that, upon the expiration or termination of this Agreement or the termination of her employment with the Company for any reason whatsoever, she shall promptly deliver to the Company any and all drawings, notebooks, software, data and other documents and material, including all copies thereof, in her possession or under her control relating to any confidential information or discoveries, or which is otherwise the property of the Company.</w:t>
      </w:r>
    </w:p>
    <w:p>
      <w:pPr>
        <w:spacing w:after="0" w:line="98" w:lineRule="exact"/>
        <w:rPr>
          <w:rFonts w:ascii="Times New Roman" w:cs="Times New Roman" w:eastAsia="Times New Roman" w:hAnsi="Times New Roman"/>
          <w:sz w:val="14"/>
          <w:szCs w:val="14"/>
          <w:color w:val="auto"/>
        </w:rPr>
      </w:pPr>
    </w:p>
    <w:p>
      <w:pPr>
        <w:jc w:val="both"/>
        <w:ind w:firstLine="436"/>
        <w:spacing w:after="0" w:line="275" w:lineRule="auto"/>
        <w:tabs>
          <w:tab w:leader="none" w:pos="86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hereof, the term “confidential information” shall mean all information given to the Employee, directly or indirectly, by the Company and all other information relating to the Company otherwise acquired by the Employee during the course of her employment with the Company (whether on or prior to the Effective Date or hereafter), other than information which (i) was in the public domain at the time furnished to, or acquired by, the Employee, or (ii) thereafter enters the public domain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7</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color w:val="auto"/>
        </w:rPr>
        <w:t>other than through disclosure, directly or indirectly, by the Employee or others in violation of an agreement of confidentiality or nondisclosure.</w:t>
      </w:r>
    </w:p>
    <w:p>
      <w:pPr>
        <w:spacing w:after="0" w:line="154" w:lineRule="exact"/>
        <w:rPr>
          <w:sz w:val="20"/>
          <w:szCs w:val="20"/>
          <w:color w:val="auto"/>
        </w:rPr>
      </w:pPr>
    </w:p>
    <w:p>
      <w:pPr>
        <w:ind w:left="860" w:hanging="424"/>
        <w:spacing w:after="0"/>
        <w:tabs>
          <w:tab w:leader="none" w:pos="8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this Article 7, the term “Company” shall mean and include the Company and any and all subsidiaries and affiliated entities of the Company in existence from</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to time.</w:t>
      </w:r>
    </w:p>
    <w:p>
      <w:pPr>
        <w:spacing w:after="0" w:line="147" w:lineRule="exact"/>
        <w:rPr>
          <w:rFonts w:ascii="Times New Roman" w:cs="Times New Roman" w:eastAsia="Times New Roman" w:hAnsi="Times New Roman"/>
          <w:sz w:val="14"/>
          <w:szCs w:val="14"/>
          <w:color w:val="auto"/>
        </w:rPr>
      </w:pPr>
    </w:p>
    <w:p>
      <w:pPr>
        <w:jc w:val="both"/>
        <w:ind w:firstLine="436"/>
        <w:spacing w:after="0" w:line="268" w:lineRule="auto"/>
        <w:tabs>
          <w:tab w:leader="none" w:pos="864"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her agreement to the restrictions set forth in this Article 7, the Employee acknowledges the benefits accorded to her pursuant to the provisions of this Agreement, including, without limitation, the agreement on the part of the Company to employ the Employee during the Term (subject to the terms and conditions hereof). The Employee also acknowledges and agrees that the covenants set forth in this Article 7 are reasonable and necessary in order to protect and maintain the proprietary and other legitimate business interests of the Company and that the enforcement thereof would not prevent the Employee from earning a livelihood.</w:t>
      </w:r>
    </w:p>
    <w:p>
      <w:pPr>
        <w:spacing w:after="0" w:line="108" w:lineRule="exact"/>
        <w:rPr>
          <w:rFonts w:ascii="Times New Roman" w:cs="Times New Roman" w:eastAsia="Times New Roman" w:hAnsi="Times New Roman"/>
          <w:sz w:val="14"/>
          <w:szCs w:val="14"/>
          <w:color w:val="auto"/>
        </w:rPr>
      </w:pPr>
    </w:p>
    <w:p>
      <w:pPr>
        <w:jc w:val="both"/>
        <w:ind w:firstLine="436"/>
        <w:spacing w:after="0" w:line="262" w:lineRule="auto"/>
        <w:tabs>
          <w:tab w:leader="none" w:pos="864"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Article 7 to the contrary, the Executive may disclose confidential or proprietary information of the Company and its subsidiaries as follows: (a) disclosures to directors, officers, key employees, independent accountants and counsel of the Company and its subsidiaries as may be necessary or appropriate in the performance of the Executive’s duties hereunder, (b) disclosures that do not have a material adverse effect on the business or operations of the Company and its subsidiaries taken as a whole, (c) disclosures that the Executive is required to make by law or by any court, arbitrator or administrative or legislative body (including any committee thereof) with apparent jurisdiction to order the Executive to disclose or make accessible any information, (d) disclosures with respect to any other litigation, arbitration or mediation involving this Agreement, and</w:t>
      </w:r>
    </w:p>
    <w:p>
      <w:pPr>
        <w:spacing w:after="0" w:line="1" w:lineRule="exact"/>
        <w:rPr>
          <w:rFonts w:ascii="Times New Roman" w:cs="Times New Roman" w:eastAsia="Times New Roman" w:hAnsi="Times New Roman"/>
          <w:sz w:val="14"/>
          <w:szCs w:val="14"/>
          <w:color w:val="auto"/>
        </w:rPr>
      </w:pPr>
    </w:p>
    <w:p>
      <w:pPr>
        <w:ind w:firstLine="4"/>
        <w:spacing w:after="0" w:line="271" w:lineRule="auto"/>
        <w:tabs>
          <w:tab w:leader="none" w:pos="20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disclosures of any such confidential or proprietary information that is, at the time of such disclosure, generally known to and available for use by the public and not by the Executive’s wrongful act or omission.</w:t>
      </w:r>
    </w:p>
    <w:p>
      <w:pPr>
        <w:spacing w:after="0" w:line="115" w:lineRule="exact"/>
        <w:rPr>
          <w:rFonts w:ascii="Times New Roman" w:cs="Times New Roman" w:eastAsia="Times New Roman" w:hAnsi="Times New Roman"/>
          <w:sz w:val="14"/>
          <w:szCs w:val="14"/>
          <w:color w:val="auto"/>
        </w:rPr>
      </w:pPr>
    </w:p>
    <w:p>
      <w:pPr>
        <w:jc w:val="both"/>
        <w:ind w:firstLine="436"/>
        <w:spacing w:after="0" w:line="268" w:lineRule="auto"/>
        <w:tabs>
          <w:tab w:leader="none" w:pos="864"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Executive believes that she may be required to disclose any such confidential or proprietary information pursuant to applicable law, court order or subpoena, she shall immediately notify the Company in writing by overnight delivery, directed to the Chairman of the Board, of any such perceived requirement so that the Company may seek an appropriate protective order or other appropriate remedy or waive compliance with this confidentiality requirement. Executive shall also reasonably cooperate with the Company to obtain such a protective order or other remedy.</w:t>
      </w:r>
    </w:p>
    <w:p>
      <w:pPr>
        <w:spacing w:after="0" w:line="108" w:lineRule="exact"/>
        <w:rPr>
          <w:rFonts w:ascii="Times New Roman" w:cs="Times New Roman" w:eastAsia="Times New Roman" w:hAnsi="Times New Roman"/>
          <w:sz w:val="14"/>
          <w:szCs w:val="14"/>
          <w:color w:val="auto"/>
        </w:rPr>
      </w:pPr>
    </w:p>
    <w:p>
      <w:pPr>
        <w:jc w:val="both"/>
        <w:ind w:firstLine="436"/>
        <w:spacing w:after="0" w:line="272" w:lineRule="auto"/>
        <w:tabs>
          <w:tab w:leader="none" w:pos="864"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Article 7 to the contrary, the Executive upon leaving the employ of the Company shall be entitled to retain (i) papers and other materials of a personal nature, including but not limited to, photographs, correspondence, personal diaries, personal contact lists, calendars and personal files, except to the extent business-related information is set forth therein, (ii) information showing her compensation or relating to her reimbursement of expenses, (iii) information that she reasonably believes may be needed for tax purposes, and (iv) copies of plans,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8</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color w:val="auto"/>
        </w:rPr>
        <w:t>programs and agreements relating to her employment, or termination thereof, with the Company.</w:t>
      </w:r>
    </w:p>
    <w:p>
      <w:pPr>
        <w:spacing w:after="0" w:line="154" w:lineRule="exact"/>
        <w:rPr>
          <w:sz w:val="20"/>
          <w:szCs w:val="20"/>
          <w:color w:val="auto"/>
        </w:rPr>
      </w:pPr>
    </w:p>
    <w:p>
      <w:pPr>
        <w:jc w:val="both"/>
        <w:ind w:firstLine="436"/>
        <w:spacing w:after="0" w:line="263" w:lineRule="auto"/>
        <w:tabs>
          <w:tab w:leader="none" w:pos="86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does not prohibit Executive from making any disclosure required by law, communicating with, making a report to, or otherwise participating in any investigation or proceeding that may be conducted by the Company’s designated legal, compliance or human resources personnel, the Securities and Exchange Commission (“SEC”) and/or its Office of the Whistleblower, the Equal Employment Opportunity Commission (“EEOC”), the Occupational Safety and Health Administration (“OSHA”), the National Labor Relations Board (“NLRB”), or other federal, state or local government agencies or entities. Executive is not prohibited from disclosing this Agreement or its contents, or from providing documents or other information, to the SEC and/or the Office of the Whistleblower, EEOC, OSHA, NLRB or any other such federal, state or local governmental entity. Executive does not need to provide notice to or obtain the prior authorization of the Board or the Company’s General Counsel to make any such report or disclosure and Executive is not required to notify the Company that Executive has made such reports or disclosures.</w:t>
      </w:r>
    </w:p>
    <w:p>
      <w:pPr>
        <w:spacing w:after="0" w:line="124" w:lineRule="exact"/>
        <w:rPr>
          <w:rFonts w:ascii="Times New Roman" w:cs="Times New Roman" w:eastAsia="Times New Roman" w:hAnsi="Times New Roman"/>
          <w:sz w:val="14"/>
          <w:szCs w:val="14"/>
          <w:color w:val="auto"/>
        </w:rPr>
      </w:pPr>
    </w:p>
    <w:p>
      <w:pPr>
        <w:jc w:val="both"/>
        <w:ind w:firstLine="436"/>
        <w:spacing w:after="0" w:line="263" w:lineRule="auto"/>
        <w:tabs>
          <w:tab w:leader="none" w:pos="86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Under Defend Trade Secrets Act</w:t>
      </w:r>
      <w:r>
        <w:rPr>
          <w:rFonts w:ascii="Times New Roman" w:cs="Times New Roman" w:eastAsia="Times New Roman" w:hAnsi="Times New Roman"/>
          <w:sz w:val="14"/>
          <w:szCs w:val="14"/>
          <w:color w:val="auto"/>
        </w:rPr>
        <w:t>: Notwithstanding the requirements contained in this Agreement, in accordance with the Defend Trade Secrets Act, Executive will not be held criminally or civilly liable under any federal or state trade secret law if Executive discloses a Trade Secret in confidence to federal, state or local government officials, to Executive’s attorney solely for the purpose of reporting or investigating a suspected violation of law, or in a sealed complaint or other document filed in a lawsuit or other proceeding. Further, if Executive files a lawsuit alleging retaliation by the Company for reporting a suspected violation of law, Executive may disclose the Trade Secret to her attorney and use the Trade Secret information in the court proceeding if Executive: (i) files the document containing the Trade Secret in a sealed court document; and (ii) does not disclose the Trade Secret, except pursuant to court order. However, if Executive engages in conduct otherwise prohibited by law, such as, but not limited to, accessing Trade Secrets unlawfully or by unauthorized means, no immunity shall apply and the Company reserves the right to pursue all available remedies.</w:t>
      </w:r>
    </w:p>
    <w:p>
      <w:pPr>
        <w:spacing w:after="0" w:line="115"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in this Agreement, Executive has the right to:</w:t>
      </w:r>
    </w:p>
    <w:p>
      <w:pPr>
        <w:spacing w:after="0" w:line="154" w:lineRule="exact"/>
        <w:rPr>
          <w:sz w:val="20"/>
          <w:szCs w:val="20"/>
          <w:color w:val="auto"/>
        </w:rPr>
      </w:pPr>
    </w:p>
    <w:p>
      <w:pPr>
        <w:jc w:val="both"/>
        <w:ind w:firstLine="436"/>
        <w:spacing w:after="0" w:line="275" w:lineRule="auto"/>
        <w:tabs>
          <w:tab w:leader="none" w:pos="856"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respond to or cooperate with an investigation into possible violations of state or federal laws or regulations involving a governmental agency or entity including the Congress, the Department of Justice, the SEC and/or its Office of the Whistleblower (www.sec.gov/whistleblower); Office of the Whistleblower Hotline (202) 551-4790, the EEOC, the OSHA, the NLRB, and any other such federal, state or local agency. This includes reporting violations of the federal securities laws or regulations;</w:t>
      </w:r>
    </w:p>
    <w:p>
      <w:pPr>
        <w:spacing w:after="0" w:line="112" w:lineRule="exact"/>
        <w:rPr>
          <w:rFonts w:ascii="Times New Roman" w:cs="Times New Roman" w:eastAsia="Times New Roman" w:hAnsi="Times New Roman"/>
          <w:sz w:val="14"/>
          <w:szCs w:val="14"/>
          <w:color w:val="auto"/>
        </w:rPr>
      </w:pPr>
    </w:p>
    <w:p>
      <w:pPr>
        <w:ind w:left="860" w:hanging="424"/>
        <w:spacing w:after="0"/>
        <w:tabs>
          <w:tab w:leader="none" w:pos="86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disclosures that are protected by federal, state or local whistleblower laws;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9</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64" w:name="page165"/>
    <w:bookmarkEnd w:id="164"/>
    <w:p>
      <w:pPr>
        <w:ind w:left="1280" w:hanging="424"/>
        <w:spacing w:after="0"/>
        <w:tabs>
          <w:tab w:leader="none" w:pos="12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Cooperate in an investigation, respond to an inquiry, or provide testimony before the SEC or any other federal, state or local regulatory or law enforcement authority; and</w:t>
      </w:r>
    </w:p>
    <w:p>
      <w:pPr>
        <w:spacing w:after="0" w:line="154" w:lineRule="exact"/>
        <w:rPr>
          <w:rFonts w:ascii="Times New Roman" w:cs="Times New Roman" w:eastAsia="Times New Roman" w:hAnsi="Times New Roman"/>
          <w:sz w:val="14"/>
          <w:szCs w:val="14"/>
          <w:color w:val="auto"/>
        </w:rPr>
      </w:pPr>
    </w:p>
    <w:p>
      <w:pPr>
        <w:ind w:left="420" w:firstLine="436"/>
        <w:spacing w:after="0" w:line="295" w:lineRule="auto"/>
        <w:tabs>
          <w:tab w:leader="none" w:pos="128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reports or disclosures to law enforcement or regulatory authorities without authorization from the Company, without notifying the Company that a report or disclosure will be or was made, and without revealing the substance of the report or disclosure to the Company.</w:t>
      </w:r>
    </w:p>
    <w:p>
      <w:pPr>
        <w:spacing w:after="0" w:line="99" w:lineRule="exact"/>
        <w:rPr>
          <w:sz w:val="20"/>
          <w:szCs w:val="20"/>
          <w:color w:val="auto"/>
        </w:rPr>
      </w:pPr>
    </w:p>
    <w:p>
      <w:pPr>
        <w:ind w:firstLine="180"/>
        <w:spacing w:after="0" w:line="295" w:lineRule="auto"/>
        <w:rPr>
          <w:sz w:val="20"/>
          <w:szCs w:val="20"/>
          <w:color w:val="auto"/>
        </w:rPr>
      </w:pPr>
      <w:r>
        <w:rPr>
          <w:rFonts w:ascii="Times New Roman" w:cs="Times New Roman" w:eastAsia="Times New Roman" w:hAnsi="Times New Roman"/>
          <w:sz w:val="14"/>
          <w:szCs w:val="14"/>
          <w:color w:val="auto"/>
        </w:rPr>
        <w:t>Executive will not be retaliated against for reporting to the Company or to any governmental agency or entity, including the SEC, information that Executive reasonably believes relates to a possible violation of securities laws or for reporting misconduct. Retaliation under such circumstances is prohibited by law.</w:t>
      </w:r>
    </w:p>
    <w:p>
      <w:pPr>
        <w:spacing w:after="0" w:line="90" w:lineRule="exact"/>
        <w:rPr>
          <w:sz w:val="20"/>
          <w:szCs w:val="20"/>
          <w:color w:val="auto"/>
        </w:rPr>
      </w:pPr>
    </w:p>
    <w:p>
      <w:pPr>
        <w:jc w:val="both"/>
        <w:ind w:left="420" w:firstLine="436"/>
        <w:spacing w:after="0" w:line="263" w:lineRule="auto"/>
        <w:tabs>
          <w:tab w:leader="none" w:pos="1284" w:val="left"/>
        </w:tabs>
        <w:numPr>
          <w:ilvl w:val="1"/>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does not prevent, interfere with or limit Executive’s ability to file a charge or complaint with, report conduct to, provide information to or participate in any investigation or proceeding conducted by the Equal Employment Opportunity Commission, the National Labor Relations Board, the Occupational Safety and Health Administrative, the Securities and Exchange Commission or any other federal, state or local government agency or commission. Executive agrees that, if such a charge or complaint is made, or investigation or proceeding is initiated against the Company, Executive will not accept, be entitled to, receive, or recover any monetary damages or any other form of relief or remedy to the fullest extent permitted by law EXCEPT THAT THIS AGREEMENT DOES NOT WAIVE OR LIMIT EXECUTIVE’S RIGHT TO RECEIVE A MONETARY AWARD FOR INFORMATION PROVIDED TO THE SEC AS AN SEC WHISTLEBLOWER OR TO RECEIVE A MONETARY AWARD FROM ANY OTHER FEDERAL OR STATE AGENCY PURSUANT TO A SIMILAR WHISTLEBLOWER PROGRAM.</w:t>
      </w:r>
    </w:p>
    <w:p>
      <w:pPr>
        <w:spacing w:after="0" w:line="113"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VACATIONS; LEAVE</w:t>
      </w:r>
    </w:p>
    <w:p>
      <w:pPr>
        <w:spacing w:after="0" w:line="156" w:lineRule="exact"/>
        <w:rPr>
          <w:rFonts w:ascii="Times New Roman" w:cs="Times New Roman" w:eastAsia="Times New Roman" w:hAnsi="Times New Roman"/>
          <w:sz w:val="14"/>
          <w:szCs w:val="14"/>
          <w:b w:val="1"/>
          <w:bCs w:val="1"/>
          <w:color w:val="auto"/>
        </w:rPr>
      </w:pPr>
    </w:p>
    <w:p>
      <w:pPr>
        <w:jc w:val="both"/>
        <w:ind w:left="420" w:firstLine="436"/>
        <w:spacing w:after="0" w:line="272" w:lineRule="auto"/>
        <w:tabs>
          <w:tab w:leader="none" w:pos="1284"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shall be entitled to an aggregate of five (5) weeks vacation time annually during the Term, the time and duration thereof to be determined by mutual agreement between the Employee and the Board. Any vacation time not used by the end of the Term shall be forfeited without compensation. In addition, the Employee shall not be entitled to carry over or use any vacation time that is unused as of the end of the Term. Further, the Employee shall be entitled to the number of sick, personal, family and other days off during the Term as set forth in KICO’s employee handbook.</w:t>
      </w:r>
    </w:p>
    <w:p>
      <w:pPr>
        <w:spacing w:after="0" w:line="105"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PARTICIPATION IN EMPLOYEE BENEFIT PLANS; RESTRICTED STOCK GRANTS</w:t>
      </w:r>
    </w:p>
    <w:p>
      <w:pPr>
        <w:spacing w:after="0" w:line="156" w:lineRule="exact"/>
        <w:rPr>
          <w:rFonts w:ascii="Times New Roman" w:cs="Times New Roman" w:eastAsia="Times New Roman" w:hAnsi="Times New Roman"/>
          <w:sz w:val="14"/>
          <w:szCs w:val="14"/>
          <w:b w:val="1"/>
          <w:bCs w:val="1"/>
          <w:color w:val="auto"/>
        </w:rPr>
      </w:pPr>
    </w:p>
    <w:p>
      <w:pPr>
        <w:ind w:left="420" w:firstLine="436"/>
        <w:spacing w:after="0" w:line="309" w:lineRule="auto"/>
        <w:tabs>
          <w:tab w:leader="none" w:pos="1284"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shall be accorded the right to participate in and receive benefits under and in accordance with the provisions of any insurance, medical and dental insurance or reimbursement (with family coverage) or other plan or program of the Company or KICO (other than a pension or profit sharing plan or program), either in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300"/>
          </w:cols>
          <w:pgMar w:left="300" w:top="994" w:right="299" w:bottom="1440" w:gutter="0" w:footer="0" w:header="0"/>
        </w:sectPr>
      </w:pPr>
    </w:p>
    <w:bookmarkStart w:id="165" w:name="page166"/>
    <w:bookmarkEnd w:id="165"/>
    <w:p>
      <w:pPr>
        <w:jc w:val="both"/>
        <w:ind w:left="420"/>
        <w:spacing w:after="0" w:line="272" w:lineRule="auto"/>
        <w:rPr>
          <w:sz w:val="20"/>
          <w:szCs w:val="20"/>
          <w:color w:val="auto"/>
        </w:rPr>
      </w:pPr>
      <w:r>
        <w:rPr>
          <w:rFonts w:ascii="Times New Roman" w:cs="Times New Roman" w:eastAsia="Times New Roman" w:hAnsi="Times New Roman"/>
          <w:sz w:val="14"/>
          <w:szCs w:val="14"/>
          <w:color w:val="auto"/>
        </w:rPr>
        <w:t>existence as of the Effective Date or thereafter adopted for the benefit generally of its executive employees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Additionally, in the event of termination of the Employee's employment by the Company without Cause, or by the Employee for Good Reason, the Company or KICO shall continue to provide to the Employee health, dental, and vision insurance coverage at no cost to the Employee (with family coverage) until (a) the end of the Severance Period (as hereinafter defined) or (b) such time as the Employee becomes eligible for similar coverage through a successor employer, whichever is sooner.</w:t>
      </w:r>
    </w:p>
    <w:p>
      <w:pPr>
        <w:spacing w:after="0" w:line="107" w:lineRule="exact"/>
        <w:rPr>
          <w:sz w:val="20"/>
          <w:szCs w:val="20"/>
          <w:color w:val="auto"/>
        </w:rPr>
      </w:pPr>
    </w:p>
    <w:p>
      <w:pPr>
        <w:jc w:val="both"/>
        <w:ind w:left="420" w:firstLine="436"/>
        <w:spacing w:after="0" w:line="275" w:lineRule="auto"/>
        <w:tabs>
          <w:tab w:leader="none" w:pos="128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Company elects to discontinue any term life insurance policy purchased by it during the Term with respect to the Employee, prior to any such discontinuance and/or in the event the Employee’s employment with the Company ceases for any reason, the Employee shall be offered the opportunity to have such policy transferred to her without cost, it being understood that the Employee shall be responsible for the payment of any and all premiums thereafter due.</w:t>
      </w:r>
    </w:p>
    <w:p>
      <w:pPr>
        <w:spacing w:after="0" w:line="103" w:lineRule="exact"/>
        <w:rPr>
          <w:rFonts w:ascii="Times New Roman" w:cs="Times New Roman" w:eastAsia="Times New Roman" w:hAnsi="Times New Roman"/>
          <w:sz w:val="14"/>
          <w:szCs w:val="14"/>
          <w:color w:val="auto"/>
        </w:rPr>
      </w:pPr>
    </w:p>
    <w:p>
      <w:pPr>
        <w:jc w:val="both"/>
        <w:ind w:left="420" w:firstLine="436"/>
        <w:spacing w:after="0" w:line="265" w:lineRule="auto"/>
        <w:tabs>
          <w:tab w:leader="none" w:pos="1284"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calendar year of the Term, the Employee will be eligible to participate in the Kingstone Companies, Inc. 2024 Equity Participation Plan (or similar equity incentive plan), if adopted by the Board and approved by the Company’s stockholders (the “Equity Plan”), on such basis as is determined in the discretion of the Board or an authorized committee thereof in accordance with the terms of the Equity Plan. Without limiting the generality of the foregoing, for each calendar year of the Term, subject to any contractual restrictions to which the Company may be bound, the Employee will be entitled to a grant on the first business day of such calendar year of 40,000 shares of Common Stock pursuant to Section 16 of the Equity Plan (subject to adjustment for stock splits, reverse stock splits and the like), vesting as follows, based on continuous service with the Company as an employee, director or consultant through the applicable vesting date:</w:t>
      </w:r>
    </w:p>
    <w:p>
      <w:pPr>
        <w:spacing w:after="0" w:line="120" w:lineRule="exact"/>
        <w:rPr>
          <w:sz w:val="20"/>
          <w:szCs w:val="20"/>
          <w:color w:val="auto"/>
        </w:rPr>
      </w:pPr>
    </w:p>
    <w:tbl>
      <w:tblPr>
        <w:tblLayout w:type="fixed"/>
        <w:tblInd w:w="590" w:type="dxa"/>
        <w:tblCellMar>
          <w:top w:w="0" w:type="dxa"/>
          <w:left w:w="0" w:type="dxa"/>
          <w:bottom w:w="0" w:type="dxa"/>
          <w:right w:w="0" w:type="dxa"/>
        </w:tblCellMar>
      </w:tblPr>
      <w:tr>
        <w:trPr>
          <w:trHeight w:val="198"/>
        </w:trPr>
        <w:tc>
          <w:tcPr>
            <w:tcW w:w="39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Grant for Calendar 2025</w:t>
            </w:r>
          </w:p>
        </w:tc>
        <w:tc>
          <w:tcPr>
            <w:tcW w:w="45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 on first anniversary of grant date</w:t>
            </w:r>
          </w:p>
        </w:tc>
        <w:tc>
          <w:tcPr>
            <w:tcW w:w="0" w:type="dxa"/>
            <w:vAlign w:val="bottom"/>
          </w:tcPr>
          <w:p>
            <w:pPr>
              <w:spacing w:after="0"/>
              <w:rPr>
                <w:sz w:val="1"/>
                <w:szCs w:val="1"/>
                <w:color w:val="auto"/>
              </w:rPr>
            </w:pPr>
          </w:p>
        </w:tc>
      </w:tr>
      <w:tr>
        <w:trPr>
          <w:trHeight w:val="189"/>
        </w:trPr>
        <w:tc>
          <w:tcPr>
            <w:tcW w:w="3940" w:type="dxa"/>
            <w:vAlign w:val="bottom"/>
            <w:tcBorders>
              <w:left w:val="single" w:sz="8" w:color="auto"/>
              <w:bottom w:val="single" w:sz="8" w:color="auto"/>
              <w:right w:val="single" w:sz="8" w:color="auto"/>
            </w:tcBorders>
          </w:tcPr>
          <w:p>
            <w:pPr>
              <w:spacing w:after="0"/>
              <w:rPr>
                <w:sz w:val="16"/>
                <w:szCs w:val="16"/>
                <w:color w:val="auto"/>
              </w:rPr>
            </w:pPr>
          </w:p>
        </w:tc>
        <w:tc>
          <w:tcPr>
            <w:tcW w:w="45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1/2 on December 31, 2026</w:t>
            </w:r>
          </w:p>
        </w:tc>
        <w:tc>
          <w:tcPr>
            <w:tcW w:w="0" w:type="dxa"/>
            <w:vAlign w:val="bottom"/>
          </w:tcPr>
          <w:p>
            <w:pPr>
              <w:spacing w:after="0"/>
              <w:rPr>
                <w:sz w:val="1"/>
                <w:szCs w:val="1"/>
                <w:color w:val="auto"/>
              </w:rPr>
            </w:pPr>
          </w:p>
        </w:tc>
      </w:tr>
      <w:tr>
        <w:trPr>
          <w:trHeight w:val="187"/>
        </w:trPr>
        <w:tc>
          <w:tcPr>
            <w:tcW w:w="39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 for Calendar 2026</w:t>
            </w:r>
          </w:p>
        </w:tc>
        <w:tc>
          <w:tcPr>
            <w:tcW w:w="4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100% on December 31, 2026</w:t>
            </w:r>
          </w:p>
        </w:tc>
        <w:tc>
          <w:tcPr>
            <w:tcW w:w="0" w:type="dxa"/>
            <w:vAlign w:val="bottom"/>
          </w:tcPr>
          <w:p>
            <w:pPr>
              <w:spacing w:after="0"/>
              <w:rPr>
                <w:sz w:val="1"/>
                <w:szCs w:val="1"/>
                <w:color w:val="auto"/>
              </w:rPr>
            </w:pPr>
          </w:p>
        </w:tc>
      </w:tr>
      <w:tr>
        <w:trPr>
          <w:trHeight w:val="81"/>
        </w:trPr>
        <w:tc>
          <w:tcPr>
            <w:tcW w:w="3940" w:type="dxa"/>
            <w:vAlign w:val="bottom"/>
            <w:tcBorders>
              <w:left w:val="single" w:sz="8" w:color="auto"/>
              <w:right w:val="single" w:sz="8" w:color="auto"/>
            </w:tcBorders>
            <w:vMerge w:val="continue"/>
          </w:tcPr>
          <w:p>
            <w:pPr>
              <w:spacing w:after="0"/>
              <w:rPr>
                <w:sz w:val="7"/>
                <w:szCs w:val="7"/>
                <w:color w:val="auto"/>
              </w:rPr>
            </w:pPr>
          </w:p>
        </w:tc>
        <w:tc>
          <w:tcPr>
            <w:tcW w:w="4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3940" w:type="dxa"/>
            <w:vAlign w:val="bottom"/>
            <w:tcBorders>
              <w:left w:val="single" w:sz="8" w:color="auto"/>
              <w:bottom w:val="single" w:sz="8" w:color="auto"/>
              <w:right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Notwithstanding the foregoing, (a) the grants will vest earlier than the dates specified in the chart above to the extent provided for in the Equity Plan, (b) the Employee shall not be entitled to a grant of shares of Common Stock hereunder if, prior to the grant date, a Change of Control (as hereinafter defined) shall have occurred and (c) in the event the Employee is not entitled to receive a grant of shares of Common Stock pursuant to this Section 9.3 pursuant to the provisions hereof, including clause (b) above, then the Employee shall be entitled to receive in lieu of such grant a lump sum cash bonus in the amount of $136,500.</w:t>
      </w:r>
    </w:p>
    <w:p>
      <w:pPr>
        <w:spacing w:after="0" w:line="105" w:lineRule="exact"/>
        <w:rPr>
          <w:sz w:val="20"/>
          <w:szCs w:val="20"/>
          <w:color w:val="auto"/>
        </w:rPr>
      </w:pPr>
    </w:p>
    <w:p>
      <w:pPr>
        <w:ind w:left="860" w:hanging="436"/>
        <w:spacing w:after="0"/>
        <w:tabs>
          <w:tab w:leader="none" w:pos="86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SERVICE AS OFFICER AND DIRECTOR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300"/>
          </w:cols>
          <w:pgMar w:left="300" w:top="994" w:right="299" w:bottom="1440" w:gutter="0" w:footer="0" w:header="0"/>
        </w:sectPr>
      </w:pPr>
    </w:p>
    <w:bookmarkStart w:id="166" w:name="page167"/>
    <w:bookmarkEnd w:id="166"/>
    <w:p>
      <w:pPr>
        <w:jc w:val="both"/>
        <w:ind w:firstLine="436"/>
        <w:spacing w:after="0" w:line="272" w:lineRule="auto"/>
        <w:tabs>
          <w:tab w:leader="none" w:pos="864"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Term, the Employee shall, if elected or appointed, serve as (a) an officer of the Company and/or any subsidiaries of the Company in existence or hereafter created or acquired and (b) a director of the Company and/or any such subsidiaries of the Company in existence or hereafter created or acquired, in each case without any additional compensation for such services. During the Term, the Company shall maintain in effect a directors and officers liability insurance policy of not less than $10 million in coverage limits, and the Company will include the Employee therein as a named insured.</w:t>
      </w:r>
    </w:p>
    <w:p>
      <w:pPr>
        <w:spacing w:after="0" w:line="105" w:lineRule="exact"/>
        <w:rPr>
          <w:rFonts w:ascii="Times New Roman" w:cs="Times New Roman" w:eastAsia="Times New Roman" w:hAnsi="Times New Roman"/>
          <w:sz w:val="14"/>
          <w:szCs w:val="14"/>
          <w:color w:val="auto"/>
        </w:rPr>
      </w:pPr>
    </w:p>
    <w:p>
      <w:pPr>
        <w:ind w:left="420" w:hanging="416"/>
        <w:spacing w:after="0"/>
        <w:tabs>
          <w:tab w:leader="none" w:pos="42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EARLIER TERMINATION</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75" w:lineRule="auto"/>
        <w:tabs>
          <w:tab w:leader="none" w:pos="864"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Employee’s employment hereunder (a) shall automatically terminate upon her death, (b) may terminate at any time during the Term at the option of the Company upon written notice to the Employee for Cause or without Cause, (c) may terminate at any time during the Term at the option of the Employee upon written notice to the Company for Good Reason or without Good Reason and (d) may terminate at the option of the Company in the event the Employee becomes Disabled, as provided for in Article 6.</w:t>
      </w:r>
    </w:p>
    <w:p>
      <w:pPr>
        <w:spacing w:after="0" w:line="112" w:lineRule="exact"/>
        <w:rPr>
          <w:rFonts w:ascii="Times New Roman" w:cs="Times New Roman" w:eastAsia="Times New Roman" w:hAnsi="Times New Roman"/>
          <w:sz w:val="14"/>
          <w:szCs w:val="14"/>
          <w:color w:val="auto"/>
        </w:rPr>
      </w:pPr>
    </w:p>
    <w:p>
      <w:pPr>
        <w:jc w:val="both"/>
        <w:ind w:firstLine="436"/>
        <w:spacing w:after="0" w:line="261" w:lineRule="auto"/>
        <w:tabs>
          <w:tab w:leader="none" w:pos="864"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“Cause” shall mean (a) the Employee’s conviction by a court of competent jurisdiction of the commission of any act in the performance of her duties constituting common law fraud or a felony, (b) the Employee’s commission of any act involving moral turpitude which the Company’s Board of Directors reasonably believes may have a material adverse effect on the Company and its subsidiaries taken as a whole (“Material Adverse Effect”), (c) any misrepresentation by the Employee (including, without limitation, a breach of any representation set forth in Section 13.1 hereof) which the Company’s Board of Directors reasonably believes may have a Material Adverse Effect, (d) any breach of any material covenant on the Employee’s part herein set forth (which breach, if curable, is not cured by the Employee within thirty (30) days of the Employee’s receipt of written notice thereof from the Company), or (e) the Employee’s engagement in gross negligence or willful misconduct which the Company’s Board of Directors reasonably believes may have a Material Adverse Effect. The parties agree that the term “Material Adverse Effect” includes the loss or suspension of any license for the Company or KICO to operate or any disqualification or suspension for the Employee to serve as an officer or director thereof under applicable law. No act or failure to act by the Executive shall be considered “Cause” if the Executive’s act or failure to act was based on authority or express direction given by the Board or the advice of counsel for the Company.</w:t>
      </w:r>
    </w:p>
    <w:p>
      <w:pPr>
        <w:spacing w:after="0" w:line="116" w:lineRule="exact"/>
        <w:rPr>
          <w:rFonts w:ascii="Times New Roman" w:cs="Times New Roman" w:eastAsia="Times New Roman" w:hAnsi="Times New Roman"/>
          <w:sz w:val="14"/>
          <w:szCs w:val="14"/>
          <w:color w:val="auto"/>
        </w:rPr>
      </w:pPr>
    </w:p>
    <w:p>
      <w:pPr>
        <w:jc w:val="both"/>
        <w:ind w:firstLine="436"/>
        <w:spacing w:after="0" w:line="282" w:lineRule="auto"/>
        <w:tabs>
          <w:tab w:leader="none" w:pos="864"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Agreement, “Good Reason” shall mean (a) any breach of any material obligation on the Company’s part (which breach, if curable, is not cured by the Company within thirty (30) days of the Company’s receipt of written notice thereof from the Employee), (b) a material diminution in the Employee’s duties and responsibilities (other than following an event constituting Cause) in her capacity as Chief Executive Officer and President of the Company, (c) a change in the Employee's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12</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67" w:name="page168"/>
    <w:bookmarkEnd w:id="167"/>
    <w:p>
      <w:pPr>
        <w:ind w:right="20"/>
        <w:spacing w:after="0" w:line="295" w:lineRule="auto"/>
        <w:rPr>
          <w:sz w:val="20"/>
          <w:szCs w:val="20"/>
          <w:color w:val="auto"/>
        </w:rPr>
      </w:pPr>
      <w:r>
        <w:rPr>
          <w:rFonts w:ascii="Times New Roman" w:cs="Times New Roman" w:eastAsia="Times New Roman" w:hAnsi="Times New Roman"/>
          <w:sz w:val="14"/>
          <w:szCs w:val="14"/>
          <w:color w:val="auto"/>
        </w:rPr>
        <w:t>current reporting structure (other than following an event constituting Cause), or (d) a decrease in the compensation payable to the Employee from the compensation payable pursuant to this Agreement.</w:t>
      </w:r>
    </w:p>
    <w:p>
      <w:pPr>
        <w:spacing w:after="0" w:line="90" w:lineRule="exact"/>
        <w:rPr>
          <w:sz w:val="20"/>
          <w:szCs w:val="20"/>
          <w:color w:val="auto"/>
        </w:rPr>
      </w:pPr>
    </w:p>
    <w:p>
      <w:pPr>
        <w:jc w:val="both"/>
        <w:ind w:firstLine="436"/>
        <w:spacing w:after="0" w:line="264" w:lineRule="auto"/>
        <w:tabs>
          <w:tab w:leader="none" w:pos="864"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termination of the Employee’s employment by the Company for Cause or by the Employee without Good Reason, the Company shall have no further obligations to the Employee, and the Employee shall be entitled to no further compensation from the Company, except (a) for any pro-rata amounts due to the Employee at such date of termination, as provided for in Section 4.2 hereof, and (b) in the case of a termination of employment by the Employee without Good Reason, for any Bonus amount for the completed calendar year immediately preceding the date of termination, as provided for in Section 4.3 hereof. As an illustration of the foregoing, in the event of a termination of employment by the Employee without Good Reason on March 1, the Employee would be entitled to receive the amount payable to her pursuant to Section 4.2 hereof to March 1 and the amount, if any, payable to her pursuant to Section 4.3 hereof for the immediately preceding calendar year ended December 31. In the event of the termination of the Employee’s employment by the Company for Cause or by the Employee without Good Reason, the amount to be paid to the Employee pursuant to this Section 11.4 shall constitute the sole and exclusive remedy of the Employee, and the Employee shall not be entitled to any other or further compensation, rights or benefits hereunder or otherwise.</w:t>
      </w:r>
    </w:p>
    <w:p>
      <w:pPr>
        <w:spacing w:after="0" w:line="113" w:lineRule="exact"/>
        <w:rPr>
          <w:rFonts w:ascii="Times New Roman" w:cs="Times New Roman" w:eastAsia="Times New Roman" w:hAnsi="Times New Roman"/>
          <w:sz w:val="14"/>
          <w:szCs w:val="14"/>
          <w:color w:val="auto"/>
        </w:rPr>
      </w:pPr>
    </w:p>
    <w:p>
      <w:pPr>
        <w:jc w:val="both"/>
        <w:ind w:firstLine="436"/>
        <w:spacing w:after="0" w:line="265" w:lineRule="auto"/>
        <w:tabs>
          <w:tab w:leader="none" w:pos="864"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termination of the Employee’s employment during the Term by the Company without Cause or by the Employee for Good Reason, as liquidated damages, the Employee shall be entitled to receive the compensation to which she would have been entitled pursuant to Section 4.2 until (a) the Expiration Date or (b) twelve (12) months from the Cessation Date, whichever is later (the “Severance Period”). The compensation payable pursuant to this Section 11.5 shall be payable to the Employee in accordance with the Company’s standard payroll practices as if her employment had continued. The amount to be paid to the Employee pursuant to this Section 11.5 shall constitute the sole and exclusive remedy of the Employee, and the Employee shall not be entitled to any other or further compensation, rights or benefits hereunder or otherwise other than as provided for in the stock grant agreements entered into as contemplated by Section 9.3.</w:t>
      </w:r>
    </w:p>
    <w:p>
      <w:pPr>
        <w:spacing w:after="0" w:line="112" w:lineRule="exact"/>
        <w:rPr>
          <w:rFonts w:ascii="Times New Roman" w:cs="Times New Roman" w:eastAsia="Times New Roman" w:hAnsi="Times New Roman"/>
          <w:sz w:val="14"/>
          <w:szCs w:val="14"/>
          <w:color w:val="auto"/>
        </w:rPr>
      </w:pPr>
    </w:p>
    <w:p>
      <w:pPr>
        <w:ind w:firstLine="436"/>
        <w:spacing w:after="0" w:line="295" w:lineRule="auto"/>
        <w:tabs>
          <w:tab w:leader="none" w:pos="864"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order to protect the Employee against the possible consequences and uncertainties of a Change of Control of the Company and thereby induce the Employee to remain in the employ of the Company, the Company agrees that:</w:t>
      </w:r>
    </w:p>
    <w:p>
      <w:pPr>
        <w:spacing w:after="0" w:line="90" w:lineRule="exact"/>
        <w:rPr>
          <w:rFonts w:ascii="Times New Roman" w:cs="Times New Roman" w:eastAsia="Times New Roman" w:hAnsi="Times New Roman"/>
          <w:sz w:val="14"/>
          <w:szCs w:val="14"/>
          <w:color w:val="auto"/>
        </w:rPr>
      </w:pPr>
    </w:p>
    <w:p>
      <w:pPr>
        <w:jc w:val="both"/>
        <w:ind w:firstLine="796"/>
        <w:spacing w:after="0" w:line="282" w:lineRule="auto"/>
        <w:tabs>
          <w:tab w:leader="none" w:pos="1288"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during the Term or thereafter, the Employee’s employment is terminated by the Company other than for Cause or by the Employee for Good Reason within eighteen (18) months subsequent to a Change of Control that occurs during the Term, the Company shall pay to the Employee an amount in cash equal to the sum of (i) one and one-half (1.5) times the Base Salary (as reduced pursuant to Section 4.2) and (ii) the Bonus through the Termination Date, calculated pursuant to Section 4.3(c)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13</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68" w:name="page169"/>
    <w:bookmarkEnd w:id="168"/>
    <w:p>
      <w:pPr>
        <w:jc w:val="both"/>
        <w:spacing w:after="0" w:line="265" w:lineRule="auto"/>
        <w:rPr>
          <w:sz w:val="20"/>
          <w:szCs w:val="20"/>
          <w:color w:val="auto"/>
        </w:rPr>
      </w:pPr>
      <w:r>
        <w:rPr>
          <w:rFonts w:ascii="Times New Roman" w:cs="Times New Roman" w:eastAsia="Times New Roman" w:hAnsi="Times New Roman"/>
          <w:sz w:val="14"/>
          <w:szCs w:val="14"/>
          <w:color w:val="auto"/>
        </w:rPr>
        <w:t>“Change of Control Payment”). The Change of Control Payment shall be payable in one lump sum payment within ten (10) days following the date of termination of employment, except that the Bonus through the Termination Date shall be payable as provided for in Section 4.3(d). In addition, in such event, the Company shall continue to pay for the Employee's health insurance premiums, including family coverage, until the later of (i) the Expiration Date or (ii) twelve (12) months from the Cessation Date. The Change of Control Payment shall be in lieu of the amount payable to the Employee pursuant to Section 11.5 hereof. The amount to be paid to the Employee pursuant to this Section 11.6 shall constitute the sole and exclusive remedy of the Employee, and the Employee shall not be entitled to any other or further compensation, rights or benefits hereunder or otherwise other than as provided for in any stock grant agreements entered into as contemplated by Section 9.3.</w:t>
      </w:r>
    </w:p>
    <w:p>
      <w:pPr>
        <w:spacing w:after="0" w:line="112" w:lineRule="exact"/>
        <w:rPr>
          <w:sz w:val="20"/>
          <w:szCs w:val="20"/>
          <w:color w:val="auto"/>
        </w:rPr>
      </w:pPr>
    </w:p>
    <w:p>
      <w:pPr>
        <w:ind w:left="1300" w:hanging="504"/>
        <w:spacing w:after="0"/>
        <w:tabs>
          <w:tab w:leader="none" w:pos="13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Section 11.6, a “Change of Control” shall be deemed to have occurred if:</w:t>
      </w:r>
    </w:p>
    <w:p>
      <w:pPr>
        <w:spacing w:after="0" w:line="154" w:lineRule="exact"/>
        <w:rPr>
          <w:rFonts w:ascii="Times New Roman" w:cs="Times New Roman" w:eastAsia="Times New Roman" w:hAnsi="Times New Roman"/>
          <w:sz w:val="14"/>
          <w:szCs w:val="14"/>
          <w:color w:val="auto"/>
        </w:rPr>
      </w:pPr>
    </w:p>
    <w:p>
      <w:pPr>
        <w:jc w:val="both"/>
        <w:ind w:firstLine="1300"/>
        <w:spacing w:after="0" w:line="268" w:lineRule="auto"/>
        <w:tabs>
          <w:tab w:leader="none" w:pos="172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or “group of persons” (as such terms are used in Sections 13(d) and 14(d) of the Securities Exchange Act of 1934, as amended (the “1934 Act”) (other than the Employee or any “group of persons” that includes the Employee), becomes the “beneficial owner” (as defined in Rule 13d-3 promulgated under the 1934 Act), directly or indirectly, of securities of the Company representing more than twenty-five percent (25%) of the Company’s then outstanding securities having the right to vote on the election of directors (“Voting Securities”), except that there shall be excluded from the calculation any Voting Securities acquired from the Company with respect to which the Employee gave her approval as a member of the Board;</w:t>
      </w:r>
    </w:p>
    <w:p>
      <w:pPr>
        <w:spacing w:after="0" w:line="109" w:lineRule="exact"/>
        <w:rPr>
          <w:rFonts w:ascii="Times New Roman" w:cs="Times New Roman" w:eastAsia="Times New Roman" w:hAnsi="Times New Roman"/>
          <w:sz w:val="14"/>
          <w:szCs w:val="14"/>
          <w:color w:val="auto"/>
        </w:rPr>
      </w:pPr>
    </w:p>
    <w:p>
      <w:pPr>
        <w:jc w:val="both"/>
        <w:ind w:firstLine="1300"/>
        <w:spacing w:after="0" w:line="268" w:lineRule="auto"/>
        <w:tabs>
          <w:tab w:leader="none" w:pos="1724"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09" w:lineRule="exact"/>
        <w:rPr>
          <w:rFonts w:ascii="Times New Roman" w:cs="Times New Roman" w:eastAsia="Times New Roman" w:hAnsi="Times New Roman"/>
          <w:sz w:val="14"/>
          <w:szCs w:val="14"/>
          <w:color w:val="auto"/>
        </w:rPr>
      </w:pPr>
    </w:p>
    <w:p>
      <w:pPr>
        <w:jc w:val="both"/>
        <w:ind w:firstLine="1300"/>
        <w:spacing w:after="0" w:line="272" w:lineRule="auto"/>
        <w:tabs>
          <w:tab w:leader="none" w:pos="1728"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consummates (A) a reorganization, merger or consolidation of the Company, with respect to which in each case all or substantially all of the Persons who were the beneficial owners of the Voting Securities of the Company immediately prior to such reorganization, merger or consolidation do not, following such reorganization, merger or consolidation, beneficially own, directly and indirectly, more than 50% of the then combined voting power of the then outstanding voting securities entitled to vote generally in the election of directors of the corporation or other Person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14</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69" w:name="page170"/>
    <w:bookmarkEnd w:id="169"/>
    <w:p>
      <w:pPr>
        <w:ind w:left="420"/>
        <w:spacing w:after="0"/>
        <w:rPr>
          <w:sz w:val="20"/>
          <w:szCs w:val="20"/>
          <w:color w:val="auto"/>
        </w:rPr>
      </w:pPr>
      <w:r>
        <w:rPr>
          <w:rFonts w:ascii="Times New Roman" w:cs="Times New Roman" w:eastAsia="Times New Roman" w:hAnsi="Times New Roman"/>
          <w:sz w:val="14"/>
          <w:szCs w:val="14"/>
          <w:color w:val="auto"/>
        </w:rPr>
        <w:t>resulting from such reorganization, merger of consolidation, or (B) the sale or other disposition of all or substantially all of the assets of the Company.</w:t>
      </w:r>
    </w:p>
    <w:p>
      <w:pPr>
        <w:spacing w:after="0" w:line="154" w:lineRule="exact"/>
        <w:rPr>
          <w:sz w:val="20"/>
          <w:szCs w:val="20"/>
          <w:color w:val="auto"/>
        </w:rPr>
      </w:pPr>
    </w:p>
    <w:p>
      <w:pPr>
        <w:ind w:firstLine="147"/>
        <w:spacing w:after="0" w:line="309" w:lineRule="auto"/>
        <w:rPr>
          <w:sz w:val="20"/>
          <w:szCs w:val="20"/>
          <w:color w:val="auto"/>
        </w:rPr>
      </w:pPr>
      <w:r>
        <w:rPr>
          <w:rFonts w:ascii="Times New Roman" w:cs="Times New Roman" w:eastAsia="Times New Roman" w:hAnsi="Times New Roman"/>
          <w:sz w:val="14"/>
          <w:szCs w:val="14"/>
          <w:color w:val="auto"/>
        </w:rPr>
        <w:t>Notwithstanding the foregoing, no transaction or event shall constitute a Change of Control hereunder unless such transaction or event also constitutes a change in ownership or effective control of the Company within the meaning of Treasury Regulation Section 1.409A-3(i)(5)(v) or (vi)(A)(2).</w:t>
      </w:r>
    </w:p>
    <w:p>
      <w:pPr>
        <w:spacing w:after="0" w:line="98" w:lineRule="exact"/>
        <w:rPr>
          <w:sz w:val="20"/>
          <w:szCs w:val="20"/>
          <w:color w:val="auto"/>
        </w:rPr>
      </w:pPr>
    </w:p>
    <w:p>
      <w:pPr>
        <w:jc w:val="both"/>
        <w:ind w:left="420" w:firstLine="436"/>
        <w:spacing w:after="0" w:line="268" w:lineRule="auto"/>
        <w:tabs>
          <w:tab w:leader="none" w:pos="1284"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the death of the Employee during the Term, as liquidated damages, the Employee’s estate (the “Estate”) shall be entitled to receive (a) the Base Salary to which the Employee is entitled until the date of death of the Employee pursuant to Section 4.2; and (b) the Bonus compensation to which the Employee is entitled through the date of death (i.e., the Termination Date shall be considered the date of death). The amount to be paid to the Estate pursuant to this Section 11.7 shall constitute the sole and exclusive remedy of the Estate and any beneficiaries thereof, and neither the Estate nor any beneficiaries thereof shall be entitled to any other or further compensation, rights or benefits hereunder or otherwise, including pursuant to this Article 11 other than as provided for in any stock grant agreements entered into as contemplated by Section 9.3.</w:t>
      </w:r>
    </w:p>
    <w:p>
      <w:pPr>
        <w:spacing w:after="0" w:line="109" w:lineRule="exact"/>
        <w:rPr>
          <w:rFonts w:ascii="Times New Roman" w:cs="Times New Roman" w:eastAsia="Times New Roman" w:hAnsi="Times New Roman"/>
          <w:sz w:val="14"/>
          <w:szCs w:val="14"/>
          <w:color w:val="auto"/>
        </w:rPr>
      </w:pPr>
    </w:p>
    <w:p>
      <w:pPr>
        <w:jc w:val="both"/>
        <w:ind w:left="420" w:firstLine="436"/>
        <w:spacing w:after="0" w:line="282" w:lineRule="auto"/>
        <w:tabs>
          <w:tab w:leader="none" w:pos="1284"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termination or expiration of this Agreement shall not affect the continuing operation and effect of Article 7 hereof, which shall continue in full force and effect according to its terms. In addition, the termination or expiration of this Agreement will not result in a termination or waiver of any rights and remedies that the Company may have under this Agreement and applicable law.</w:t>
      </w:r>
    </w:p>
    <w:p>
      <w:pPr>
        <w:spacing w:after="0" w:line="9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INJUNCTIVE RELIEF; REMEDIES</w:t>
      </w:r>
    </w:p>
    <w:p>
      <w:pPr>
        <w:spacing w:after="0" w:line="156" w:lineRule="exact"/>
        <w:rPr>
          <w:rFonts w:ascii="Times New Roman" w:cs="Times New Roman" w:eastAsia="Times New Roman" w:hAnsi="Times New Roman"/>
          <w:sz w:val="14"/>
          <w:szCs w:val="14"/>
          <w:b w:val="1"/>
          <w:bCs w:val="1"/>
          <w:color w:val="auto"/>
        </w:rPr>
      </w:pPr>
    </w:p>
    <w:p>
      <w:pPr>
        <w:jc w:val="both"/>
        <w:ind w:left="420" w:firstLine="436"/>
        <w:spacing w:after="0" w:line="275" w:lineRule="auto"/>
        <w:tabs>
          <w:tab w:leader="none" w:pos="1284"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acknowledges and agrees that, in the event she shall violate or threaten to violate any of the restrictions of Article 3 or 7 hereof, the Company will be without an adequate remedy at law and will therefore be entitled to enforce such restrictions by temporary or permanent injunctive or mandatory relief in any court of competent jurisdiction without the necessity of proving monetary damages.</w:t>
      </w:r>
    </w:p>
    <w:p>
      <w:pPr>
        <w:spacing w:after="0" w:line="103"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agrees further that the Company shall have the following additional rights and remedies:</w:t>
      </w:r>
    </w:p>
    <w:p>
      <w:pPr>
        <w:spacing w:after="0" w:line="163" w:lineRule="exact"/>
        <w:rPr>
          <w:rFonts w:ascii="Times New Roman" w:cs="Times New Roman" w:eastAsia="Times New Roman" w:hAnsi="Times New Roman"/>
          <w:sz w:val="14"/>
          <w:szCs w:val="14"/>
          <w:color w:val="auto"/>
        </w:rPr>
      </w:pPr>
    </w:p>
    <w:p>
      <w:pPr>
        <w:jc w:val="both"/>
        <w:ind w:left="420" w:firstLine="1300"/>
        <w:spacing w:after="0" w:line="275" w:lineRule="auto"/>
        <w:tabs>
          <w:tab w:leader="none" w:pos="2140"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and remedy to require the Employee to account for and pay over to the Company all monies and other consideration derived or received by her as the result of any transactions determined by an arbitrator or a court of competent jurisdiction to be a breach of any of the provisions of Section 7.1, and the Employee hereby agrees to account for and pay over such monies and other consideration to the Company; and</w:t>
      </w:r>
    </w:p>
    <w:p>
      <w:pPr>
        <w:spacing w:after="0" w:line="103" w:lineRule="exact"/>
        <w:rPr>
          <w:rFonts w:ascii="Times New Roman" w:cs="Times New Roman" w:eastAsia="Times New Roman" w:hAnsi="Times New Roman"/>
          <w:sz w:val="14"/>
          <w:szCs w:val="14"/>
          <w:color w:val="auto"/>
        </w:rPr>
      </w:pPr>
    </w:p>
    <w:p>
      <w:pPr>
        <w:ind w:left="2140" w:hanging="420"/>
        <w:spacing w:after="0"/>
        <w:tabs>
          <w:tab w:leader="none" w:pos="2140" w:val="left"/>
        </w:tabs>
        <w:numPr>
          <w:ilvl w:val="2"/>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to recover attorneys’ fees incurred in any action or proceeding in which it seeks to enforce its rights under Article 7 hereof and is successful</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300"/>
          </w:cols>
          <w:pgMar w:left="300" w:top="994" w:right="299" w:bottom="1440" w:gutter="0" w:footer="0" w:header="0"/>
        </w:sectPr>
      </w:pPr>
    </w:p>
    <w:bookmarkStart w:id="170" w:name="page171"/>
    <w:bookmarkEnd w:id="170"/>
    <w:p>
      <w:pPr>
        <w:spacing w:after="0" w:line="295" w:lineRule="auto"/>
        <w:rPr>
          <w:sz w:val="20"/>
          <w:szCs w:val="20"/>
          <w:color w:val="auto"/>
        </w:rPr>
      </w:pPr>
      <w:r>
        <w:rPr>
          <w:rFonts w:ascii="Times New Roman" w:cs="Times New Roman" w:eastAsia="Times New Roman" w:hAnsi="Times New Roman"/>
          <w:sz w:val="14"/>
          <w:szCs w:val="14"/>
          <w:color w:val="auto"/>
        </w:rPr>
        <w:t>on any grounds; provided, however, that, in the event the Employee is the prevailing party in any such action or proceeding, the Company will pay to the Employee all reasonable attorneys’ fees and costs incurred by the Employee in defending such action or proceeding.</w:t>
      </w:r>
    </w:p>
    <w:p>
      <w:pPr>
        <w:spacing w:after="0" w:line="90" w:lineRule="exact"/>
        <w:rPr>
          <w:sz w:val="20"/>
          <w:szCs w:val="20"/>
          <w:color w:val="auto"/>
        </w:rPr>
      </w:pPr>
    </w:p>
    <w:p>
      <w:pPr>
        <w:ind w:right="20" w:firstLine="436"/>
        <w:spacing w:after="0" w:line="309" w:lineRule="auto"/>
        <w:tabs>
          <w:tab w:leader="none" w:pos="864"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rights and remedies enumerated above shall be independent of the other, and shall be severally enforceable, and all of such rights and remedies shall be in addition to, and not in lieu of, any other rights and remedies available to the Company under law or in equity.</w:t>
      </w:r>
    </w:p>
    <w:p>
      <w:pPr>
        <w:spacing w:after="0" w:line="384"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 RESTRICTIONS</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65" w:lineRule="auto"/>
        <w:tabs>
          <w:tab w:leader="none" w:pos="864"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hereby represents that neither the execution of this Agreement nor her performance hereunder will (a) violate, conflict with or result in a breach of any provision of, or constitute a default (or an event which, with notice or lapse of time or both, would constitute a default) under the terms, conditions or provisions of any contract, agreement or other instrument or obligation to which the Employee is a party, or by which she may be bound, or (b) violate any order, judgment, writ, injunction or decree applicable to the Employee. In the event of a breach hereof, in addition to the Company’s right to terminate this Agreement, the Employee shall indemnify the Company and hold it harmless from and against any and all claims, losses, liabilities, costs and expenses (including reasonable attorneys’ fees) incurred or suffered in connection with or as a result of the Company’s entering into this Agreement or employing the Employee hereunder.</w:t>
      </w:r>
    </w:p>
    <w:p>
      <w:pPr>
        <w:spacing w:after="0" w:line="110"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ARBITRATION</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72" w:lineRule="auto"/>
        <w:tabs>
          <w:tab w:leader="none" w:pos="864"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with regard to Section 12.1 hereof and any other matters that are not a proper subject of arbitration, all disputes between the parties hereto concerning the performance, breach, construction or interpretation of this Agreement or any portion thereof, or in any manner arising out of this Agreement or the performance thereof, shall be submitted to binding arbitration, in accordance with the rules of the American Arbitration Association. The arbitration proceeding shall take place at a mutually agreeable location in Nassau County, New York or such other location as agreed to by the parties.</w:t>
      </w:r>
    </w:p>
    <w:p>
      <w:pPr>
        <w:spacing w:after="0" w:line="107" w:lineRule="exact"/>
        <w:rPr>
          <w:rFonts w:ascii="Times New Roman" w:cs="Times New Roman" w:eastAsia="Times New Roman" w:hAnsi="Times New Roman"/>
          <w:sz w:val="14"/>
          <w:szCs w:val="14"/>
          <w:color w:val="auto"/>
        </w:rPr>
      </w:pPr>
    </w:p>
    <w:p>
      <w:pPr>
        <w:ind w:firstLine="436"/>
        <w:spacing w:after="0" w:line="295" w:lineRule="auto"/>
        <w:tabs>
          <w:tab w:leader="none" w:pos="864"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rendered by the arbitrator shall be final, binding and conclusive, shall be specifically enforceable, and judgment may be entered upon it in accordance with applicable law in an appropriate court in the State of New York, with no right of appeal therefrom.</w:t>
      </w:r>
    </w:p>
    <w:p>
      <w:pPr>
        <w:spacing w:after="0" w:line="90" w:lineRule="exact"/>
        <w:rPr>
          <w:rFonts w:ascii="Times New Roman" w:cs="Times New Roman" w:eastAsia="Times New Roman" w:hAnsi="Times New Roman"/>
          <w:sz w:val="14"/>
          <w:szCs w:val="14"/>
          <w:color w:val="auto"/>
        </w:rPr>
      </w:pPr>
    </w:p>
    <w:p>
      <w:pPr>
        <w:ind w:firstLine="436"/>
        <w:spacing w:after="0" w:line="309" w:lineRule="auto"/>
        <w:tabs>
          <w:tab w:leader="none" w:pos="864"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shall pay its or her own expenses of arbitration, and the expenses of the arbitrator and the arbitration proceeding shall be borne by the Company; provided, however, that, if, in the opinion of the arbitrator (or a majority of the arbitrators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71" w:name="page172"/>
    <w:bookmarkEnd w:id="171"/>
    <w:p>
      <w:pPr>
        <w:jc w:val="both"/>
        <w:spacing w:after="0" w:line="265" w:lineRule="auto"/>
        <w:rPr>
          <w:sz w:val="20"/>
          <w:szCs w:val="20"/>
          <w:color w:val="auto"/>
        </w:rPr>
      </w:pPr>
      <w:r>
        <w:rPr>
          <w:rFonts w:ascii="Times New Roman" w:cs="Times New Roman" w:eastAsia="Times New Roman" w:hAnsi="Times New Roman"/>
          <w:sz w:val="14"/>
          <w:szCs w:val="14"/>
          <w:color w:val="auto"/>
        </w:rPr>
        <w:t>if more than one), any claim or defense was unreasonable, the arbitrator(s) may assess, as part of their award, all or any part of the arbitration expenses of the other party (including reasonable attorneys’ fees) and of the arbitrator(s) and the arbitration proceeding against the party raising such unreasonable claim or defense; provided, further, that, if the arbitration proceeding relates to the issue of Cause for termination of employment, (a) if, in the opinion of the arbitrator (or a majority of the arbitrators if more than one), Cause existed, the arbitrator(s) shall assess, as part of their award, all of the arbitration expenses of the Company (including reasonable attorneys’ fees) and of the arbitrator(s) and the arbitration proceeding against the Employee or (b) if, in the opinion of the arbitrator (or a majority of the arbitrators if more than one), Cause did not exist, the arbitrator(s) shall assess, as part of their award, all of the arbitration expenses of the Employee (including reasonable attorneys’ fees) and of the arbitrator(s) and the arbitration proceeding (as provided for hereinabove) against the Company.</w:t>
      </w:r>
    </w:p>
    <w:p>
      <w:pPr>
        <w:spacing w:after="0" w:line="200" w:lineRule="exact"/>
        <w:rPr>
          <w:sz w:val="20"/>
          <w:szCs w:val="20"/>
          <w:color w:val="auto"/>
        </w:rPr>
      </w:pPr>
    </w:p>
    <w:p>
      <w:pPr>
        <w:spacing w:after="0" w:line="216" w:lineRule="exact"/>
        <w:rPr>
          <w:sz w:val="20"/>
          <w:szCs w:val="20"/>
          <w:color w:val="auto"/>
        </w:rPr>
      </w:pPr>
    </w:p>
    <w:p>
      <w:pPr>
        <w:ind w:left="440" w:hanging="436"/>
        <w:spacing w:after="0"/>
        <w:tabs>
          <w:tab w:leader="none" w:pos="440"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CODE SECTIONS 409A, 280G AND 4999</w:t>
      </w:r>
      <w:r>
        <w:rPr>
          <w:rFonts w:ascii="Times New Roman" w:cs="Times New Roman" w:eastAsia="Times New Roman" w:hAnsi="Times New Roman"/>
          <w:sz w:val="14"/>
          <w:szCs w:val="14"/>
          <w:color w:val="auto"/>
        </w:rPr>
        <w:t>.</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68" w:lineRule="auto"/>
        <w:tabs>
          <w:tab w:leader="none" w:pos="864"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intent of the parties is that payments and benefits under this Agreement comply with Section 409A of the Code (together with the regulations and guidance promulgated thereunder, “Code Section 409A”),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parties hereto of the applicable provision without violating the provisions of Code Section 409A. In no event whatsoever shall the Company be liable for any additional tax, interest or penalty that may be imposed on the Employee by Code Section 409A as a result of the Company’s compliance with the terms of this Agreement.</w:t>
      </w:r>
    </w:p>
    <w:p>
      <w:pPr>
        <w:spacing w:after="0" w:line="109" w:lineRule="exact"/>
        <w:rPr>
          <w:rFonts w:ascii="Times New Roman" w:cs="Times New Roman" w:eastAsia="Times New Roman" w:hAnsi="Times New Roman"/>
          <w:sz w:val="14"/>
          <w:szCs w:val="14"/>
          <w:color w:val="auto"/>
        </w:rPr>
      </w:pPr>
    </w:p>
    <w:p>
      <w:pPr>
        <w:jc w:val="both"/>
        <w:ind w:firstLine="436"/>
        <w:spacing w:after="0" w:line="263" w:lineRule="auto"/>
        <w:tabs>
          <w:tab w:leader="none" w:pos="864"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termination of employment shall not be deemed to have occurred for purposes of any provision of this Agreement providing for the payment of any amounts or benefits constituting deferred compensation under Code Section 409A upon or following a termination of employment unless such termination of employment is also a “separation from service” within the meaning of Code Section 409A and, for purposes of any such provision of this Agreement, references to a termination of employment or like terms shall mean “separation from service.” If the Employee is deemed on the date of termination to be a “specified employee” within the meaning of that term under Code Section 409A(a)(2)(B), then with regard to any payment or the provision of any benefit that is considered deferred compensation under Code Section 409A payable on account of a “separation from service,” such payment or benefit shall be made or provided at the date which is the earlier of (i) the expiration of the six (6) month period measured from the date of such “separation from service” of the Employee, and (ii) the date of the Employee’s death (the “Delay Period”). Upon the expiration of the Delay Period, all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17</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72" w:name="page173"/>
    <w:bookmarkEnd w:id="172"/>
    <w:p>
      <w:pPr>
        <w:jc w:val="both"/>
        <w:spacing w:after="0" w:line="275" w:lineRule="auto"/>
        <w:rPr>
          <w:sz w:val="20"/>
          <w:szCs w:val="20"/>
          <w:color w:val="auto"/>
        </w:rPr>
      </w:pPr>
      <w:r>
        <w:rPr>
          <w:rFonts w:ascii="Times New Roman" w:cs="Times New Roman" w:eastAsia="Times New Roman" w:hAnsi="Times New Roman"/>
          <w:sz w:val="14"/>
          <w:szCs w:val="14"/>
          <w:color w:val="auto"/>
        </w:rPr>
        <w:t>payments and benefits delayed pursuant to this Section 15.2 (whether they would have otherwise been payable in a single sum or in installments in the absence of such delay) shall be paid or reimbursed to the Employee in a lump sum, and any remaining payments and benefits due under this Agreement shall be paid or provided in accordance with the normal payment dates specified herein.</w:t>
      </w:r>
    </w:p>
    <w:p>
      <w:pPr>
        <w:spacing w:after="0" w:line="113" w:lineRule="exact"/>
        <w:rPr>
          <w:sz w:val="20"/>
          <w:szCs w:val="20"/>
          <w:color w:val="auto"/>
        </w:rPr>
      </w:pPr>
    </w:p>
    <w:p>
      <w:pPr>
        <w:jc w:val="both"/>
        <w:ind w:firstLine="436"/>
        <w:spacing w:after="0" w:line="268" w:lineRule="auto"/>
        <w:tabs>
          <w:tab w:leader="none" w:pos="86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expenses or other reimbursements under this Agreement shall be made on or prior to the last day of the taxable year following the taxable year in which such expenses were incurred by the Employee (provided that if any such reimbursements constitute taxable income to the Employee, such reimbursements shall be paid no later than March 15th of the calendar year following the calendar year in which the expenses to be reimbursed were incurred), and no such reimbursement or expenses eligible for reimbursement in any taxable year shall in any way affect the expenses eligible for reimbursement in any other taxable year.</w:t>
      </w:r>
    </w:p>
    <w:p>
      <w:pPr>
        <w:spacing w:after="0" w:line="108" w:lineRule="exact"/>
        <w:rPr>
          <w:rFonts w:ascii="Times New Roman" w:cs="Times New Roman" w:eastAsia="Times New Roman" w:hAnsi="Times New Roman"/>
          <w:sz w:val="14"/>
          <w:szCs w:val="14"/>
          <w:color w:val="auto"/>
        </w:rPr>
      </w:pPr>
    </w:p>
    <w:p>
      <w:pPr>
        <w:jc w:val="both"/>
        <w:ind w:firstLine="436"/>
        <w:spacing w:after="0" w:line="282" w:lineRule="auto"/>
        <w:tabs>
          <w:tab w:leader="none" w:pos="86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Code Section 409A, the Employee’s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sixty (60) days”), the actual date of payment within the specified period shall be within the sole discretion of the Company.</w:t>
      </w:r>
    </w:p>
    <w:p>
      <w:pPr>
        <w:spacing w:after="0" w:line="98" w:lineRule="exact"/>
        <w:rPr>
          <w:rFonts w:ascii="Times New Roman" w:cs="Times New Roman" w:eastAsia="Times New Roman" w:hAnsi="Times New Roman"/>
          <w:sz w:val="14"/>
          <w:szCs w:val="14"/>
          <w:color w:val="auto"/>
        </w:rPr>
      </w:pPr>
    </w:p>
    <w:p>
      <w:pPr>
        <w:ind w:firstLine="436"/>
        <w:spacing w:after="0" w:line="295" w:lineRule="auto"/>
        <w:tabs>
          <w:tab w:leader="none" w:pos="86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any payment under this Agreement that constitutes “deferred compensation” for purposes of Code Section 409A be offset by any other payment pursuant to this Agreement or otherwise.</w:t>
      </w:r>
    </w:p>
    <w:p>
      <w:pPr>
        <w:spacing w:after="0" w:line="90" w:lineRule="exact"/>
        <w:rPr>
          <w:rFonts w:ascii="Times New Roman" w:cs="Times New Roman" w:eastAsia="Times New Roman" w:hAnsi="Times New Roman"/>
          <w:sz w:val="14"/>
          <w:szCs w:val="14"/>
          <w:color w:val="auto"/>
        </w:rPr>
      </w:pPr>
    </w:p>
    <w:p>
      <w:pPr>
        <w:jc w:val="both"/>
        <w:ind w:firstLine="436"/>
        <w:spacing w:after="0" w:line="264" w:lineRule="auto"/>
        <w:tabs>
          <w:tab w:leader="none" w:pos="86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provisions of this Agreement to the contrary, in the event that any payments or benefits received or to be received by the Employee in connection with the Employee’s employment with the Company (or termination thereof) would subject the Employee to the excise tax imposed under Section 280G or 4999 of the Code (the “Excise Tax”), and, if the net-after tax amount (taking into account all applicable taxes payable by the Employee, including any Excise Tax) that the Employee would receive with respect to such payments or benefits does not exceed the net-after tax amount the Employee would receive if the amount of such payment and benefits were reduced to the maximum amount which could otherwise be payable to the Employee without the imposition of the Excise Tax, then, to the extent necessary to eliminate the imposition of the Excise Tax, (i) such cash payments and benefits shall first be reduced (if necessary, to zero) and (ii) all other non-cash payments and benefits shall next be reduced. The determination of whether any reduction in such payments or benefits to be provided under this Agreement or otherwise is required pursuant to the preceding sentence will be made at the expense of the Company by independent accountants or benefits consultants selected by the Company, and the Employee shall have the right to review such determination.</w:t>
      </w:r>
    </w:p>
    <w:p>
      <w:pPr>
        <w:spacing w:after="0" w:line="111"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ASSIGNMENT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18</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73" w:name="page174"/>
    <w:bookmarkEnd w:id="173"/>
    <w:p>
      <w:pPr>
        <w:ind w:left="420" w:firstLine="436"/>
        <w:spacing w:after="0" w:line="295" w:lineRule="auto"/>
        <w:tabs>
          <w:tab w:leader="none" w:pos="1284"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as it relates to the employment of the Employee, is a personal contract and the rights and interests of the Employee hereunder may not be sold, transferred, assigned, pledged or hypothecated.</w:t>
      </w:r>
    </w:p>
    <w:p>
      <w:pPr>
        <w:spacing w:after="0" w:line="88"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NOTICES</w:t>
      </w:r>
    </w:p>
    <w:p>
      <w:pPr>
        <w:spacing w:after="0" w:line="165" w:lineRule="exact"/>
        <w:rPr>
          <w:rFonts w:ascii="Times New Roman" w:cs="Times New Roman" w:eastAsia="Times New Roman" w:hAnsi="Times New Roman"/>
          <w:sz w:val="14"/>
          <w:szCs w:val="14"/>
          <w:b w:val="1"/>
          <w:bCs w:val="1"/>
          <w:color w:val="auto"/>
        </w:rPr>
      </w:pPr>
    </w:p>
    <w:p>
      <w:pPr>
        <w:ind w:left="420" w:firstLine="436"/>
        <w:spacing w:after="0" w:line="295" w:lineRule="auto"/>
        <w:tabs>
          <w:tab w:leader="none" w:pos="1284"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required or permitted to be given pursuant to this Agreement shall be deemed to have been duly given when delivered by hand or sent by certified or registered mail, return receipt requested and postage prepaid, overnight mail or courier, e-mail, or fax as follows:</w:t>
      </w:r>
    </w:p>
    <w:p>
      <w:pPr>
        <w:spacing w:after="0" w:line="9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If to the Employee:</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2 Buritts Landing North</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Westport, Connecticut 06880</w:t>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merylsgolden@gmail.com</w:t>
      </w:r>
    </w:p>
    <w:p>
      <w:pPr>
        <w:spacing w:after="0" w:line="16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with a copy to:</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Madsen Prestley &amp; Parenteau</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402 Asylum Street</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Hartford, Connecticut 06103</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Peter Prestley, Esq.</w:t>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u w:val="single" w:color="auto"/>
          <w:color w:val="auto"/>
        </w:rPr>
        <w:t>Pbprestley@mppjustice.com</w:t>
      </w:r>
    </w:p>
    <w:p>
      <w:pPr>
        <w:spacing w:after="0" w:line="3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c/o William Yankus</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Chairman, Compensation and Finance Committee</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10 Pheasant Hill Road</w:t>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Farmington, Connecticut 06032</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u w:val="single" w:color="auto"/>
          <w:color w:val="auto"/>
        </w:rPr>
        <w:t>wyankus@comcast.net</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with a copy to:</w:t>
      </w:r>
    </w:p>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Certilman Balin Adler &amp; Hyman, LLP</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90 Merrick Avenue</w:t>
      </w:r>
    </w:p>
    <w:p>
      <w:pPr>
        <w:spacing w:after="0" w:line="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East Meadow, New York 11554</w:t>
      </w:r>
    </w:p>
    <w:p>
      <w:pPr>
        <w:spacing w:after="0" w:line="1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Attention: Fred Skolnik, Esq.</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3051F2"/>
        </w:rPr>
        <w:t>fskolnik@certilmanbalin.com</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Fax Number: (516) 296-7111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at such other address as any party shall designate by notice to the other party given in accordance with this Section 17.1.</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300"/>
          </w:cols>
          <w:pgMar w:left="300" w:top="994" w:right="299" w:bottom="1440" w:gutter="0" w:footer="0" w:header="0"/>
        </w:sectPr>
      </w:pPr>
    </w:p>
    <w:bookmarkStart w:id="174" w:name="page175"/>
    <w:bookmarkEnd w:id="174"/>
    <w:p>
      <w:pPr>
        <w:ind w:left="440" w:hanging="436"/>
        <w:spacing w:after="0"/>
        <w:tabs>
          <w:tab w:leader="none" w:pos="44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GOVERNING LAW</w:t>
      </w:r>
    </w:p>
    <w:p>
      <w:pPr>
        <w:spacing w:after="0" w:line="156" w:lineRule="exact"/>
        <w:rPr>
          <w:rFonts w:ascii="Times New Roman" w:cs="Times New Roman" w:eastAsia="Times New Roman" w:hAnsi="Times New Roman"/>
          <w:sz w:val="14"/>
          <w:szCs w:val="14"/>
          <w:b w:val="1"/>
          <w:bCs w:val="1"/>
          <w:color w:val="auto"/>
        </w:rPr>
      </w:pPr>
    </w:p>
    <w:p>
      <w:pPr>
        <w:ind w:right="20" w:firstLine="436"/>
        <w:spacing w:after="0" w:line="295" w:lineRule="auto"/>
        <w:tabs>
          <w:tab w:leader="none" w:pos="864"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shall be governed by, and construed and enforced in accordance with, the laws of the State of New York applicable to agreements made and to be performed entirely in New York without regard to conflicts of laws principles.</w:t>
      </w:r>
    </w:p>
    <w:p>
      <w:pPr>
        <w:spacing w:after="0" w:line="97"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WAIVER OF BREACH; PARTIAL INVALIDITY</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68" w:lineRule="auto"/>
        <w:tabs>
          <w:tab w:leader="none" w:pos="864"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waiver by either party of a breach of any provision of this Agreement shall not operate or be construed as a waiver of any subsequent breach. If any provision, or part thereof, of this Agreement shall be held to be invalid or unenforceable, such invalidity or unenforceability shall attach only to such provision and not in any way affect or render invalid or unenforceable any other provisions of this Agreement, and this Agreement shall be carried out as if such invalid or unenforceable provision, or part thereof, had been reformed, and any court of competent jurisdiction or arbitrators, as the case may be, are authorized to so reform such invalid or unenforceable provision, or part thereof, so that it would be valid, legal and enforceable to the fullest extent permitted by applicable law.</w:t>
      </w:r>
    </w:p>
    <w:p>
      <w:pPr>
        <w:spacing w:after="0" w:line="107"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ENTIRE AGREEMENT; AMENDMENT</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68" w:lineRule="auto"/>
        <w:tabs>
          <w:tab w:leader="none" w:pos="864"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constitutes the entire agreement between the parties with respect to the subject matter hereof and there are no representations, warranties or commitments except as set forth herein. This Agreement supersedes all prior agreements, understandings, negotiations and discussions, whether written or oral, of the parties hereto relating to the subject matter hereof. This Agreement may be amended, and any provision hereof waived, only by a writing executed by the party sought to be charged. No amendment or waiver on the part of the Company shall be valid unless approved by its Board.</w:t>
      </w:r>
    </w:p>
    <w:p>
      <w:pPr>
        <w:spacing w:after="0" w:line="200" w:lineRule="exact"/>
        <w:rPr>
          <w:rFonts w:ascii="Times New Roman" w:cs="Times New Roman" w:eastAsia="Times New Roman" w:hAnsi="Times New Roman"/>
          <w:sz w:val="14"/>
          <w:szCs w:val="14"/>
          <w:color w:val="auto"/>
        </w:rPr>
      </w:pPr>
    </w:p>
    <w:p>
      <w:pPr>
        <w:spacing w:after="0" w:line="221"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COUNTERPARTS</w:t>
      </w:r>
    </w:p>
    <w:p>
      <w:pPr>
        <w:spacing w:after="0" w:line="156" w:lineRule="exact"/>
        <w:rPr>
          <w:rFonts w:ascii="Times New Roman" w:cs="Times New Roman" w:eastAsia="Times New Roman" w:hAnsi="Times New Roman"/>
          <w:sz w:val="14"/>
          <w:szCs w:val="14"/>
          <w:b w:val="1"/>
          <w:bCs w:val="1"/>
          <w:color w:val="auto"/>
        </w:rPr>
      </w:pPr>
    </w:p>
    <w:p>
      <w:pPr>
        <w:ind w:left="860" w:hanging="424"/>
        <w:spacing w:after="0"/>
        <w:tabs>
          <w:tab w:leader="none" w:pos="86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executed in one or more counterparts, each of which shall be deemed an original, and all of which taken together shall constitute one and the same</w:t>
      </w:r>
    </w:p>
    <w:p>
      <w:pPr>
        <w:spacing w:after="0" w:line="2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instrument.</w:t>
      </w:r>
    </w:p>
    <w:p>
      <w:pPr>
        <w:spacing w:after="0" w:line="200" w:lineRule="exact"/>
        <w:rPr>
          <w:rFonts w:ascii="Times New Roman" w:cs="Times New Roman" w:eastAsia="Times New Roman" w:hAnsi="Times New Roman"/>
          <w:sz w:val="14"/>
          <w:szCs w:val="14"/>
          <w:color w:val="auto"/>
        </w:rPr>
      </w:pPr>
    </w:p>
    <w:p>
      <w:pPr>
        <w:spacing w:after="0" w:line="242"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FACSIMILE AND EMAIL SIGNATURES</w:t>
      </w:r>
    </w:p>
    <w:p>
      <w:pPr>
        <w:spacing w:after="0" w:line="156" w:lineRule="exact"/>
        <w:rPr>
          <w:rFonts w:ascii="Times New Roman" w:cs="Times New Roman" w:eastAsia="Times New Roman" w:hAnsi="Times New Roman"/>
          <w:sz w:val="14"/>
          <w:szCs w:val="14"/>
          <w:b w:val="1"/>
          <w:bCs w:val="1"/>
          <w:color w:val="auto"/>
        </w:rPr>
      </w:pPr>
    </w:p>
    <w:p>
      <w:pPr>
        <w:ind w:left="860" w:hanging="424"/>
        <w:spacing w:after="0"/>
        <w:tabs>
          <w:tab w:leader="none" w:pos="86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Signatures hereon which are transmitted via facsimile or email shall be deemed original signatures.</w:t>
      </w:r>
    </w:p>
    <w:p>
      <w:pPr>
        <w:spacing w:after="0" w:line="161"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EXPENSES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20</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2" w:right="299" w:bottom="1440" w:gutter="0" w:footer="0" w:header="0"/>
        </w:sectPr>
      </w:pPr>
    </w:p>
    <w:bookmarkStart w:id="175" w:name="page176"/>
    <w:bookmarkEnd w:id="175"/>
    <w:p>
      <w:pPr>
        <w:ind w:firstLine="436"/>
        <w:spacing w:after="0" w:line="295" w:lineRule="auto"/>
        <w:tabs>
          <w:tab w:leader="none" w:pos="864"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agreed to pay the reasonable fees and expenses of legal counsel incurred by the Employee in connection with the drafting and negotiation of the Employment Agreement; provided, however, that the amount payable pursuant to this Section 23.1 shall not exceed $5,000.</w:t>
      </w:r>
    </w:p>
    <w:p>
      <w:pPr>
        <w:spacing w:after="0" w:line="90" w:lineRule="exact"/>
        <w:rPr>
          <w:rFonts w:ascii="Times New Roman" w:cs="Times New Roman" w:eastAsia="Times New Roman" w:hAnsi="Times New Roman"/>
          <w:sz w:val="14"/>
          <w:szCs w:val="14"/>
          <w:color w:val="auto"/>
        </w:rPr>
      </w:pPr>
    </w:p>
    <w:p>
      <w:pPr>
        <w:jc w:val="both"/>
        <w:ind w:firstLine="436"/>
        <w:spacing w:after="0" w:line="266" w:lineRule="auto"/>
        <w:tabs>
          <w:tab w:leader="none" w:pos="864"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right to indemnification conferred in Article Thirteenth of the Restated Certificate of Incorporation of the Company, as amended (the “Certificate of Incorporation”), and Article VII, Section 7 of the By-Laws of the Company, as amended (the “By-Laws”), the Employee shall have the right to have her expenses (including reasonable attorneys’ fees) incurred in defending any action or proceeding as to which the Employee is entitled to be indemnified in advance of its final disposition advanced and paid promptly as set forth below upon incurring such expenses; provided, however, that an advancement of expenses incurred by the Employee shall be made only upon delivery to the Company of an undertaking by the Employee to repay all amounts so advanced if it shall ultimately be determined by final judicial decision from which there is no further right to appeal that the Employee is not entitled to be indemnified for such expenses under the Certificate of Incorporation or the By-Laws. The Company shall make advance payments of such expenses (including reasonable attorneys' fees) incurred within thirty (30) days of the Employee’s presentation of an invoice for such expenses.</w:t>
      </w:r>
    </w:p>
    <w:p>
      <w:pPr>
        <w:spacing w:after="0" w:line="108"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CONSTRUCTION</w:t>
      </w:r>
    </w:p>
    <w:p>
      <w:pPr>
        <w:spacing w:after="0" w:line="156" w:lineRule="exact"/>
        <w:rPr>
          <w:rFonts w:ascii="Times New Roman" w:cs="Times New Roman" w:eastAsia="Times New Roman" w:hAnsi="Times New Roman"/>
          <w:sz w:val="14"/>
          <w:szCs w:val="14"/>
          <w:b w:val="1"/>
          <w:bCs w:val="1"/>
          <w:color w:val="auto"/>
        </w:rPr>
      </w:pPr>
    </w:p>
    <w:p>
      <w:pPr>
        <w:ind w:left="860" w:hanging="424"/>
        <w:spacing w:after="0"/>
        <w:tabs>
          <w:tab w:leader="none" w:pos="860"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in this Agreement to “includes” and “including” shall be construed to include the words “without limitation.</w:t>
      </w:r>
    </w:p>
    <w:p>
      <w:pPr>
        <w:spacing w:after="0" w:line="152"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REPRESENTATION BY COUNSEL; INTERPRETATION</w:t>
      </w:r>
    </w:p>
    <w:p>
      <w:pPr>
        <w:spacing w:after="0" w:line="156" w:lineRule="exact"/>
        <w:rPr>
          <w:rFonts w:ascii="Times New Roman" w:cs="Times New Roman" w:eastAsia="Times New Roman" w:hAnsi="Times New Roman"/>
          <w:sz w:val="14"/>
          <w:szCs w:val="14"/>
          <w:b w:val="1"/>
          <w:bCs w:val="1"/>
          <w:color w:val="auto"/>
        </w:rPr>
      </w:pPr>
    </w:p>
    <w:p>
      <w:pPr>
        <w:jc w:val="both"/>
        <w:ind w:firstLine="436"/>
        <w:spacing w:after="0" w:line="282" w:lineRule="auto"/>
        <w:tabs>
          <w:tab w:leader="none" w:pos="864"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Employee acknowledges that she has been represented by counsel in connection with this Agreement. Accordingly, any rule of law or any legal decision that would require the interpretation of any claimed ambiguities in this Agreement against the party that drafted it has no application and is expressly waived by the Employee. The provisions of this Agreement shall be interpreted in a reasonable manner to give effect to the intent of the parties hereto.</w:t>
      </w:r>
    </w:p>
    <w:p>
      <w:pPr>
        <w:spacing w:after="0" w:line="96" w:lineRule="exact"/>
        <w:rPr>
          <w:rFonts w:ascii="Times New Roman" w:cs="Times New Roman" w:eastAsia="Times New Roman" w:hAnsi="Times New Roman"/>
          <w:sz w:val="14"/>
          <w:szCs w:val="14"/>
          <w:color w:val="auto"/>
        </w:rPr>
      </w:pPr>
    </w:p>
    <w:p>
      <w:pPr>
        <w:ind w:left="440" w:hanging="436"/>
        <w:spacing w:after="0"/>
        <w:tabs>
          <w:tab w:leader="none" w:pos="44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HEADINGS</w:t>
      </w:r>
    </w:p>
    <w:p>
      <w:pPr>
        <w:spacing w:after="0" w:line="156" w:lineRule="exact"/>
        <w:rPr>
          <w:rFonts w:ascii="Times New Roman" w:cs="Times New Roman" w:eastAsia="Times New Roman" w:hAnsi="Times New Roman"/>
          <w:sz w:val="14"/>
          <w:szCs w:val="14"/>
          <w:b w:val="1"/>
          <w:bCs w:val="1"/>
          <w:color w:val="auto"/>
        </w:rPr>
      </w:pPr>
    </w:p>
    <w:p>
      <w:pPr>
        <w:ind w:right="20" w:firstLine="436"/>
        <w:spacing w:after="0" w:line="295" w:lineRule="auto"/>
        <w:tabs>
          <w:tab w:leader="none" w:pos="864"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headings and captions under articles and sections of this Agreement are for convenience of reference only and do not in any way modify, interpret or construe the intent of the parties or affect any of the provisions of this Agreement.</w:t>
      </w:r>
    </w:p>
    <w:p>
      <w:pPr>
        <w:spacing w:after="0" w:line="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color w:val="auto"/>
        </w:rPr>
        <w:t>21</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0880"/>
          </w:cols>
          <w:pgMar w:left="720" w:top="994" w:right="299" w:bottom="1440" w:gutter="0" w:footer="0" w:header="0"/>
        </w:sectPr>
      </w:pPr>
    </w:p>
    <w:bookmarkStart w:id="176" w:name="page177"/>
    <w:bookmarkEnd w:id="176"/>
    <w:p>
      <w:pPr>
        <w:ind w:left="420"/>
        <w:spacing w:after="0"/>
        <w:rPr>
          <w:sz w:val="20"/>
          <w:szCs w:val="20"/>
          <w:color w:val="auto"/>
        </w:rPr>
      </w:pPr>
      <w:r>
        <w:rPr>
          <w:rFonts w:ascii="Times New Roman" w:cs="Times New Roman" w:eastAsia="Times New Roman" w:hAnsi="Times New Roman"/>
          <w:sz w:val="14"/>
          <w:szCs w:val="14"/>
          <w:color w:val="auto"/>
        </w:rPr>
        <w:t>IN WITNESS WHEREOF, the undersigned have executed this Agreement as of the day and year above written.</w:t>
      </w:r>
    </w:p>
    <w:p>
      <w:pPr>
        <w:spacing w:after="0" w:line="15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KINGSTONE COMPANIES, INC.</w:t>
      </w:r>
    </w:p>
    <w:p>
      <w:pPr>
        <w:spacing w:after="0" w:line="33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-4445</wp:posOffset>
            </wp:positionV>
            <wp:extent cx="4572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Barry B. Goldstein</w:t>
      </w:r>
    </w:p>
    <w:p>
      <w:pPr>
        <w:spacing w:after="0" w:line="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299085</wp:posOffset>
            </wp:positionV>
            <wp:extent cx="45720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color w:val="auto"/>
        </w:rPr>
        <w:t>Meryl S. Golden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314960</wp:posOffset>
            </wp:positionV>
            <wp:extent cx="36576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365760" cy="571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William Yankus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Chair, Compensation and Finance Committee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8279440.3</w:t>
      </w:r>
    </w:p>
    <w:p>
      <w:pPr>
        <w:sectPr>
          <w:pgSz w:w="11900" w:h="16838" w:orient="portrait"/>
          <w:cols w:equalWidth="0" w:num="1">
            <w:col w:w="11300"/>
          </w:cols>
          <w:pgMar w:left="300" w:top="994" w:right="299" w:bottom="1440" w:gutter="0" w:footer="0" w:header="0"/>
        </w:sectPr>
      </w:pPr>
    </w:p>
    <w:bookmarkStart w:id="177" w:name="page178"/>
    <w:bookmarkEnd w:id="177"/>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25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August, 2025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RANDY L.</w:t>
      </w:r>
    </w:p>
    <w:p>
      <w:pPr>
        <w:spacing w:after="0"/>
        <w:rPr>
          <w:sz w:val="20"/>
          <w:szCs w:val="20"/>
          <w:color w:val="auto"/>
        </w:rPr>
      </w:pPr>
      <w:r>
        <w:rPr>
          <w:rFonts w:ascii="Times New Roman" w:cs="Times New Roman" w:eastAsia="Times New Roman" w:hAnsi="Times New Roman"/>
          <w:sz w:val="14"/>
          <w:szCs w:val="14"/>
          <w:b w:val="1"/>
          <w:bCs w:val="1"/>
          <w:color w:val="auto"/>
        </w:rPr>
        <w:t xml:space="preserve">PATTEN </w:t>
      </w:r>
      <w:r>
        <w:rPr>
          <w:rFonts w:ascii="Times New Roman" w:cs="Times New Roman" w:eastAsia="Times New Roman" w:hAnsi="Times New Roman"/>
          <w:sz w:val="14"/>
          <w:szCs w:val="14"/>
          <w:color w:val="auto"/>
        </w:rPr>
        <w:t>(the “Grantee”).</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an employee of the Company or a subsidiary thereof;</w:t>
      </w:r>
    </w:p>
    <w:p>
      <w:pPr>
        <w:spacing w:after="0" w:line="163" w:lineRule="exact"/>
        <w:rPr>
          <w:sz w:val="20"/>
          <w:szCs w:val="20"/>
          <w:color w:val="auto"/>
        </w:rPr>
      </w:pPr>
    </w:p>
    <w:p>
      <w:pPr>
        <w:ind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Compensation Committee of the Board of Directors of the Company has approved the grant to the Grantee of common stock of the Company (“Common Stock”)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Company’s 2024 Equity Participation Plan (the “Plan”).</w:t>
      </w:r>
    </w:p>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860" w:hanging="436"/>
        <w:spacing w:after="0"/>
        <w:tabs>
          <w:tab w:leader="none" w:pos="86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w:t>
      </w:r>
    </w:p>
    <w:p>
      <w:pPr>
        <w:spacing w:after="0" w:line="154" w:lineRule="exact"/>
        <w:rPr>
          <w:rFonts w:ascii="Times New Roman" w:cs="Times New Roman" w:eastAsia="Times New Roman" w:hAnsi="Times New Roman"/>
          <w:sz w:val="14"/>
          <w:szCs w:val="14"/>
          <w:color w:val="auto"/>
        </w:rPr>
      </w:pPr>
    </w:p>
    <w:p>
      <w:pPr>
        <w:jc w:val="both"/>
        <w:ind w:firstLine="424"/>
        <w:spacing w:after="0" w:line="283" w:lineRule="auto"/>
        <w:tabs>
          <w:tab w:leader="none" w:pos="86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 an award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forty-three thousand two hundred ninety (43,290) shares of Common Stock (the “Shares”), such Shares being issuable on the Vesting Dates (as hereinafter defined) set forth in, and subject to the provisions of, Section 3 hereof.</w:t>
      </w:r>
    </w:p>
    <w:p>
      <w:pPr>
        <w:spacing w:after="0" w:line="96" w:lineRule="exact"/>
        <w:rPr>
          <w:rFonts w:ascii="Times New Roman" w:cs="Times New Roman" w:eastAsia="Times New Roman" w:hAnsi="Times New Roman"/>
          <w:sz w:val="14"/>
          <w:szCs w:val="14"/>
          <w:color w:val="auto"/>
        </w:rPr>
      </w:pPr>
    </w:p>
    <w:p>
      <w:pPr>
        <w:ind w:right="20" w:firstLine="424"/>
        <w:spacing w:after="0" w:line="298" w:lineRule="auto"/>
        <w:tabs>
          <w:tab w:leader="none" w:pos="86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the Vesting Dates set forth below, provided that the Grantee continues to serve as an employee of the Company or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subsidiary thereof as of the applicable Vesting Date (subject to the provisions of the Plan):</w:t>
      </w:r>
    </w:p>
    <w:p>
      <w:pPr>
        <w:spacing w:after="0" w:line="88"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 thousand eight hundred twenty-three (10,823) of the Shares on August 25, 2026 (the “First Vesting Date”);</w:t>
      </w:r>
    </w:p>
    <w:p>
      <w:pPr>
        <w:spacing w:after="0" w:line="17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 thousand eight hundred twenty-two (10,822) of the Shares on August 25, 2027 (the “Second Vesting Date”); and</w:t>
      </w:r>
    </w:p>
    <w:p>
      <w:pPr>
        <w:spacing w:after="0" w:line="181" w:lineRule="exact"/>
        <w:rPr>
          <w:rFonts w:ascii="Times New Roman" w:cs="Times New Roman" w:eastAsia="Times New Roman" w:hAnsi="Times New Roman"/>
          <w:sz w:val="14"/>
          <w:szCs w:val="14"/>
          <w:color w:val="auto"/>
        </w:rPr>
      </w:pPr>
    </w:p>
    <w:p>
      <w:pPr>
        <w:ind w:left="1720" w:hanging="432"/>
        <w:spacing w:after="0" w:line="295" w:lineRule="auto"/>
        <w:tabs>
          <w:tab w:leader="none" w:pos="1720" w:val="left"/>
        </w:tabs>
        <w:numPr>
          <w:ilvl w:val="2"/>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twenty-one thousand six hundred forty-five (21,645) of the Shares on August 25, 2028 (the “Third Vesting Date”); each of the First Vesting Date, the Second Vesting Date and the Third Vesting Date is referred to hereinafter as a “Vesting Date”).</w:t>
      </w:r>
    </w:p>
    <w:p>
      <w:pPr>
        <w:spacing w:after="0" w:line="108" w:lineRule="exact"/>
        <w:rPr>
          <w:rFonts w:ascii="Times New Roman" w:cs="Times New Roman" w:eastAsia="Times New Roman" w:hAnsi="Times New Roman"/>
          <w:sz w:val="14"/>
          <w:szCs w:val="14"/>
          <w:color w:val="auto"/>
        </w:rPr>
      </w:pPr>
    </w:p>
    <w:p>
      <w:pPr>
        <w:jc w:val="both"/>
        <w:ind w:firstLine="856"/>
        <w:spacing w:after="0" w:line="272" w:lineRule="auto"/>
        <w:tabs>
          <w:tab w:leader="none" w:pos="1293"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Shares vest on a Vesting Date, the certificate representing the portion of the Shares then vested shall be issued by the Company (or an appropriate book entry with regard to such Shares shall be made in the Company transfer agent’s records) as soon as reasonably practicable thereafter. Subject to the provisions of the Plan, in the event that the Grantee does not continue to serve as an employee of the Company or a subsidiary thereof as of a Vesting Date for any reason, the Grantee shall not be entitled to receive any of the Shares issuable on such Vesting Date, and this Agreement shall terminate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8640566.1</w:t>
      </w:r>
    </w:p>
    <w:p>
      <w:pPr>
        <w:sectPr>
          <w:pgSz w:w="11900" w:h="16838" w:orient="portrait"/>
          <w:cols w:equalWidth="0" w:num="1">
            <w:col w:w="11300"/>
          </w:cols>
          <w:pgMar w:left="300" w:top="974" w:right="299" w:bottom="1440" w:gutter="0" w:footer="0" w:header="0"/>
        </w:sectPr>
      </w:pPr>
    </w:p>
    <w:bookmarkStart w:id="178" w:name="page179"/>
    <w:bookmarkEnd w:id="178"/>
    <w:p>
      <w:pPr>
        <w:ind w:left="1280" w:hanging="424"/>
        <w:spacing w:after="0"/>
        <w:tabs>
          <w:tab w:leader="none" w:pos="12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a particular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Date.</w:t>
      </w:r>
    </w:p>
    <w:p>
      <w:pPr>
        <w:spacing w:after="0" w:line="136" w:lineRule="exact"/>
        <w:rPr>
          <w:sz w:val="20"/>
          <w:szCs w:val="20"/>
          <w:color w:val="auto"/>
        </w:rPr>
      </w:pPr>
    </w:p>
    <w:p>
      <w:pPr>
        <w:ind w:left="860" w:hanging="436"/>
        <w:spacing w:after="0"/>
        <w:tabs>
          <w:tab w:leader="none" w:pos="8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63" w:lineRule="exact"/>
        <w:rPr>
          <w:rFonts w:ascii="Times New Roman" w:cs="Times New Roman" w:eastAsia="Times New Roman" w:hAnsi="Times New Roman"/>
          <w:sz w:val="14"/>
          <w:szCs w:val="14"/>
          <w:color w:val="auto"/>
        </w:rPr>
      </w:pPr>
    </w:p>
    <w:p>
      <w:pPr>
        <w:jc w:val="both"/>
        <w:ind w:firstLine="424"/>
        <w:spacing w:after="0" w:line="269" w:lineRule="auto"/>
        <w:tabs>
          <w:tab w:leader="none" w:pos="86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 receipt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requested, addressed to the Company, 120 Wood Road,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 and</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assigns.</w:t>
      </w:r>
    </w:p>
    <w:p>
      <w:pPr>
        <w:spacing w:after="0" w:line="143" w:lineRule="exact"/>
        <w:rPr>
          <w:rFonts w:ascii="Times New Roman" w:cs="Times New Roman" w:eastAsia="Times New Roman" w:hAnsi="Times New Roman"/>
          <w:sz w:val="14"/>
          <w:szCs w:val="14"/>
          <w:color w:val="auto"/>
        </w:rPr>
      </w:pPr>
    </w:p>
    <w:p>
      <w:pPr>
        <w:ind w:firstLine="424"/>
        <w:spacing w:after="0" w:line="298" w:lineRule="auto"/>
        <w:tabs>
          <w:tab w:leader="none" w:pos="86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 hereof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36" w:lineRule="exact"/>
        <w:rPr>
          <w:rFonts w:ascii="Times New Roman" w:cs="Times New Roman" w:eastAsia="Times New Roman" w:hAnsi="Times New Roman"/>
          <w:sz w:val="14"/>
          <w:szCs w:val="14"/>
          <w:color w:val="auto"/>
        </w:rPr>
      </w:pPr>
    </w:p>
    <w:p>
      <w:pPr>
        <w:ind w:firstLine="424"/>
        <w:spacing w:after="0" w:line="312" w:lineRule="auto"/>
        <w:tabs>
          <w:tab w:leader="none" w:pos="864"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 together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constitute one and the same instrument.</w:t>
      </w:r>
    </w:p>
    <w:p>
      <w:pPr>
        <w:spacing w:after="0" w:line="7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424"/>
        <w:spacing w:after="0" w:line="276" w:lineRule="auto"/>
        <w:tabs>
          <w:tab w:leader="none" w:pos="859"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 hereto.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8640566.1</w:t>
      </w:r>
    </w:p>
    <w:p>
      <w:pPr>
        <w:sectPr>
          <w:pgSz w:w="11900" w:h="16838" w:orient="portrait"/>
          <w:cols w:equalWidth="0" w:num="1">
            <w:col w:w="11300"/>
          </w:cols>
          <w:pgMar w:left="300" w:top="994" w:right="2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-4445</wp:posOffset>
            </wp:positionV>
            <wp:extent cx="45720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Meryl Golden,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407035</wp:posOffset>
            </wp:positionV>
            <wp:extent cx="45720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Randy L.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-4445</wp:posOffset>
            </wp:positionV>
            <wp:extent cx="8661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866140" cy="5715"/>
                    </a:xfrm>
                    <a:prstGeom prst="rect">
                      <a:avLst/>
                    </a:prstGeom>
                    <a:noFill/>
                  </pic:spPr>
                </pic:pic>
              </a:graphicData>
            </a:graphic>
          </wp:anchor>
        </w:drawing>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316230</wp:posOffset>
            </wp:positionV>
            <wp:extent cx="45720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8640566.1</w:t>
      </w:r>
    </w:p>
    <w:p>
      <w:pPr>
        <w:sectPr>
          <w:pgSz w:w="11900" w:h="16838" w:orient="portrait"/>
          <w:cols w:equalWidth="0" w:num="1">
            <w:col w:w="10880"/>
          </w:cols>
          <w:pgMar w:left="720" w:top="1154" w:right="299" w:bottom="1440" w:gutter="0" w:footer="0" w:header="0"/>
        </w:sectPr>
      </w:pPr>
    </w:p>
    <w:bookmarkStart w:id="180" w:name="page181"/>
    <w:bookmarkEnd w:id="180"/>
    <w:p>
      <w:pPr>
        <w:ind w:firstLine="864"/>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January, 2026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FLOYD R. TUPPER </w:t>
      </w:r>
      <w:r>
        <w:rPr>
          <w:rFonts w:ascii="Times New Roman" w:cs="Times New Roman" w:eastAsia="Times New Roman" w:hAnsi="Times New Roman"/>
          <w:sz w:val="14"/>
          <w:szCs w:val="14"/>
          <w:color w:val="auto"/>
        </w:rPr>
        <w:t>(the “Grantee”).</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 non-employee member of the Board of Directors of the Company;</w:t>
      </w:r>
    </w:p>
    <w:p>
      <w:pPr>
        <w:spacing w:after="0" w:line="163" w:lineRule="exact"/>
        <w:rPr>
          <w:sz w:val="20"/>
          <w:szCs w:val="20"/>
          <w:color w:val="auto"/>
        </w:rPr>
      </w:pPr>
    </w:p>
    <w:p>
      <w:pPr>
        <w:ind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the Company has approved the grant to the Grantee of common stock of the Company (“Common Stock”) pursuant to the Company’s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Equity Participation Plan (the “Plan”).</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1280" w:hanging="424"/>
        <w:spacing w:after="0"/>
        <w:tabs>
          <w:tab w:leader="none" w:pos="12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w:t>
      </w:r>
    </w:p>
    <w:p>
      <w:pPr>
        <w:spacing w:after="0" w:line="154" w:lineRule="exact"/>
        <w:rPr>
          <w:rFonts w:ascii="Times New Roman" w:cs="Times New Roman" w:eastAsia="Times New Roman" w:hAnsi="Times New Roman"/>
          <w:sz w:val="14"/>
          <w:szCs w:val="14"/>
          <w:color w:val="auto"/>
        </w:rPr>
      </w:pPr>
    </w:p>
    <w:p>
      <w:pPr>
        <w:jc w:val="both"/>
        <w:ind w:firstLine="856"/>
        <w:spacing w:after="0" w:line="283" w:lineRule="auto"/>
        <w:tabs>
          <w:tab w:leader="none" w:pos="129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award of three thousand one hundred forty-nine (3,149) shares of Common Stock (the “Shares”), such Shares being issuable on the Vesting Date (as hereinafter defined) set forth in, and subject to the provisions of, Section 3 hereof.</w:t>
      </w:r>
    </w:p>
    <w:p>
      <w:pPr>
        <w:spacing w:after="0" w:line="96" w:lineRule="exact"/>
        <w:rPr>
          <w:rFonts w:ascii="Times New Roman" w:cs="Times New Roman" w:eastAsia="Times New Roman" w:hAnsi="Times New Roman"/>
          <w:sz w:val="14"/>
          <w:szCs w:val="14"/>
          <w:color w:val="auto"/>
        </w:rPr>
      </w:pPr>
    </w:p>
    <w:p>
      <w:pPr>
        <w:jc w:val="both"/>
        <w:ind w:firstLine="856"/>
        <w:spacing w:after="0" w:line="266" w:lineRule="auto"/>
        <w:tabs>
          <w:tab w:leader="none" w:pos="1296"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January 2, 2027 (the “Vesting Date”) provided that the Grantee continues to serve as a member of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10" w:lineRule="exact"/>
        <w:rPr>
          <w:rFonts w:ascii="Times New Roman" w:cs="Times New Roman" w:eastAsia="Times New Roman" w:hAnsi="Times New Roman"/>
          <w:sz w:val="14"/>
          <w:szCs w:val="14"/>
          <w:color w:val="auto"/>
        </w:rPr>
      </w:pPr>
    </w:p>
    <w:p>
      <w:pPr>
        <w:jc w:val="both"/>
        <w:ind w:firstLine="1288"/>
        <w:spacing w:after="0" w:line="275" w:lineRule="auto"/>
        <w:tabs>
          <w:tab w:leader="none" w:pos="1725"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8738801.1</w:t>
      </w:r>
    </w:p>
    <w:p>
      <w:pPr>
        <w:sectPr>
          <w:pgSz w:w="11900" w:h="16838" w:orient="portrait"/>
          <w:cols w:equalWidth="0" w:num="1">
            <w:col w:w="11300"/>
          </w:cols>
          <w:pgMar w:left="300" w:top="991" w:right="299" w:bottom="1440" w:gutter="0" w:footer="0" w:header="0"/>
        </w:sectPr>
      </w:pPr>
    </w:p>
    <w:bookmarkStart w:id="181" w:name="page182"/>
    <w:bookmarkEnd w:id="181"/>
    <w:p>
      <w:pPr>
        <w:ind w:left="1720" w:hanging="432"/>
        <w:spacing w:after="0"/>
        <w:tabs>
          <w:tab w:leader="none" w:pos="17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Date.</w:t>
      </w:r>
    </w:p>
    <w:p>
      <w:pPr>
        <w:spacing w:after="0" w:line="154" w:lineRule="exact"/>
        <w:rPr>
          <w:sz w:val="20"/>
          <w:szCs w:val="20"/>
          <w:color w:val="auto"/>
        </w:rPr>
      </w:pPr>
    </w:p>
    <w:p>
      <w:pPr>
        <w:ind w:left="1280" w:hanging="424"/>
        <w:spacing w:after="0"/>
        <w:tabs>
          <w:tab w:leader="none" w:pos="12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63" w:lineRule="exact"/>
        <w:rPr>
          <w:rFonts w:ascii="Times New Roman" w:cs="Times New Roman" w:eastAsia="Times New Roman" w:hAnsi="Times New Roman"/>
          <w:sz w:val="14"/>
          <w:szCs w:val="14"/>
          <w:color w:val="auto"/>
        </w:rPr>
      </w:pPr>
    </w:p>
    <w:p>
      <w:pPr>
        <w:jc w:val="both"/>
        <w:ind w:firstLine="856"/>
        <w:spacing w:after="0" w:line="269" w:lineRule="auto"/>
        <w:tabs>
          <w:tab w:leader="none" w:pos="129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receipt requested, addressed to the Company, 120 Wood Road,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assigns.</w:t>
      </w:r>
    </w:p>
    <w:p>
      <w:pPr>
        <w:spacing w:after="0" w:line="143" w:lineRule="exact"/>
        <w:rPr>
          <w:rFonts w:ascii="Times New Roman" w:cs="Times New Roman" w:eastAsia="Times New Roman" w:hAnsi="Times New Roman"/>
          <w:sz w:val="14"/>
          <w:szCs w:val="14"/>
          <w:color w:val="auto"/>
        </w:rPr>
      </w:pPr>
    </w:p>
    <w:p>
      <w:pPr>
        <w:ind w:firstLine="856"/>
        <w:spacing w:after="0" w:line="298" w:lineRule="auto"/>
        <w:tabs>
          <w:tab w:leader="none" w:pos="129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and 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36" w:lineRule="exact"/>
        <w:rPr>
          <w:rFonts w:ascii="Times New Roman" w:cs="Times New Roman" w:eastAsia="Times New Roman" w:hAnsi="Times New Roman"/>
          <w:sz w:val="14"/>
          <w:szCs w:val="14"/>
          <w:color w:val="auto"/>
        </w:rPr>
      </w:pPr>
    </w:p>
    <w:p>
      <w:pPr>
        <w:ind w:firstLine="856"/>
        <w:spacing w:after="0" w:line="312" w:lineRule="auto"/>
        <w:tabs>
          <w:tab w:leader="none" w:pos="1296"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together shall constitute one and the same instrument.</w:t>
      </w:r>
    </w:p>
    <w:p>
      <w:pPr>
        <w:spacing w:after="0" w:line="7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856"/>
        <w:spacing w:after="0" w:line="276" w:lineRule="auto"/>
        <w:tabs>
          <w:tab w:leader="none" w:pos="1291"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8738801.1</w:t>
      </w:r>
    </w:p>
    <w:p>
      <w:pPr>
        <w:sectPr>
          <w:pgSz w:w="11900" w:h="16838" w:orient="portrait"/>
          <w:cols w:equalWidth="0" w:num="1">
            <w:col w:w="11300"/>
          </w:cols>
          <w:pgMar w:left="300" w:top="994" w:right="2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-4445</wp:posOffset>
            </wp:positionV>
            <wp:extent cx="45720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Meryl S. Golden</w:t>
      </w:r>
    </w:p>
    <w:p>
      <w:pPr>
        <w:spacing w:after="0" w:line="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299085</wp:posOffset>
            </wp:positionV>
            <wp:extent cx="45720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33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Floyd R. Tupper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-4445</wp:posOffset>
            </wp:positionV>
            <wp:extent cx="96964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969645"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3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8738801.1</w:t>
      </w:r>
    </w:p>
    <w:p>
      <w:pPr>
        <w:sectPr>
          <w:pgSz w:w="11900" w:h="16838" w:orient="portrait"/>
          <w:cols w:equalWidth="0" w:num="1">
            <w:col w:w="10440"/>
          </w:cols>
          <w:pgMar w:left="1160" w:top="992" w:right="299" w:bottom="1440" w:gutter="0" w:footer="0" w:header="0"/>
        </w:sectPr>
      </w:pPr>
    </w:p>
    <w:bookmarkStart w:id="183" w:name="page184"/>
    <w:bookmarkEnd w:id="183"/>
    <w:p>
      <w:pPr>
        <w:ind w:firstLine="864"/>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January, 2026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WILLIAM L. YANKUS </w:t>
      </w:r>
      <w:r>
        <w:rPr>
          <w:rFonts w:ascii="Times New Roman" w:cs="Times New Roman" w:eastAsia="Times New Roman" w:hAnsi="Times New Roman"/>
          <w:sz w:val="14"/>
          <w:szCs w:val="14"/>
          <w:color w:val="auto"/>
        </w:rPr>
        <w:t>(the “Grantee”).</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 non-employee member of the Board of Directors of the Company;</w:t>
      </w:r>
    </w:p>
    <w:p>
      <w:pPr>
        <w:spacing w:after="0" w:line="163" w:lineRule="exact"/>
        <w:rPr>
          <w:sz w:val="20"/>
          <w:szCs w:val="20"/>
          <w:color w:val="auto"/>
        </w:rPr>
      </w:pPr>
    </w:p>
    <w:p>
      <w:pPr>
        <w:ind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the Company has approved the grant to the Grantee of common stock of the Company (“Common Stock”) pursuant to the Company’s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Equity Participation Plan (the “Plan”).</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1280" w:hanging="424"/>
        <w:spacing w:after="0"/>
        <w:tabs>
          <w:tab w:leader="none" w:pos="12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w:t>
      </w:r>
    </w:p>
    <w:p>
      <w:pPr>
        <w:spacing w:after="0" w:line="154" w:lineRule="exact"/>
        <w:rPr>
          <w:rFonts w:ascii="Times New Roman" w:cs="Times New Roman" w:eastAsia="Times New Roman" w:hAnsi="Times New Roman"/>
          <w:sz w:val="14"/>
          <w:szCs w:val="14"/>
          <w:color w:val="auto"/>
        </w:rPr>
      </w:pPr>
    </w:p>
    <w:p>
      <w:pPr>
        <w:jc w:val="both"/>
        <w:ind w:firstLine="856"/>
        <w:spacing w:after="0" w:line="283" w:lineRule="auto"/>
        <w:tabs>
          <w:tab w:leader="none" w:pos="129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award of three thousand one hundred forty-nine (3,149) shares of Common Stock (the “Shares”), such Shares being issuable on the Vesting Date (as hereinafter defined) set forth in, and subject to the provisions of, Section 3 hereof.</w:t>
      </w:r>
    </w:p>
    <w:p>
      <w:pPr>
        <w:spacing w:after="0" w:line="96" w:lineRule="exact"/>
        <w:rPr>
          <w:rFonts w:ascii="Times New Roman" w:cs="Times New Roman" w:eastAsia="Times New Roman" w:hAnsi="Times New Roman"/>
          <w:sz w:val="14"/>
          <w:szCs w:val="14"/>
          <w:color w:val="auto"/>
        </w:rPr>
      </w:pPr>
    </w:p>
    <w:p>
      <w:pPr>
        <w:jc w:val="both"/>
        <w:ind w:firstLine="856"/>
        <w:spacing w:after="0" w:line="266" w:lineRule="auto"/>
        <w:tabs>
          <w:tab w:leader="none" w:pos="1296"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January 2, 2027 (the “Vesting Date”) provided that the Grantee continues to serve as a member of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10" w:lineRule="exact"/>
        <w:rPr>
          <w:rFonts w:ascii="Times New Roman" w:cs="Times New Roman" w:eastAsia="Times New Roman" w:hAnsi="Times New Roman"/>
          <w:sz w:val="14"/>
          <w:szCs w:val="14"/>
          <w:color w:val="auto"/>
        </w:rPr>
      </w:pPr>
    </w:p>
    <w:p>
      <w:pPr>
        <w:jc w:val="both"/>
        <w:ind w:firstLine="1288"/>
        <w:spacing w:after="0" w:line="275" w:lineRule="auto"/>
        <w:tabs>
          <w:tab w:leader="none" w:pos="1725"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8738771.1</w:t>
      </w:r>
    </w:p>
    <w:p>
      <w:pPr>
        <w:sectPr>
          <w:pgSz w:w="11900" w:h="16838" w:orient="portrait"/>
          <w:cols w:equalWidth="0" w:num="1">
            <w:col w:w="11300"/>
          </w:cols>
          <w:pgMar w:left="300" w:top="991" w:right="299" w:bottom="1440" w:gutter="0" w:footer="0" w:header="0"/>
        </w:sectPr>
      </w:pPr>
    </w:p>
    <w:bookmarkStart w:id="184" w:name="page185"/>
    <w:bookmarkEnd w:id="184"/>
    <w:p>
      <w:pPr>
        <w:ind w:left="1720" w:hanging="432"/>
        <w:spacing w:after="0"/>
        <w:tabs>
          <w:tab w:leader="none" w:pos="17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Date.</w:t>
      </w:r>
    </w:p>
    <w:p>
      <w:pPr>
        <w:spacing w:after="0" w:line="154" w:lineRule="exact"/>
        <w:rPr>
          <w:sz w:val="20"/>
          <w:szCs w:val="20"/>
          <w:color w:val="auto"/>
        </w:rPr>
      </w:pPr>
    </w:p>
    <w:p>
      <w:pPr>
        <w:ind w:left="1280" w:hanging="424"/>
        <w:spacing w:after="0"/>
        <w:tabs>
          <w:tab w:leader="none" w:pos="12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63" w:lineRule="exact"/>
        <w:rPr>
          <w:rFonts w:ascii="Times New Roman" w:cs="Times New Roman" w:eastAsia="Times New Roman" w:hAnsi="Times New Roman"/>
          <w:sz w:val="14"/>
          <w:szCs w:val="14"/>
          <w:color w:val="auto"/>
        </w:rPr>
      </w:pPr>
    </w:p>
    <w:p>
      <w:pPr>
        <w:jc w:val="both"/>
        <w:ind w:firstLine="856"/>
        <w:spacing w:after="0" w:line="269" w:lineRule="auto"/>
        <w:tabs>
          <w:tab w:leader="none" w:pos="129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receipt requested, addressed to the Company, 120 Wood Road,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assigns.</w:t>
      </w:r>
    </w:p>
    <w:p>
      <w:pPr>
        <w:spacing w:after="0" w:line="143" w:lineRule="exact"/>
        <w:rPr>
          <w:rFonts w:ascii="Times New Roman" w:cs="Times New Roman" w:eastAsia="Times New Roman" w:hAnsi="Times New Roman"/>
          <w:sz w:val="14"/>
          <w:szCs w:val="14"/>
          <w:color w:val="auto"/>
        </w:rPr>
      </w:pPr>
    </w:p>
    <w:p>
      <w:pPr>
        <w:ind w:firstLine="856"/>
        <w:spacing w:after="0" w:line="298" w:lineRule="auto"/>
        <w:tabs>
          <w:tab w:leader="none" w:pos="129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and 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36" w:lineRule="exact"/>
        <w:rPr>
          <w:rFonts w:ascii="Times New Roman" w:cs="Times New Roman" w:eastAsia="Times New Roman" w:hAnsi="Times New Roman"/>
          <w:sz w:val="14"/>
          <w:szCs w:val="14"/>
          <w:color w:val="auto"/>
        </w:rPr>
      </w:pPr>
    </w:p>
    <w:p>
      <w:pPr>
        <w:ind w:firstLine="856"/>
        <w:spacing w:after="0" w:line="312" w:lineRule="auto"/>
        <w:tabs>
          <w:tab w:leader="none" w:pos="129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together shall constitute one and the same instrument.</w:t>
      </w:r>
    </w:p>
    <w:p>
      <w:pPr>
        <w:spacing w:after="0" w:line="7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856"/>
        <w:spacing w:after="0" w:line="276" w:lineRule="auto"/>
        <w:tabs>
          <w:tab w:leader="none" w:pos="1291"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8738771.1</w:t>
      </w:r>
    </w:p>
    <w:p>
      <w:pPr>
        <w:sectPr>
          <w:pgSz w:w="11900" w:h="16838" w:orient="portrait"/>
          <w:cols w:equalWidth="0" w:num="1">
            <w:col w:w="11300"/>
          </w:cols>
          <w:pgMar w:left="300" w:top="994" w:right="2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-4445</wp:posOffset>
            </wp:positionV>
            <wp:extent cx="45720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Meryl S. Golden</w:t>
      </w:r>
    </w:p>
    <w:p>
      <w:pPr>
        <w:spacing w:after="0" w:line="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299085</wp:posOffset>
            </wp:positionV>
            <wp:extent cx="45720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33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William L. Yankus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-4445</wp:posOffset>
            </wp:positionV>
            <wp:extent cx="105473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1054735"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3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8738771.1</w:t>
      </w:r>
    </w:p>
    <w:p>
      <w:pPr>
        <w:sectPr>
          <w:pgSz w:w="11900" w:h="16838" w:orient="portrait"/>
          <w:cols w:equalWidth="0" w:num="1">
            <w:col w:w="10440"/>
          </w:cols>
          <w:pgMar w:left="1160" w:top="992" w:right="299" w:bottom="1440" w:gutter="0" w:footer="0" w:header="0"/>
        </w:sectPr>
      </w:pPr>
    </w:p>
    <w:bookmarkStart w:id="186" w:name="page187"/>
    <w:bookmarkEnd w:id="186"/>
    <w:p>
      <w:pPr>
        <w:ind w:firstLine="864"/>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January, 2026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THOMAS NEWGARDEN </w:t>
      </w:r>
      <w:r>
        <w:rPr>
          <w:rFonts w:ascii="Times New Roman" w:cs="Times New Roman" w:eastAsia="Times New Roman" w:hAnsi="Times New Roman"/>
          <w:sz w:val="14"/>
          <w:szCs w:val="14"/>
          <w:color w:val="auto"/>
        </w:rPr>
        <w:t>(the “Grantee”).</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 non-employee member of the Board of Directors of the Company;</w:t>
      </w:r>
    </w:p>
    <w:p>
      <w:pPr>
        <w:spacing w:after="0" w:line="163" w:lineRule="exact"/>
        <w:rPr>
          <w:sz w:val="20"/>
          <w:szCs w:val="20"/>
          <w:color w:val="auto"/>
        </w:rPr>
      </w:pPr>
    </w:p>
    <w:p>
      <w:pPr>
        <w:ind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the Company has approved the grant to the Grantee of common stock of the Company (“Common Stock”) pursuant to the Company’s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Equity Participation Plan (the “Plan”).</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1280" w:hanging="424"/>
        <w:spacing w:after="0"/>
        <w:tabs>
          <w:tab w:leader="none" w:pos="12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w:t>
      </w:r>
    </w:p>
    <w:p>
      <w:pPr>
        <w:spacing w:after="0" w:line="154" w:lineRule="exact"/>
        <w:rPr>
          <w:rFonts w:ascii="Times New Roman" w:cs="Times New Roman" w:eastAsia="Times New Roman" w:hAnsi="Times New Roman"/>
          <w:sz w:val="14"/>
          <w:szCs w:val="14"/>
          <w:color w:val="auto"/>
        </w:rPr>
      </w:pPr>
    </w:p>
    <w:p>
      <w:pPr>
        <w:jc w:val="both"/>
        <w:ind w:firstLine="856"/>
        <w:spacing w:after="0" w:line="283" w:lineRule="auto"/>
        <w:tabs>
          <w:tab w:leader="none" w:pos="1296"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award of three thousand one hundred forty-nine (3,149) shares of Common Stock (the “Shares”), such Shares being issuable on the Vesting Date (as hereinafter defined) set forth in, and subject to the provisions of, Section 3 hereof.</w:t>
      </w:r>
    </w:p>
    <w:p>
      <w:pPr>
        <w:spacing w:after="0" w:line="96" w:lineRule="exact"/>
        <w:rPr>
          <w:rFonts w:ascii="Times New Roman" w:cs="Times New Roman" w:eastAsia="Times New Roman" w:hAnsi="Times New Roman"/>
          <w:sz w:val="14"/>
          <w:szCs w:val="14"/>
          <w:color w:val="auto"/>
        </w:rPr>
      </w:pPr>
    </w:p>
    <w:p>
      <w:pPr>
        <w:jc w:val="both"/>
        <w:ind w:firstLine="856"/>
        <w:spacing w:after="0" w:line="266" w:lineRule="auto"/>
        <w:tabs>
          <w:tab w:leader="none" w:pos="1296"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January 2, 2027 (the “Vesting Date”) provided that the Grantee continues to serve as a member of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10" w:lineRule="exact"/>
        <w:rPr>
          <w:rFonts w:ascii="Times New Roman" w:cs="Times New Roman" w:eastAsia="Times New Roman" w:hAnsi="Times New Roman"/>
          <w:sz w:val="14"/>
          <w:szCs w:val="14"/>
          <w:color w:val="auto"/>
        </w:rPr>
      </w:pPr>
    </w:p>
    <w:p>
      <w:pPr>
        <w:jc w:val="both"/>
        <w:ind w:firstLine="1288"/>
        <w:spacing w:after="0" w:line="275" w:lineRule="auto"/>
        <w:tabs>
          <w:tab w:leader="none" w:pos="1725"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8738808.1</w:t>
      </w:r>
    </w:p>
    <w:p>
      <w:pPr>
        <w:sectPr>
          <w:pgSz w:w="11900" w:h="16838" w:orient="portrait"/>
          <w:cols w:equalWidth="0" w:num="1">
            <w:col w:w="11300"/>
          </w:cols>
          <w:pgMar w:left="300" w:top="991" w:right="299" w:bottom="1440" w:gutter="0" w:footer="0" w:header="0"/>
        </w:sectPr>
      </w:pPr>
    </w:p>
    <w:bookmarkStart w:id="187" w:name="page188"/>
    <w:bookmarkEnd w:id="187"/>
    <w:p>
      <w:pPr>
        <w:ind w:left="1720" w:hanging="432"/>
        <w:spacing w:after="0"/>
        <w:tabs>
          <w:tab w:leader="none" w:pos="17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Date.</w:t>
      </w:r>
    </w:p>
    <w:p>
      <w:pPr>
        <w:spacing w:after="0" w:line="154" w:lineRule="exact"/>
        <w:rPr>
          <w:sz w:val="20"/>
          <w:szCs w:val="20"/>
          <w:color w:val="auto"/>
        </w:rPr>
      </w:pPr>
    </w:p>
    <w:p>
      <w:pPr>
        <w:ind w:left="1280" w:hanging="424"/>
        <w:spacing w:after="0"/>
        <w:tabs>
          <w:tab w:leader="none" w:pos="12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63" w:lineRule="exact"/>
        <w:rPr>
          <w:rFonts w:ascii="Times New Roman" w:cs="Times New Roman" w:eastAsia="Times New Roman" w:hAnsi="Times New Roman"/>
          <w:sz w:val="14"/>
          <w:szCs w:val="14"/>
          <w:color w:val="auto"/>
        </w:rPr>
      </w:pPr>
    </w:p>
    <w:p>
      <w:pPr>
        <w:jc w:val="both"/>
        <w:ind w:firstLine="856"/>
        <w:spacing w:after="0" w:line="269" w:lineRule="auto"/>
        <w:tabs>
          <w:tab w:leader="none" w:pos="129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receipt requested, addressed to the Company, 120 Wood Road,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assigns.</w:t>
      </w:r>
    </w:p>
    <w:p>
      <w:pPr>
        <w:spacing w:after="0" w:line="143" w:lineRule="exact"/>
        <w:rPr>
          <w:rFonts w:ascii="Times New Roman" w:cs="Times New Roman" w:eastAsia="Times New Roman" w:hAnsi="Times New Roman"/>
          <w:sz w:val="14"/>
          <w:szCs w:val="14"/>
          <w:color w:val="auto"/>
        </w:rPr>
      </w:pPr>
    </w:p>
    <w:p>
      <w:pPr>
        <w:ind w:firstLine="856"/>
        <w:spacing w:after="0" w:line="298" w:lineRule="auto"/>
        <w:tabs>
          <w:tab w:leader="none" w:pos="129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and 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36" w:lineRule="exact"/>
        <w:rPr>
          <w:rFonts w:ascii="Times New Roman" w:cs="Times New Roman" w:eastAsia="Times New Roman" w:hAnsi="Times New Roman"/>
          <w:sz w:val="14"/>
          <w:szCs w:val="14"/>
          <w:color w:val="auto"/>
        </w:rPr>
      </w:pPr>
    </w:p>
    <w:p>
      <w:pPr>
        <w:ind w:firstLine="856"/>
        <w:spacing w:after="0" w:line="312" w:lineRule="auto"/>
        <w:tabs>
          <w:tab w:leader="none" w:pos="129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together shall constitute one and the same instrument.</w:t>
      </w:r>
    </w:p>
    <w:p>
      <w:pPr>
        <w:spacing w:after="0" w:line="7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856"/>
        <w:spacing w:after="0" w:line="276" w:lineRule="auto"/>
        <w:tabs>
          <w:tab w:leader="none" w:pos="1291"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8738808.1</w:t>
      </w:r>
    </w:p>
    <w:p>
      <w:pPr>
        <w:sectPr>
          <w:pgSz w:w="11900" w:h="16838" w:orient="portrait"/>
          <w:cols w:equalWidth="0" w:num="1">
            <w:col w:w="11300"/>
          </w:cols>
          <w:pgMar w:left="300" w:top="994" w:right="2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-4445</wp:posOffset>
            </wp:positionV>
            <wp:extent cx="45720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Meryl S. Golden</w:t>
      </w:r>
    </w:p>
    <w:p>
      <w:pPr>
        <w:spacing w:after="0" w:line="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299085</wp:posOffset>
            </wp:positionV>
            <wp:extent cx="45720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33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Thomas Newgarden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-4445</wp:posOffset>
            </wp:positionV>
            <wp:extent cx="110299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1102995"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3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8738808.1</w:t>
      </w:r>
    </w:p>
    <w:p>
      <w:pPr>
        <w:sectPr>
          <w:pgSz w:w="11900" w:h="16838" w:orient="portrait"/>
          <w:cols w:equalWidth="0" w:num="1">
            <w:col w:w="10440"/>
          </w:cols>
          <w:pgMar w:left="1160" w:top="992" w:right="299" w:bottom="1440" w:gutter="0" w:footer="0" w:header="0"/>
        </w:sectPr>
      </w:pPr>
    </w:p>
    <w:bookmarkStart w:id="189" w:name="page190"/>
    <w:bookmarkEnd w:id="189"/>
    <w:p>
      <w:pPr>
        <w:ind w:firstLine="864"/>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January, 2026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MANMOHAN SINGH </w:t>
      </w:r>
      <w:r>
        <w:rPr>
          <w:rFonts w:ascii="Times New Roman" w:cs="Times New Roman" w:eastAsia="Times New Roman" w:hAnsi="Times New Roman"/>
          <w:sz w:val="14"/>
          <w:szCs w:val="14"/>
          <w:color w:val="auto"/>
        </w:rPr>
        <w:t>(the “Grantee”).</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 non-employee member of the Board of Directors of the Company;</w:t>
      </w:r>
    </w:p>
    <w:p>
      <w:pPr>
        <w:spacing w:after="0" w:line="163" w:lineRule="exact"/>
        <w:rPr>
          <w:sz w:val="20"/>
          <w:szCs w:val="20"/>
          <w:color w:val="auto"/>
        </w:rPr>
      </w:pPr>
    </w:p>
    <w:p>
      <w:pPr>
        <w:ind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the Company has approved the grant to the Grantee of common stock of the Company (“Common Stock”) pursuant to the Company’s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Equity Participation Plan (the “Plan”).</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1280" w:hanging="424"/>
        <w:spacing w:after="0"/>
        <w:tabs>
          <w:tab w:leader="none" w:pos="12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w:t>
      </w:r>
    </w:p>
    <w:p>
      <w:pPr>
        <w:spacing w:after="0" w:line="154" w:lineRule="exact"/>
        <w:rPr>
          <w:rFonts w:ascii="Times New Roman" w:cs="Times New Roman" w:eastAsia="Times New Roman" w:hAnsi="Times New Roman"/>
          <w:sz w:val="14"/>
          <w:szCs w:val="14"/>
          <w:color w:val="auto"/>
        </w:rPr>
      </w:pPr>
    </w:p>
    <w:p>
      <w:pPr>
        <w:jc w:val="both"/>
        <w:ind w:firstLine="856"/>
        <w:spacing w:after="0" w:line="283" w:lineRule="auto"/>
        <w:tabs>
          <w:tab w:leader="none" w:pos="129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award of seven thousand eleven (7,011) shares of Common Stock (the “Shares”), such Shares being issuable on the Vesting Date (as hereinafter defined) set forth in, and subject to the provisions of, Section 3 hereof.</w:t>
      </w:r>
    </w:p>
    <w:p>
      <w:pPr>
        <w:spacing w:after="0" w:line="96" w:lineRule="exact"/>
        <w:rPr>
          <w:rFonts w:ascii="Times New Roman" w:cs="Times New Roman" w:eastAsia="Times New Roman" w:hAnsi="Times New Roman"/>
          <w:sz w:val="14"/>
          <w:szCs w:val="14"/>
          <w:color w:val="auto"/>
        </w:rPr>
      </w:pPr>
    </w:p>
    <w:p>
      <w:pPr>
        <w:jc w:val="both"/>
        <w:ind w:firstLine="856"/>
        <w:spacing w:after="0" w:line="266" w:lineRule="auto"/>
        <w:tabs>
          <w:tab w:leader="none" w:pos="129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January 2, 2027 (the “Vesting Date”) provided that the Grantee continues to serve as a member of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10" w:lineRule="exact"/>
        <w:rPr>
          <w:rFonts w:ascii="Times New Roman" w:cs="Times New Roman" w:eastAsia="Times New Roman" w:hAnsi="Times New Roman"/>
          <w:sz w:val="14"/>
          <w:szCs w:val="14"/>
          <w:color w:val="auto"/>
        </w:rPr>
      </w:pPr>
    </w:p>
    <w:p>
      <w:pPr>
        <w:jc w:val="both"/>
        <w:ind w:firstLine="1288"/>
        <w:spacing w:after="0" w:line="275" w:lineRule="auto"/>
        <w:tabs>
          <w:tab w:leader="none" w:pos="1725"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8738810.1</w:t>
      </w:r>
    </w:p>
    <w:p>
      <w:pPr>
        <w:sectPr>
          <w:pgSz w:w="11900" w:h="16838" w:orient="portrait"/>
          <w:cols w:equalWidth="0" w:num="1">
            <w:col w:w="11300"/>
          </w:cols>
          <w:pgMar w:left="300" w:top="991" w:right="299" w:bottom="1440" w:gutter="0" w:footer="0" w:header="0"/>
        </w:sectPr>
      </w:pPr>
    </w:p>
    <w:bookmarkStart w:id="190" w:name="page191"/>
    <w:bookmarkEnd w:id="190"/>
    <w:p>
      <w:pPr>
        <w:ind w:left="1720" w:hanging="432"/>
        <w:spacing w:after="0"/>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Date.</w:t>
      </w:r>
    </w:p>
    <w:p>
      <w:pPr>
        <w:spacing w:after="0" w:line="154" w:lineRule="exact"/>
        <w:rPr>
          <w:sz w:val="20"/>
          <w:szCs w:val="20"/>
          <w:color w:val="auto"/>
        </w:rPr>
      </w:pPr>
    </w:p>
    <w:p>
      <w:pPr>
        <w:ind w:left="1280" w:hanging="424"/>
        <w:spacing w:after="0"/>
        <w:tabs>
          <w:tab w:leader="none" w:pos="12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63" w:lineRule="exact"/>
        <w:rPr>
          <w:rFonts w:ascii="Times New Roman" w:cs="Times New Roman" w:eastAsia="Times New Roman" w:hAnsi="Times New Roman"/>
          <w:sz w:val="14"/>
          <w:szCs w:val="14"/>
          <w:color w:val="auto"/>
        </w:rPr>
      </w:pPr>
    </w:p>
    <w:p>
      <w:pPr>
        <w:jc w:val="both"/>
        <w:ind w:firstLine="856"/>
        <w:spacing w:after="0" w:line="269" w:lineRule="auto"/>
        <w:tabs>
          <w:tab w:leader="none" w:pos="1296"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receipt requested, addressed to the Company, 120 Wood Road,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assigns.</w:t>
      </w:r>
    </w:p>
    <w:p>
      <w:pPr>
        <w:spacing w:after="0" w:line="143" w:lineRule="exact"/>
        <w:rPr>
          <w:rFonts w:ascii="Times New Roman" w:cs="Times New Roman" w:eastAsia="Times New Roman" w:hAnsi="Times New Roman"/>
          <w:sz w:val="14"/>
          <w:szCs w:val="14"/>
          <w:color w:val="auto"/>
        </w:rPr>
      </w:pPr>
    </w:p>
    <w:p>
      <w:pPr>
        <w:ind w:firstLine="856"/>
        <w:spacing w:after="0" w:line="298" w:lineRule="auto"/>
        <w:tabs>
          <w:tab w:leader="none" w:pos="1296"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and 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36" w:lineRule="exact"/>
        <w:rPr>
          <w:rFonts w:ascii="Times New Roman" w:cs="Times New Roman" w:eastAsia="Times New Roman" w:hAnsi="Times New Roman"/>
          <w:sz w:val="14"/>
          <w:szCs w:val="14"/>
          <w:color w:val="auto"/>
        </w:rPr>
      </w:pPr>
    </w:p>
    <w:p>
      <w:pPr>
        <w:ind w:firstLine="856"/>
        <w:spacing w:after="0" w:line="312" w:lineRule="auto"/>
        <w:tabs>
          <w:tab w:leader="none" w:pos="1296"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together shall constitute one and the same instrument.</w:t>
      </w:r>
    </w:p>
    <w:p>
      <w:pPr>
        <w:spacing w:after="0" w:line="7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856"/>
        <w:spacing w:after="0" w:line="276" w:lineRule="auto"/>
        <w:tabs>
          <w:tab w:leader="none" w:pos="1291"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8738810.1</w:t>
      </w:r>
    </w:p>
    <w:p>
      <w:pPr>
        <w:sectPr>
          <w:pgSz w:w="11900" w:h="16838" w:orient="portrait"/>
          <w:cols w:equalWidth="0" w:num="1">
            <w:col w:w="11300"/>
          </w:cols>
          <w:pgMar w:left="300" w:top="994" w:right="2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-4445</wp:posOffset>
            </wp:positionV>
            <wp:extent cx="45720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Meryl S. Golden</w:t>
      </w:r>
    </w:p>
    <w:p>
      <w:pPr>
        <w:spacing w:after="0" w:line="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299085</wp:posOffset>
            </wp:positionV>
            <wp:extent cx="4572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33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Manmohan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-4445</wp:posOffset>
            </wp:positionV>
            <wp:extent cx="10185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1018540"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3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8738810.1</w:t>
      </w:r>
    </w:p>
    <w:p>
      <w:pPr>
        <w:sectPr>
          <w:pgSz w:w="11900" w:h="16838" w:orient="portrait"/>
          <w:cols w:equalWidth="0" w:num="1">
            <w:col w:w="10440"/>
          </w:cols>
          <w:pgMar w:left="1160" w:top="992" w:right="299" w:bottom="1440" w:gutter="0" w:footer="0" w:header="0"/>
        </w:sectPr>
      </w:pPr>
    </w:p>
    <w:bookmarkStart w:id="192" w:name="page193"/>
    <w:bookmarkEnd w:id="192"/>
    <w:p>
      <w:pPr>
        <w:ind w:firstLine="864"/>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2</w:t>
      </w:r>
      <w:r>
        <w:rPr>
          <w:rFonts w:ascii="Times New Roman" w:cs="Times New Roman" w:eastAsia="Times New Roman" w:hAnsi="Times New Roman"/>
          <w:sz w:val="18"/>
          <w:szCs w:val="18"/>
          <w:color w:val="auto"/>
          <w:vertAlign w:val="superscript"/>
        </w:rPr>
        <w:t>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January, 2026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PRANAV PASRICHA </w:t>
      </w:r>
      <w:r>
        <w:rPr>
          <w:rFonts w:ascii="Times New Roman" w:cs="Times New Roman" w:eastAsia="Times New Roman" w:hAnsi="Times New Roman"/>
          <w:sz w:val="14"/>
          <w:szCs w:val="14"/>
          <w:color w:val="auto"/>
        </w:rPr>
        <w:t>(the “Grantee”).</w:t>
      </w:r>
    </w:p>
    <w:p>
      <w:pPr>
        <w:spacing w:after="0" w:line="1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 non-employee member of the Board of Directors of the Company;</w:t>
      </w:r>
    </w:p>
    <w:p>
      <w:pPr>
        <w:spacing w:after="0" w:line="163" w:lineRule="exact"/>
        <w:rPr>
          <w:sz w:val="20"/>
          <w:szCs w:val="20"/>
          <w:color w:val="auto"/>
        </w:rPr>
      </w:pPr>
    </w:p>
    <w:p>
      <w:pPr>
        <w:ind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Board of Directors of the Company has approved the grant to the Grantee of common stock of the Company (“Common Stock”) pursuant to the Company’s 2024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Equity Participation Plan (the “Plan”).</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1280" w:hanging="424"/>
        <w:spacing w:after="0"/>
        <w:tabs>
          <w:tab w:leader="none" w:pos="128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w:t>
      </w:r>
    </w:p>
    <w:p>
      <w:pPr>
        <w:spacing w:after="0" w:line="154" w:lineRule="exact"/>
        <w:rPr>
          <w:rFonts w:ascii="Times New Roman" w:cs="Times New Roman" w:eastAsia="Times New Roman" w:hAnsi="Times New Roman"/>
          <w:sz w:val="14"/>
          <w:szCs w:val="14"/>
          <w:color w:val="auto"/>
        </w:rPr>
      </w:pPr>
    </w:p>
    <w:p>
      <w:pPr>
        <w:jc w:val="both"/>
        <w:ind w:firstLine="856"/>
        <w:spacing w:after="0" w:line="283" w:lineRule="auto"/>
        <w:tabs>
          <w:tab w:leader="none" w:pos="129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award of seven thousand eleven (7,011) shares of Common Stock (the “Shares”), such Shares being issuable on the Vesting Date (as hereinafter defined) set forth in, and subject to the provisions of, Section 3 hereof.</w:t>
      </w:r>
    </w:p>
    <w:p>
      <w:pPr>
        <w:spacing w:after="0" w:line="96" w:lineRule="exact"/>
        <w:rPr>
          <w:rFonts w:ascii="Times New Roman" w:cs="Times New Roman" w:eastAsia="Times New Roman" w:hAnsi="Times New Roman"/>
          <w:sz w:val="14"/>
          <w:szCs w:val="14"/>
          <w:color w:val="auto"/>
        </w:rPr>
      </w:pPr>
    </w:p>
    <w:p>
      <w:pPr>
        <w:jc w:val="both"/>
        <w:ind w:firstLine="856"/>
        <w:spacing w:after="0" w:line="266" w:lineRule="auto"/>
        <w:tabs>
          <w:tab w:leader="none" w:pos="129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January 2, 2027 (the “Vesting Date”) provided that the Grantee continues to serve as a member of the Board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Directors of the Company (the “Board”) through the Vesting Date, subject to the provisions of the Plan. Notwithstanding the foregoing, in the event that the Grantee resigns or is removed without cause from the Board prior to the Vesting Date or is not re-elected as a director at the Company’s next annual meeting of stockholders, then, the Shares shall thereupon vest on a pro rata basis based on the number of days between the date hereof and the date of resignation or removal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spacing w:after="0" w:line="110" w:lineRule="exact"/>
        <w:rPr>
          <w:rFonts w:ascii="Times New Roman" w:cs="Times New Roman" w:eastAsia="Times New Roman" w:hAnsi="Times New Roman"/>
          <w:sz w:val="14"/>
          <w:szCs w:val="14"/>
          <w:color w:val="auto"/>
        </w:rPr>
      </w:pPr>
    </w:p>
    <w:p>
      <w:pPr>
        <w:jc w:val="both"/>
        <w:ind w:firstLine="1288"/>
        <w:spacing w:after="0" w:line="275" w:lineRule="auto"/>
        <w:tabs>
          <w:tab w:leader="none" w:pos="1725"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8738812.1</w:t>
      </w:r>
    </w:p>
    <w:p>
      <w:pPr>
        <w:sectPr>
          <w:pgSz w:w="11900" w:h="16838" w:orient="portrait"/>
          <w:cols w:equalWidth="0" w:num="1">
            <w:col w:w="11300"/>
          </w:cols>
          <w:pgMar w:left="300" w:top="991" w:right="299" w:bottom="1440" w:gutter="0" w:footer="0" w:header="0"/>
        </w:sectPr>
      </w:pPr>
    </w:p>
    <w:bookmarkStart w:id="193" w:name="page194"/>
    <w:bookmarkEnd w:id="193"/>
    <w:p>
      <w:pPr>
        <w:ind w:left="1720" w:hanging="432"/>
        <w:spacing w:after="0"/>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Date.</w:t>
      </w:r>
    </w:p>
    <w:p>
      <w:pPr>
        <w:spacing w:after="0" w:line="154" w:lineRule="exact"/>
        <w:rPr>
          <w:sz w:val="20"/>
          <w:szCs w:val="20"/>
          <w:color w:val="auto"/>
        </w:rPr>
      </w:pPr>
    </w:p>
    <w:p>
      <w:pPr>
        <w:ind w:left="1280" w:hanging="424"/>
        <w:spacing w:after="0"/>
        <w:tabs>
          <w:tab w:leader="none" w:pos="12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63" w:lineRule="exact"/>
        <w:rPr>
          <w:rFonts w:ascii="Times New Roman" w:cs="Times New Roman" w:eastAsia="Times New Roman" w:hAnsi="Times New Roman"/>
          <w:sz w:val="14"/>
          <w:szCs w:val="14"/>
          <w:color w:val="auto"/>
        </w:rPr>
      </w:pPr>
    </w:p>
    <w:p>
      <w:pPr>
        <w:jc w:val="both"/>
        <w:ind w:firstLine="856"/>
        <w:spacing w:after="0" w:line="269" w:lineRule="auto"/>
        <w:tabs>
          <w:tab w:leader="none" w:pos="129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receipt requested, addressed to the Company, 120 Wood Road,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assigns.</w:t>
      </w:r>
    </w:p>
    <w:p>
      <w:pPr>
        <w:spacing w:after="0" w:line="143" w:lineRule="exact"/>
        <w:rPr>
          <w:rFonts w:ascii="Times New Roman" w:cs="Times New Roman" w:eastAsia="Times New Roman" w:hAnsi="Times New Roman"/>
          <w:sz w:val="14"/>
          <w:szCs w:val="14"/>
          <w:color w:val="auto"/>
        </w:rPr>
      </w:pPr>
    </w:p>
    <w:p>
      <w:pPr>
        <w:ind w:firstLine="856"/>
        <w:spacing w:after="0" w:line="298" w:lineRule="auto"/>
        <w:tabs>
          <w:tab w:leader="none" w:pos="129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and 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36" w:lineRule="exact"/>
        <w:rPr>
          <w:rFonts w:ascii="Times New Roman" w:cs="Times New Roman" w:eastAsia="Times New Roman" w:hAnsi="Times New Roman"/>
          <w:sz w:val="14"/>
          <w:szCs w:val="14"/>
          <w:color w:val="auto"/>
        </w:rPr>
      </w:pPr>
    </w:p>
    <w:p>
      <w:pPr>
        <w:ind w:firstLine="856"/>
        <w:spacing w:after="0" w:line="312" w:lineRule="auto"/>
        <w:tabs>
          <w:tab w:leader="none" w:pos="129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together shall constitute one and the same instrument.</w:t>
      </w:r>
    </w:p>
    <w:p>
      <w:pPr>
        <w:spacing w:after="0" w:line="7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856"/>
        <w:spacing w:after="0" w:line="276" w:lineRule="auto"/>
        <w:tabs>
          <w:tab w:leader="none" w:pos="129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8738812.1</w:t>
      </w:r>
    </w:p>
    <w:p>
      <w:pPr>
        <w:sectPr>
          <w:pgSz w:w="11900" w:h="16838" w:orient="portrait"/>
          <w:cols w:equalWidth="0" w:num="1">
            <w:col w:w="11300"/>
          </w:cols>
          <w:pgMar w:left="300" w:top="994" w:right="2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-4445</wp:posOffset>
            </wp:positionV>
            <wp:extent cx="45720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Meryl S. Golden</w:t>
      </w:r>
    </w:p>
    <w:p>
      <w:pPr>
        <w:spacing w:after="0" w:line="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299085</wp:posOffset>
            </wp:positionV>
            <wp:extent cx="45720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33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Pranav Pasricha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-4445</wp:posOffset>
            </wp:positionV>
            <wp:extent cx="95250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952500"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3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8738812.1</w:t>
      </w:r>
    </w:p>
    <w:p>
      <w:pPr>
        <w:sectPr>
          <w:pgSz w:w="11900" w:h="16838" w:orient="portrait"/>
          <w:cols w:equalWidth="0" w:num="1">
            <w:col w:w="10440"/>
          </w:cols>
          <w:pgMar w:left="1160" w:top="992" w:right="299" w:bottom="1440" w:gutter="0" w:footer="0" w:header="0"/>
        </w:sectPr>
      </w:pPr>
    </w:p>
    <w:bookmarkStart w:id="195" w:name="page196"/>
    <w:bookmarkEnd w:id="195"/>
    <w:p>
      <w:pPr>
        <w:ind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9th day of January, 2026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MERYL S. GOLDEN </w:t>
      </w:r>
      <w:r>
        <w:rPr>
          <w:rFonts w:ascii="Times New Roman" w:cs="Times New Roman" w:eastAsia="Times New Roman" w:hAnsi="Times New Roman"/>
          <w:sz w:val="14"/>
          <w:szCs w:val="14"/>
          <w:color w:val="auto"/>
        </w:rPr>
        <w:t>(the “Grantee”).</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an employee of the Company or a subsidiary thereof;</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Company and the Grantee are parties to a Third Amended and Restated Employment Agreement dated as of April 15, 2024 (the “Employment Agreement”);</w:t>
      </w:r>
    </w:p>
    <w:p>
      <w:pPr>
        <w:spacing w:after="0" w:line="154" w:lineRule="exact"/>
        <w:rPr>
          <w:sz w:val="20"/>
          <w:szCs w:val="20"/>
          <w:color w:val="auto"/>
        </w:rPr>
      </w:pPr>
    </w:p>
    <w:p>
      <w:pPr>
        <w:ind w:firstLine="636"/>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pursuant to the Employment Agreement, the Compensation and Finance Committee of the Board of Directors of the Company approved the grant to the Grantee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common stock of the Company (“Common Stock”) pursuant to the Company’s 2024 Equity Participation Plan, as amended (the “Plan”).</w:t>
      </w:r>
    </w:p>
    <w:p>
      <w:pPr>
        <w:spacing w:after="0" w:line="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1280" w:hanging="424"/>
        <w:spacing w:after="0"/>
        <w:tabs>
          <w:tab w:leader="none" w:pos="1280"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 or the Employment Agreement.</w:t>
      </w:r>
    </w:p>
    <w:p>
      <w:pPr>
        <w:spacing w:after="0" w:line="163" w:lineRule="exact"/>
        <w:rPr>
          <w:rFonts w:ascii="Times New Roman" w:cs="Times New Roman" w:eastAsia="Times New Roman" w:hAnsi="Times New Roman"/>
          <w:sz w:val="14"/>
          <w:szCs w:val="14"/>
          <w:color w:val="auto"/>
        </w:rPr>
      </w:pPr>
    </w:p>
    <w:p>
      <w:pPr>
        <w:jc w:val="both"/>
        <w:ind w:firstLine="856"/>
        <w:spacing w:after="0" w:line="276" w:lineRule="auto"/>
        <w:tabs>
          <w:tab w:leader="none" w:pos="1296" w:val="left"/>
        </w:tabs>
        <w:numPr>
          <w:ilvl w:val="1"/>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award of forty thousand (40,000) shares of Common Stock (the “Shares”), such Shares being issuable on the Vesting Date (as hereinafter defined) set forth in, and subject to the provisions of, Section 3 hereof.</w:t>
      </w:r>
    </w:p>
    <w:p>
      <w:pPr>
        <w:spacing w:after="0" w:line="101" w:lineRule="exact"/>
        <w:rPr>
          <w:rFonts w:ascii="Times New Roman" w:cs="Times New Roman" w:eastAsia="Times New Roman" w:hAnsi="Times New Roman"/>
          <w:sz w:val="14"/>
          <w:szCs w:val="14"/>
          <w:color w:val="auto"/>
        </w:rPr>
      </w:pPr>
    </w:p>
    <w:p>
      <w:pPr>
        <w:ind w:firstLine="424"/>
        <w:spacing w:after="0" w:line="298" w:lineRule="auto"/>
        <w:tabs>
          <w:tab w:leader="none" w:pos="86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January 9, 2027 (the “Vesting Date”), provided that the Grantee continues to serve as an employee of the Company or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subsidiary thereof as of the Vesting Date (or sooner as provided for in paragraph (c) hereof), subject to the provisions of the Plan.</w:t>
      </w:r>
    </w:p>
    <w:p>
      <w:pPr>
        <w:spacing w:after="0" w:line="88" w:lineRule="exact"/>
        <w:rPr>
          <w:sz w:val="20"/>
          <w:szCs w:val="20"/>
          <w:color w:val="auto"/>
        </w:rPr>
      </w:pPr>
    </w:p>
    <w:p>
      <w:pPr>
        <w:jc w:val="both"/>
        <w:ind w:firstLine="856"/>
        <w:spacing w:after="0" w:line="282" w:lineRule="auto"/>
        <w:tabs>
          <w:tab w:leader="none" w:pos="1293"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the Plan, in the event that the Grantee does not continue to serve as an employee of the Company or a subsidiary thereof as of the Vesting Date as a result of the termination of the Grantee’s employment for Cause or the Grantee’s resignation (other than for Good Reason), the Grantee shall not be entitled to receive any of the Shares issuable on the Vesting Date, and this Agreement shall terminate and be of no further force or effect.</w:t>
      </w:r>
    </w:p>
    <w:p>
      <w:pPr>
        <w:spacing w:after="0" w:line="98" w:lineRule="exact"/>
        <w:rPr>
          <w:rFonts w:ascii="Times New Roman" w:cs="Times New Roman" w:eastAsia="Times New Roman" w:hAnsi="Times New Roman"/>
          <w:sz w:val="14"/>
          <w:szCs w:val="14"/>
          <w:color w:val="auto"/>
        </w:rPr>
      </w:pPr>
    </w:p>
    <w:p>
      <w:pPr>
        <w:jc w:val="both"/>
        <w:ind w:firstLine="856"/>
        <w:spacing w:after="0" w:line="275" w:lineRule="auto"/>
        <w:tabs>
          <w:tab w:leader="none" w:pos="1294"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prior to the Vesting Date (i) the Grantee’s employment with the Company is terminated other than for Cause or (ii) the Grantee resigns her employment with the Company for Good Reason, the Shares that were scheduled to vest on Vesting Date shall instead vest on the date of termination of employment or the date of resignation of employment, as the case may be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8738814.1</w:t>
      </w:r>
    </w:p>
    <w:p>
      <w:pPr>
        <w:sectPr>
          <w:pgSz w:w="11900" w:h="16838" w:orient="portrait"/>
          <w:cols w:equalWidth="0" w:num="1">
            <w:col w:w="11300"/>
          </w:cols>
          <w:pgMar w:left="300" w:top="992" w:right="299" w:bottom="1440" w:gutter="0" w:footer="0" w:header="0"/>
        </w:sectPr>
      </w:pPr>
    </w:p>
    <w:bookmarkStart w:id="196" w:name="page197"/>
    <w:bookmarkEnd w:id="196"/>
    <w:p>
      <w:pPr>
        <w:ind w:right="20" w:firstLine="856"/>
        <w:spacing w:after="0" w:line="295" w:lineRule="auto"/>
        <w:tabs>
          <w:tab w:leader="none" w:pos="1293"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Shares vest on the Vesting Date or the Termination Date, as the case may be, the certificate representing the Shares shall be issued by the Company as soon as reasonably practicable thereafter.</w:t>
      </w:r>
    </w:p>
    <w:p>
      <w:pPr>
        <w:spacing w:after="0" w:line="90" w:lineRule="exact"/>
        <w:rPr>
          <w:rFonts w:ascii="Times New Roman" w:cs="Times New Roman" w:eastAsia="Times New Roman" w:hAnsi="Times New Roman"/>
          <w:sz w:val="14"/>
          <w:szCs w:val="14"/>
          <w:color w:val="auto"/>
        </w:rPr>
      </w:pPr>
    </w:p>
    <w:p>
      <w:pPr>
        <w:ind w:right="20" w:firstLine="856"/>
        <w:spacing w:after="0" w:line="309" w:lineRule="auto"/>
        <w:tabs>
          <w:tab w:leader="none" w:pos="1294"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the Vesting Date or the Termination Date, as the case may be.</w:t>
      </w:r>
    </w:p>
    <w:p>
      <w:pPr>
        <w:spacing w:after="0" w:line="78" w:lineRule="exact"/>
        <w:rPr>
          <w:sz w:val="20"/>
          <w:szCs w:val="20"/>
          <w:color w:val="auto"/>
        </w:rPr>
      </w:pPr>
    </w:p>
    <w:p>
      <w:pPr>
        <w:ind w:left="1280" w:hanging="424"/>
        <w:spacing w:after="0"/>
        <w:tabs>
          <w:tab w:leader="none" w:pos="12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54" w:lineRule="exact"/>
        <w:rPr>
          <w:rFonts w:ascii="Times New Roman" w:cs="Times New Roman" w:eastAsia="Times New Roman" w:hAnsi="Times New Roman"/>
          <w:sz w:val="14"/>
          <w:szCs w:val="14"/>
          <w:color w:val="auto"/>
        </w:rPr>
      </w:pPr>
    </w:p>
    <w:p>
      <w:pPr>
        <w:jc w:val="both"/>
        <w:ind w:firstLine="856"/>
        <w:spacing w:after="0" w:line="273" w:lineRule="auto"/>
        <w:tabs>
          <w:tab w:leader="none" w:pos="1296"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receipt requested, addressed to the Company, 120 Wood Road, Kingston, New York 12401, Attention: Chief Financial Officer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4"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assigns.</w:t>
      </w:r>
    </w:p>
    <w:p>
      <w:pPr>
        <w:spacing w:after="0" w:line="136" w:lineRule="exact"/>
        <w:rPr>
          <w:rFonts w:ascii="Times New Roman" w:cs="Times New Roman" w:eastAsia="Times New Roman" w:hAnsi="Times New Roman"/>
          <w:sz w:val="14"/>
          <w:szCs w:val="14"/>
          <w:color w:val="auto"/>
        </w:rPr>
      </w:pPr>
    </w:p>
    <w:p>
      <w:pPr>
        <w:ind w:firstLine="856"/>
        <w:spacing w:after="0" w:line="298" w:lineRule="auto"/>
        <w:tabs>
          <w:tab w:leader="none" w:pos="1296"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hereof and 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43" w:lineRule="exact"/>
        <w:rPr>
          <w:rFonts w:ascii="Times New Roman" w:cs="Times New Roman" w:eastAsia="Times New Roman" w:hAnsi="Times New Roman"/>
          <w:sz w:val="14"/>
          <w:szCs w:val="14"/>
          <w:color w:val="auto"/>
        </w:rPr>
      </w:pPr>
    </w:p>
    <w:p>
      <w:pPr>
        <w:ind w:firstLine="856"/>
        <w:spacing w:after="0" w:line="298" w:lineRule="auto"/>
        <w:tabs>
          <w:tab w:leader="none" w:pos="1296"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together shall constitute one and the same instrument.</w:t>
      </w:r>
    </w:p>
    <w:p>
      <w:pPr>
        <w:spacing w:after="0" w:line="86" w:lineRule="exact"/>
        <w:rPr>
          <w:rFonts w:ascii="Times New Roman" w:cs="Times New Roman" w:eastAsia="Times New Roman" w:hAnsi="Times New Roman"/>
          <w:sz w:val="14"/>
          <w:szCs w:val="14"/>
          <w:color w:val="auto"/>
        </w:rPr>
      </w:pPr>
    </w:p>
    <w:p>
      <w:pPr>
        <w:ind w:left="1280" w:hanging="424"/>
        <w:spacing w:after="0"/>
        <w:tabs>
          <w:tab w:leader="none" w:pos="12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856"/>
        <w:spacing w:after="0" w:line="283" w:lineRule="auto"/>
        <w:tabs>
          <w:tab w:leader="none" w:pos="1291"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8738814.1</w:t>
      </w:r>
    </w:p>
    <w:p>
      <w:pPr>
        <w:sectPr>
          <w:pgSz w:w="11900" w:h="16838" w:orient="portrait"/>
          <w:cols w:equalWidth="0" w:num="1">
            <w:col w:w="11300"/>
          </w:cols>
          <w:pgMar w:left="300" w:top="994" w:right="2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-4445</wp:posOffset>
            </wp:positionV>
            <wp:extent cx="4572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Randy Patten</w:t>
      </w:r>
    </w:p>
    <w:p>
      <w:pPr>
        <w:spacing w:after="0" w:line="1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299085</wp:posOffset>
            </wp:positionV>
            <wp:extent cx="4572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33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-4445</wp:posOffset>
            </wp:positionV>
            <wp:extent cx="97790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33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8738814.1</w:t>
      </w:r>
    </w:p>
    <w:p>
      <w:pPr>
        <w:sectPr>
          <w:pgSz w:w="11900" w:h="16838" w:orient="portrait"/>
          <w:cols w:equalWidth="0" w:num="1">
            <w:col w:w="10440"/>
          </w:cols>
          <w:pgMar w:left="1160" w:top="992" w:right="299" w:bottom="1440" w:gutter="0" w:footer="0" w:header="0"/>
        </w:sectPr>
      </w:pPr>
    </w:p>
    <w:bookmarkStart w:id="198" w:name="page199"/>
    <w:bookmarkEnd w:id="198"/>
    <w:p>
      <w:pPr>
        <w:ind w:right="20" w:firstLine="432"/>
        <w:spacing w:after="0" w:line="236" w:lineRule="auto"/>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3</w:t>
      </w:r>
      <w:r>
        <w:rPr>
          <w:rFonts w:ascii="Times New Roman" w:cs="Times New Roman" w:eastAsia="Times New Roman" w:hAnsi="Times New Roman"/>
          <w:sz w:val="18"/>
          <w:szCs w:val="18"/>
          <w:color w:val="auto"/>
          <w:vertAlign w:val="superscript"/>
        </w:rPr>
        <w:t>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day of March, 2026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SARAH CHEN </w:t>
      </w:r>
      <w:r>
        <w:rPr>
          <w:rFonts w:ascii="Times New Roman" w:cs="Times New Roman" w:eastAsia="Times New Roman" w:hAnsi="Times New Roman"/>
          <w:sz w:val="14"/>
          <w:szCs w:val="14"/>
          <w:color w:val="auto"/>
        </w:rPr>
        <w:t>(the “Grantee”).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an employee of the Company or a subsidiary thereof;</w:t>
      </w:r>
    </w:p>
    <w:p>
      <w:pPr>
        <w:spacing w:after="0" w:line="163" w:lineRule="exact"/>
        <w:rPr>
          <w:sz w:val="20"/>
          <w:szCs w:val="20"/>
          <w:color w:val="auto"/>
        </w:rPr>
      </w:pPr>
    </w:p>
    <w:p>
      <w:pPr>
        <w:ind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Compensation Committee of the Board of Directors of the Company has approved the grant to the Grantee of common stock of the Company (“Common Stock”)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Company’s 2024 Equity Participation Plan (the “Plan”).</w:t>
      </w:r>
    </w:p>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860" w:hanging="436"/>
        <w:spacing w:after="0"/>
        <w:tabs>
          <w:tab w:leader="none" w:pos="8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w:t>
      </w:r>
    </w:p>
    <w:p>
      <w:pPr>
        <w:spacing w:after="0" w:line="154" w:lineRule="exact"/>
        <w:rPr>
          <w:rFonts w:ascii="Times New Roman" w:cs="Times New Roman" w:eastAsia="Times New Roman" w:hAnsi="Times New Roman"/>
          <w:sz w:val="14"/>
          <w:szCs w:val="14"/>
          <w:color w:val="auto"/>
        </w:rPr>
      </w:pPr>
    </w:p>
    <w:p>
      <w:pPr>
        <w:jc w:val="both"/>
        <w:ind w:firstLine="424"/>
        <w:spacing w:after="0" w:line="283" w:lineRule="auto"/>
        <w:tabs>
          <w:tab w:leader="none" w:pos="864"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 an award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eight thousand six hundred twenty-four (8,624) shares of Common Stock (the “Shares”), such Shares being issuable on the Vesting Dates (as hereinafter defined) set forth in, and subject to the provisions of, Section 3 hereof.</w:t>
      </w:r>
    </w:p>
    <w:p>
      <w:pPr>
        <w:spacing w:after="0" w:line="96" w:lineRule="exact"/>
        <w:rPr>
          <w:rFonts w:ascii="Times New Roman" w:cs="Times New Roman" w:eastAsia="Times New Roman" w:hAnsi="Times New Roman"/>
          <w:sz w:val="14"/>
          <w:szCs w:val="14"/>
          <w:color w:val="auto"/>
        </w:rPr>
      </w:pPr>
    </w:p>
    <w:p>
      <w:pPr>
        <w:ind w:right="20" w:firstLine="424"/>
        <w:spacing w:after="0" w:line="298" w:lineRule="auto"/>
        <w:tabs>
          <w:tab w:leader="none" w:pos="864"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the Vesting Dates set forth below, provided that the Grantee continues to serve as an employee of the Company or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subsidiary thereof as of the applicable Vesting Date (subject to the provisions of the Plan):</w:t>
      </w:r>
    </w:p>
    <w:p>
      <w:pPr>
        <w:spacing w:after="0" w:line="88"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2"/>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thousand eight hundred seventy-five (2,875) of the Shares on the date of grant (the “First Vesting Date”);</w:t>
      </w:r>
    </w:p>
    <w:p>
      <w:pPr>
        <w:spacing w:after="0" w:line="17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2"/>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thousand eight hundred seventy-five (2,875) of the Shares on March 3, 2027 (the “Second Vesting Date”); and</w:t>
      </w:r>
    </w:p>
    <w:p>
      <w:pPr>
        <w:spacing w:after="0" w:line="181" w:lineRule="exact"/>
        <w:rPr>
          <w:rFonts w:ascii="Times New Roman" w:cs="Times New Roman" w:eastAsia="Times New Roman" w:hAnsi="Times New Roman"/>
          <w:sz w:val="14"/>
          <w:szCs w:val="14"/>
          <w:color w:val="auto"/>
        </w:rPr>
      </w:pPr>
    </w:p>
    <w:p>
      <w:pPr>
        <w:ind w:left="1720" w:hanging="432"/>
        <w:spacing w:after="0" w:line="295" w:lineRule="auto"/>
        <w:tabs>
          <w:tab w:leader="none" w:pos="1720" w:val="left"/>
        </w:tabs>
        <w:numPr>
          <w:ilvl w:val="2"/>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thousand eight hundred seventy-four (2,874) of the Shares on March 3, 2028 (the “Third Vesting Date”); each of the First Vesting Date, the Second Vesting Date and the Third Vesting Date is referred to hereinafter as a “Vesting Date”).</w:t>
      </w:r>
    </w:p>
    <w:p>
      <w:pPr>
        <w:spacing w:after="0" w:line="108" w:lineRule="exact"/>
        <w:rPr>
          <w:rFonts w:ascii="Times New Roman" w:cs="Times New Roman" w:eastAsia="Times New Roman" w:hAnsi="Times New Roman"/>
          <w:sz w:val="14"/>
          <w:szCs w:val="14"/>
          <w:color w:val="auto"/>
        </w:rPr>
      </w:pPr>
    </w:p>
    <w:p>
      <w:pPr>
        <w:jc w:val="both"/>
        <w:ind w:firstLine="856"/>
        <w:spacing w:after="0" w:line="275" w:lineRule="auto"/>
        <w:tabs>
          <w:tab w:leader="none" w:pos="1293" w:val="left"/>
        </w:tabs>
        <w:numPr>
          <w:ilvl w:val="1"/>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Shares vest on a Vesting Date, the certificate representing the portion of the Shares then vested shall be issued by the Company as soon as reasonably practicable thereafter. Subject to the provisions of the Plan, in the event that the Grantee does not continue to serve as an employee of the Company or a subsidiary thereof as of a Vesting Date for any reason, the Grantee shall not be entitled to receive any of the Shares issuable on such Vesting Date, and this Agreement shall terminate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8779659.1</w:t>
      </w:r>
    </w:p>
    <w:p>
      <w:pPr>
        <w:sectPr>
          <w:pgSz w:w="11900" w:h="16838" w:orient="portrait"/>
          <w:cols w:equalWidth="0" w:num="1">
            <w:col w:w="11300"/>
          </w:cols>
          <w:pgMar w:left="300" w:top="991" w:right="299" w:bottom="1440" w:gutter="0" w:footer="0" w:header="0"/>
        </w:sectPr>
      </w:pPr>
    </w:p>
    <w:bookmarkStart w:id="199" w:name="page200"/>
    <w:bookmarkEnd w:id="199"/>
    <w:p>
      <w:pPr>
        <w:ind w:left="1280" w:hanging="424"/>
        <w:spacing w:after="0"/>
        <w:tabs>
          <w:tab w:leader="none" w:pos="12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a particular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Date.</w:t>
      </w:r>
    </w:p>
    <w:p>
      <w:pPr>
        <w:spacing w:after="0" w:line="136" w:lineRule="exact"/>
        <w:rPr>
          <w:sz w:val="20"/>
          <w:szCs w:val="20"/>
          <w:color w:val="auto"/>
        </w:rPr>
      </w:pPr>
    </w:p>
    <w:p>
      <w:pPr>
        <w:ind w:left="860" w:hanging="436"/>
        <w:spacing w:after="0"/>
        <w:tabs>
          <w:tab w:leader="none" w:pos="8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63" w:lineRule="exact"/>
        <w:rPr>
          <w:rFonts w:ascii="Times New Roman" w:cs="Times New Roman" w:eastAsia="Times New Roman" w:hAnsi="Times New Roman"/>
          <w:sz w:val="14"/>
          <w:szCs w:val="14"/>
          <w:color w:val="auto"/>
        </w:rPr>
      </w:pPr>
    </w:p>
    <w:p>
      <w:pPr>
        <w:jc w:val="both"/>
        <w:ind w:firstLine="424"/>
        <w:spacing w:after="0" w:line="269" w:lineRule="auto"/>
        <w:tabs>
          <w:tab w:leader="none" w:pos="864"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 receipt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requested, addressed to the Company, 120 Wood Road,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 and</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assigns.</w:t>
      </w:r>
    </w:p>
    <w:p>
      <w:pPr>
        <w:spacing w:after="0" w:line="143" w:lineRule="exact"/>
        <w:rPr>
          <w:rFonts w:ascii="Times New Roman" w:cs="Times New Roman" w:eastAsia="Times New Roman" w:hAnsi="Times New Roman"/>
          <w:sz w:val="14"/>
          <w:szCs w:val="14"/>
          <w:color w:val="auto"/>
        </w:rPr>
      </w:pPr>
    </w:p>
    <w:p>
      <w:pPr>
        <w:ind w:firstLine="424"/>
        <w:spacing w:after="0" w:line="298" w:lineRule="auto"/>
        <w:tabs>
          <w:tab w:leader="none" w:pos="864"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 hereof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36" w:lineRule="exact"/>
        <w:rPr>
          <w:rFonts w:ascii="Times New Roman" w:cs="Times New Roman" w:eastAsia="Times New Roman" w:hAnsi="Times New Roman"/>
          <w:sz w:val="14"/>
          <w:szCs w:val="14"/>
          <w:color w:val="auto"/>
        </w:rPr>
      </w:pPr>
    </w:p>
    <w:p>
      <w:pPr>
        <w:ind w:firstLine="424"/>
        <w:spacing w:after="0" w:line="312" w:lineRule="auto"/>
        <w:tabs>
          <w:tab w:leader="none" w:pos="864"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 together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constitute one and the same instrument.</w:t>
      </w:r>
    </w:p>
    <w:p>
      <w:pPr>
        <w:spacing w:after="0" w:line="7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424"/>
        <w:spacing w:after="0" w:line="276" w:lineRule="auto"/>
        <w:tabs>
          <w:tab w:leader="none" w:pos="859"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 hereto.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8779659.1</w:t>
      </w:r>
    </w:p>
    <w:p>
      <w:pPr>
        <w:sectPr>
          <w:pgSz w:w="11900" w:h="16838" w:orient="portrait"/>
          <w:cols w:equalWidth="0" w:num="1">
            <w:col w:w="11300"/>
          </w:cols>
          <w:pgMar w:left="300" w:top="994" w:right="2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-4445</wp:posOffset>
            </wp:positionV>
            <wp:extent cx="45720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Meryl Golden,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407035</wp:posOffset>
            </wp:positionV>
            <wp:extent cx="4572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Sarah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-4445</wp:posOffset>
            </wp:positionV>
            <wp:extent cx="8813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881380" cy="5715"/>
                    </a:xfrm>
                    <a:prstGeom prst="rect">
                      <a:avLst/>
                    </a:prstGeom>
                    <a:noFill/>
                  </pic:spPr>
                </pic:pic>
              </a:graphicData>
            </a:graphic>
          </wp:anchor>
        </w:drawing>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316230</wp:posOffset>
            </wp:positionV>
            <wp:extent cx="4572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8779659.1</w:t>
      </w:r>
    </w:p>
    <w:p>
      <w:pPr>
        <w:sectPr>
          <w:pgSz w:w="11900" w:h="16838" w:orient="portrait"/>
          <w:cols w:equalWidth="0" w:num="1">
            <w:col w:w="10880"/>
          </w:cols>
          <w:pgMar w:left="720" w:top="1154" w:right="299" w:bottom="1440" w:gutter="0" w:footer="0" w:header="0"/>
        </w:sectPr>
      </w:pPr>
    </w:p>
    <w:bookmarkStart w:id="201" w:name="page202"/>
    <w:bookmarkEnd w:id="201"/>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STOCK GRANT AGREEMENT </w:t>
      </w:r>
      <w:r>
        <w:rPr>
          <w:rFonts w:ascii="Times New Roman" w:cs="Times New Roman" w:eastAsia="Times New Roman" w:hAnsi="Times New Roman"/>
          <w:sz w:val="14"/>
          <w:szCs w:val="14"/>
          <w:color w:val="auto"/>
        </w:rPr>
        <w:t>made as of the 3rd day of March, 2026 between</w:t>
      </w:r>
      <w:r>
        <w:rPr>
          <w:rFonts w:ascii="Times New Roman" w:cs="Times New Roman" w:eastAsia="Times New Roman" w:hAnsi="Times New Roman"/>
          <w:sz w:val="14"/>
          <w:szCs w:val="14"/>
          <w:b w:val="1"/>
          <w:bCs w:val="1"/>
          <w:color w:val="auto"/>
        </w:rPr>
        <w:t xml:space="preserve"> KINGSTONE COMPANIES, INC.</w:t>
      </w:r>
      <w:r>
        <w:rPr>
          <w:rFonts w:ascii="Times New Roman" w:cs="Times New Roman" w:eastAsia="Times New Roman" w:hAnsi="Times New Roman"/>
          <w:sz w:val="14"/>
          <w:szCs w:val="14"/>
          <w:color w:val="auto"/>
        </w:rPr>
        <w:t>, a Delaware corporation (the “Company”), and</w:t>
      </w:r>
      <w:r>
        <w:rPr>
          <w:rFonts w:ascii="Times New Roman" w:cs="Times New Roman" w:eastAsia="Times New Roman" w:hAnsi="Times New Roman"/>
          <w:sz w:val="14"/>
          <w:szCs w:val="14"/>
          <w:b w:val="1"/>
          <w:bCs w:val="1"/>
          <w:color w:val="auto"/>
        </w:rPr>
        <w:t xml:space="preserve"> RANDY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PATTEN </w:t>
      </w:r>
      <w:r>
        <w:rPr>
          <w:rFonts w:ascii="Times New Roman" w:cs="Times New Roman" w:eastAsia="Times New Roman" w:hAnsi="Times New Roman"/>
          <w:sz w:val="14"/>
          <w:szCs w:val="14"/>
          <w:color w:val="auto"/>
        </w:rPr>
        <w:t>(the “Grantee”).</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Grantee is an employee of the Company or a subsidiary thereof;</w:t>
      </w:r>
    </w:p>
    <w:p>
      <w:pPr>
        <w:spacing w:after="0" w:line="163" w:lineRule="exact"/>
        <w:rPr>
          <w:sz w:val="20"/>
          <w:szCs w:val="20"/>
          <w:color w:val="auto"/>
        </w:rPr>
      </w:pPr>
    </w:p>
    <w:p>
      <w:pPr>
        <w:ind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Compensation Committee of the Board of Directors of the Company has approved the grant to the Grantee of common stock of the Company (“Common Stock”) pursuant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the Company’s 2024 Equity Participation Plan (the “Plan”).</w:t>
      </w:r>
    </w:p>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foregoing, the Company hereby grants to the Grantee an award of shares of Common Stock upon the following terms and conditions:</w:t>
      </w:r>
    </w:p>
    <w:p>
      <w:pPr>
        <w:spacing w:after="0" w:line="154" w:lineRule="exact"/>
        <w:rPr>
          <w:sz w:val="20"/>
          <w:szCs w:val="20"/>
          <w:color w:val="auto"/>
        </w:rPr>
      </w:pPr>
    </w:p>
    <w:p>
      <w:pPr>
        <w:ind w:left="860" w:hanging="436"/>
        <w:spacing w:after="0"/>
        <w:tabs>
          <w:tab w:leader="none" w:pos="8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All terms used, but not otherwise defined, herein shall have the meanings ascribed to them in the Plan.</w:t>
      </w:r>
    </w:p>
    <w:p>
      <w:pPr>
        <w:spacing w:after="0" w:line="154" w:lineRule="exact"/>
        <w:rPr>
          <w:rFonts w:ascii="Times New Roman" w:cs="Times New Roman" w:eastAsia="Times New Roman" w:hAnsi="Times New Roman"/>
          <w:sz w:val="14"/>
          <w:szCs w:val="14"/>
          <w:color w:val="auto"/>
        </w:rPr>
      </w:pPr>
    </w:p>
    <w:p>
      <w:pPr>
        <w:jc w:val="both"/>
        <w:ind w:firstLine="424"/>
        <w:spacing w:after="0" w:line="283" w:lineRule="auto"/>
        <w:tabs>
          <w:tab w:leader="none" w:pos="864"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GRANT</w:t>
      </w:r>
      <w:r>
        <w:rPr>
          <w:rFonts w:ascii="Times New Roman" w:cs="Times New Roman" w:eastAsia="Times New Roman" w:hAnsi="Times New Roman"/>
          <w:sz w:val="14"/>
          <w:szCs w:val="14"/>
          <w:color w:val="auto"/>
        </w:rPr>
        <w:t>. Subject to the terms and conditions of the Plan and the provisions hereof, the Company hereby agrees to grant to the Grantee, pursuant to Section 14 of the Plan, an award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three thousand one hundred twenty-six (3,126) shares of Common Stock (the “Shares”), such Shares being issuable on the Vesting Dates (as hereinafter defined) set forth in, and subject to the provisions of, Section 3 hereof.</w:t>
      </w:r>
    </w:p>
    <w:p>
      <w:pPr>
        <w:spacing w:after="0" w:line="96" w:lineRule="exact"/>
        <w:rPr>
          <w:rFonts w:ascii="Times New Roman" w:cs="Times New Roman" w:eastAsia="Times New Roman" w:hAnsi="Times New Roman"/>
          <w:sz w:val="14"/>
          <w:szCs w:val="14"/>
          <w:color w:val="auto"/>
        </w:rPr>
      </w:pPr>
    </w:p>
    <w:p>
      <w:pPr>
        <w:ind w:right="20" w:firstLine="424"/>
        <w:spacing w:after="0" w:line="298" w:lineRule="auto"/>
        <w:tabs>
          <w:tab w:leader="none" w:pos="864"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VESTING OF SHARES</w:t>
      </w:r>
      <w:r>
        <w:rPr>
          <w:rFonts w:ascii="Times New Roman" w:cs="Times New Roman" w:eastAsia="Times New Roman" w:hAnsi="Times New Roman"/>
          <w:sz w:val="14"/>
          <w:szCs w:val="14"/>
          <w:color w:val="auto"/>
        </w:rPr>
        <w:t>. (a) The Shares shall vest on the Vesting Dates set forth below, provided that the Grantee continues to serve as an employee of the Company or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subsidiary thereof as of the applicable Vesting Date (subject to the provisions of the Plan):</w:t>
      </w:r>
    </w:p>
    <w:p>
      <w:pPr>
        <w:spacing w:after="0" w:line="88"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2"/>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forty-two (1,042) of the Shares on the date of grant (the “First Vesting Date”);</w:t>
      </w:r>
    </w:p>
    <w:p>
      <w:pPr>
        <w:spacing w:after="0" w:line="172" w:lineRule="exact"/>
        <w:rPr>
          <w:rFonts w:ascii="Times New Roman" w:cs="Times New Roman" w:eastAsia="Times New Roman" w:hAnsi="Times New Roman"/>
          <w:sz w:val="14"/>
          <w:szCs w:val="14"/>
          <w:color w:val="auto"/>
        </w:rPr>
      </w:pPr>
    </w:p>
    <w:p>
      <w:pPr>
        <w:ind w:left="1720" w:hanging="432"/>
        <w:spacing w:after="0"/>
        <w:tabs>
          <w:tab w:leader="none" w:pos="1720" w:val="left"/>
        </w:tabs>
        <w:numPr>
          <w:ilvl w:val="2"/>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forty-two (1,042) of the Shares on March 3, 2027 (the “Second Vesting Date”); and</w:t>
      </w:r>
    </w:p>
    <w:p>
      <w:pPr>
        <w:spacing w:after="0" w:line="181" w:lineRule="exact"/>
        <w:rPr>
          <w:rFonts w:ascii="Times New Roman" w:cs="Times New Roman" w:eastAsia="Times New Roman" w:hAnsi="Times New Roman"/>
          <w:sz w:val="14"/>
          <w:szCs w:val="14"/>
          <w:color w:val="auto"/>
        </w:rPr>
      </w:pPr>
    </w:p>
    <w:p>
      <w:pPr>
        <w:ind w:left="1720" w:hanging="432"/>
        <w:spacing w:after="0" w:line="295" w:lineRule="auto"/>
        <w:tabs>
          <w:tab w:leader="none" w:pos="1720" w:val="left"/>
        </w:tabs>
        <w:numPr>
          <w:ilvl w:val="2"/>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thousand forty-two (1,042) of the Shares on March 3, 2028 (the “Third Vesting Date”); each of the First Vesting Date, the Second Vesting Date and the Third Vesting Date is referred to hereinafter as a “Vesting Date”).</w:t>
      </w:r>
    </w:p>
    <w:p>
      <w:pPr>
        <w:spacing w:after="0" w:line="108" w:lineRule="exact"/>
        <w:rPr>
          <w:rFonts w:ascii="Times New Roman" w:cs="Times New Roman" w:eastAsia="Times New Roman" w:hAnsi="Times New Roman"/>
          <w:sz w:val="14"/>
          <w:szCs w:val="14"/>
          <w:color w:val="auto"/>
        </w:rPr>
      </w:pPr>
    </w:p>
    <w:p>
      <w:pPr>
        <w:jc w:val="both"/>
        <w:ind w:firstLine="856"/>
        <w:spacing w:after="0" w:line="272" w:lineRule="auto"/>
        <w:tabs>
          <w:tab w:leader="none" w:pos="1293" w:val="left"/>
        </w:tabs>
        <w:numPr>
          <w:ilvl w:val="1"/>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Shares vest on a Vesting Date, the certificate representing the portion of the Shares then vested shall be issued by the Company (or an appropriate book entry with regard to such Shares shall be made in the Company transfer agent’s records) as soon as reasonably practicable thereafter. Subject to the provisions of the Plan, in the event that the Grantee does not continue to serve as an employee of the Company or a subsidiary thereof as of a Vesting Date for any reason, the Grantee shall not be entitled to receive any of the Shares issuable on such Vesting Date, and this Agreement shall terminate and be of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8779665.1</w:t>
      </w:r>
    </w:p>
    <w:p>
      <w:pPr>
        <w:sectPr>
          <w:pgSz w:w="11900" w:h="16838" w:orient="portrait"/>
          <w:cols w:equalWidth="0" w:num="1">
            <w:col w:w="11300"/>
          </w:cols>
          <w:pgMar w:left="300" w:top="992" w:right="299" w:bottom="1440" w:gutter="0" w:footer="0" w:header="0"/>
        </w:sectPr>
      </w:pPr>
    </w:p>
    <w:bookmarkStart w:id="202" w:name="page203"/>
    <w:bookmarkEnd w:id="202"/>
    <w:p>
      <w:pPr>
        <w:ind w:left="1280" w:hanging="424"/>
        <w:spacing w:after="0"/>
        <w:tabs>
          <w:tab w:leader="none" w:pos="12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issuable to the Grantee is subject to adjustment for any stock splits, reverse stock splits and other recapitalizations that take effect prior to a particular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Date.</w:t>
      </w:r>
    </w:p>
    <w:p>
      <w:pPr>
        <w:spacing w:after="0" w:line="136" w:lineRule="exact"/>
        <w:rPr>
          <w:sz w:val="20"/>
          <w:szCs w:val="20"/>
          <w:color w:val="auto"/>
        </w:rPr>
      </w:pPr>
    </w:p>
    <w:p>
      <w:pPr>
        <w:ind w:left="860" w:hanging="436"/>
        <w:spacing w:after="0"/>
        <w:tabs>
          <w:tab w:leader="none" w:pos="8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INCORPORATION BY REFERENCE</w:t>
      </w:r>
      <w:r>
        <w:rPr>
          <w:rFonts w:ascii="Times New Roman" w:cs="Times New Roman" w:eastAsia="Times New Roman" w:hAnsi="Times New Roman"/>
          <w:sz w:val="14"/>
          <w:szCs w:val="14"/>
          <w:color w:val="auto"/>
        </w:rPr>
        <w:t>. The terms and conditions of the Plan are hereby incorporated by reference and made a part hereof.</w:t>
      </w:r>
    </w:p>
    <w:p>
      <w:pPr>
        <w:spacing w:after="0" w:line="163" w:lineRule="exact"/>
        <w:rPr>
          <w:rFonts w:ascii="Times New Roman" w:cs="Times New Roman" w:eastAsia="Times New Roman" w:hAnsi="Times New Roman"/>
          <w:sz w:val="14"/>
          <w:szCs w:val="14"/>
          <w:color w:val="auto"/>
        </w:rPr>
      </w:pPr>
    </w:p>
    <w:p>
      <w:pPr>
        <w:jc w:val="both"/>
        <w:ind w:firstLine="424"/>
        <w:spacing w:after="0" w:line="269" w:lineRule="auto"/>
        <w:tabs>
          <w:tab w:leader="none" w:pos="8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NOTICES</w:t>
      </w:r>
      <w:r>
        <w:rPr>
          <w:rFonts w:ascii="Times New Roman" w:cs="Times New Roman" w:eastAsia="Times New Roman" w:hAnsi="Times New Roman"/>
          <w:sz w:val="14"/>
          <w:szCs w:val="14"/>
          <w:color w:val="auto"/>
        </w:rPr>
        <w:t>. Any notice or other communication given hereunder shall be deemed sufficient if in writing and hand delivered or sent by registered or certified mail, return receipt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requested, addressed to the Company, 120 Wood Road,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spacing w:after="0" w:line="10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BINDING EFFECT</w:t>
      </w:r>
      <w:r>
        <w:rPr>
          <w:rFonts w:ascii="Times New Roman" w:cs="Times New Roman" w:eastAsia="Times New Roman" w:hAnsi="Times New Roman"/>
          <w:sz w:val="14"/>
          <w:szCs w:val="14"/>
          <w:color w:val="auto"/>
        </w:rPr>
        <w:t>. This Stock Grant Agreement shall be binding upon and inure to the benefit of the parties hereto and their respective legal representatives, successors and</w:t>
      </w:r>
    </w:p>
    <w:p>
      <w:pPr>
        <w:spacing w:after="0" w:line="2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assigns.</w:t>
      </w:r>
    </w:p>
    <w:p>
      <w:pPr>
        <w:spacing w:after="0" w:line="143" w:lineRule="exact"/>
        <w:rPr>
          <w:rFonts w:ascii="Times New Roman" w:cs="Times New Roman" w:eastAsia="Times New Roman" w:hAnsi="Times New Roman"/>
          <w:sz w:val="14"/>
          <w:szCs w:val="14"/>
          <w:color w:val="auto"/>
        </w:rPr>
      </w:pPr>
    </w:p>
    <w:p>
      <w:pPr>
        <w:ind w:firstLine="424"/>
        <w:spacing w:after="0" w:line="298" w:lineRule="auto"/>
        <w:tabs>
          <w:tab w:leader="none" w:pos="8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ENTIRE AGREEMENT</w:t>
      </w:r>
      <w:r>
        <w:rPr>
          <w:rFonts w:ascii="Times New Roman" w:cs="Times New Roman" w:eastAsia="Times New Roman" w:hAnsi="Times New Roman"/>
          <w:sz w:val="14"/>
          <w:szCs w:val="14"/>
          <w:color w:val="auto"/>
        </w:rPr>
        <w:t>. This Stock Grant Agreement, together with the Plan, contains the entire understanding of the parties hereto with respect to the subject matter hereof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be modified only by an instrument executed by the party sought to be charged.</w:t>
      </w:r>
    </w:p>
    <w:p>
      <w:pPr>
        <w:spacing w:after="0" w:line="8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GOVERNING LAW</w:t>
      </w:r>
      <w:r>
        <w:rPr>
          <w:rFonts w:ascii="Times New Roman" w:cs="Times New Roman" w:eastAsia="Times New Roman" w:hAnsi="Times New Roman"/>
          <w:sz w:val="14"/>
          <w:szCs w:val="14"/>
          <w:color w:val="auto"/>
        </w:rPr>
        <w:t>. This Stock Grant Agreement shall be governed by, and construed in accordance with, the laws of the State of Delaware, excluding choice of law rules</w:t>
      </w:r>
    </w:p>
    <w:p>
      <w:pPr>
        <w:spacing w:after="0" w:line="2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36" w:lineRule="exact"/>
        <w:rPr>
          <w:rFonts w:ascii="Times New Roman" w:cs="Times New Roman" w:eastAsia="Times New Roman" w:hAnsi="Times New Roman"/>
          <w:sz w:val="14"/>
          <w:szCs w:val="14"/>
          <w:color w:val="auto"/>
        </w:rPr>
      </w:pPr>
    </w:p>
    <w:p>
      <w:pPr>
        <w:ind w:firstLine="424"/>
        <w:spacing w:after="0" w:line="312" w:lineRule="auto"/>
        <w:tabs>
          <w:tab w:leader="none" w:pos="864"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EXECUTION IN COUNTERPARTS</w:t>
      </w:r>
      <w:r>
        <w:rPr>
          <w:rFonts w:ascii="Times New Roman" w:cs="Times New Roman" w:eastAsia="Times New Roman" w:hAnsi="Times New Roman"/>
          <w:sz w:val="14"/>
          <w:szCs w:val="14"/>
          <w:color w:val="auto"/>
        </w:rPr>
        <w:t>. This Stock Grant Agreement may be executed in counterparts, each of which shall be deemed to be an original, but both of which together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constitute one and the same instrument.</w:t>
      </w:r>
    </w:p>
    <w:p>
      <w:pPr>
        <w:spacing w:after="0" w:line="76" w:lineRule="exact"/>
        <w:rPr>
          <w:rFonts w:ascii="Times New Roman" w:cs="Times New Roman" w:eastAsia="Times New Roman" w:hAnsi="Times New Roman"/>
          <w:sz w:val="14"/>
          <w:szCs w:val="14"/>
          <w:color w:val="auto"/>
        </w:rPr>
      </w:pPr>
    </w:p>
    <w:p>
      <w:pPr>
        <w:ind w:left="860" w:hanging="436"/>
        <w:spacing w:after="0"/>
        <w:tabs>
          <w:tab w:leader="none" w:pos="8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FACSIMILE SIGNATURES</w:t>
      </w:r>
      <w:r>
        <w:rPr>
          <w:rFonts w:ascii="Times New Roman" w:cs="Times New Roman" w:eastAsia="Times New Roman" w:hAnsi="Times New Roman"/>
          <w:sz w:val="14"/>
          <w:szCs w:val="14"/>
          <w:color w:val="auto"/>
        </w:rPr>
        <w:t>. Signatures hereon which are transmitted via facsimile, or other electronic image, shall be deemed original signatures.</w:t>
      </w:r>
    </w:p>
    <w:p>
      <w:pPr>
        <w:spacing w:after="0" w:line="154" w:lineRule="exact"/>
        <w:rPr>
          <w:rFonts w:ascii="Times New Roman" w:cs="Times New Roman" w:eastAsia="Times New Roman" w:hAnsi="Times New Roman"/>
          <w:sz w:val="14"/>
          <w:szCs w:val="14"/>
          <w:color w:val="auto"/>
        </w:rPr>
      </w:pPr>
    </w:p>
    <w:p>
      <w:pPr>
        <w:jc w:val="both"/>
        <w:ind w:firstLine="424"/>
        <w:spacing w:after="0" w:line="276" w:lineRule="auto"/>
        <w:tabs>
          <w:tab w:leader="none" w:pos="859"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INTERPRETATION; HEADINGS</w:t>
      </w:r>
      <w:r>
        <w:rPr>
          <w:rFonts w:ascii="Times New Roman" w:cs="Times New Roman" w:eastAsia="Times New Roman" w:hAnsi="Times New Roman"/>
          <w:sz w:val="14"/>
          <w:szCs w:val="14"/>
          <w:color w:val="auto"/>
        </w:rPr>
        <w:t>. The provisions of this Stock Grant Agreement shall be interpreted in a reasonable manner to give effect to the intent of the parties hereto.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headings and captions under sections and paragraphs of this Stock Grant Agreement are for convenience of reference only and do not in any way modify, interpret or construe the intent of the parties or affect any of the provisions of this Stock Grant Agreement.</w:t>
      </w:r>
    </w:p>
    <w:p>
      <w:pPr>
        <w:spacing w:after="0" w:line="10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Remainder of page intentionally left blank; signature page follows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8779665.1</w:t>
      </w:r>
    </w:p>
    <w:p>
      <w:pPr>
        <w:sectPr>
          <w:pgSz w:w="11900" w:h="16838" w:orient="portrait"/>
          <w:cols w:equalWidth="0" w:num="1">
            <w:col w:w="11300"/>
          </w:cols>
          <w:pgMar w:left="300" w:top="994" w:right="2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Stock Grant Agreement as of the day and year first above written.</w:t>
      </w:r>
    </w:p>
    <w:p>
      <w:pPr>
        <w:spacing w:after="0" w:line="38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KINGSTONE COMPANIES, INC.</w:t>
      </w:r>
    </w:p>
    <w:p>
      <w:pPr>
        <w:spacing w:after="0" w:line="33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-4445</wp:posOffset>
            </wp:positionV>
            <wp:extent cx="4572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Meryl Golden,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407035</wp:posOffset>
            </wp:positionV>
            <wp:extent cx="45720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Signature of Grantee</w:t>
      </w:r>
    </w:p>
    <w:p>
      <w:pPr>
        <w:spacing w:after="0" w:line="1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Randy L.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-4445</wp:posOffset>
            </wp:positionV>
            <wp:extent cx="8661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866140" cy="5715"/>
                    </a:xfrm>
                    <a:prstGeom prst="rect">
                      <a:avLst/>
                    </a:prstGeom>
                    <a:noFill/>
                  </pic:spPr>
                </pic:pic>
              </a:graphicData>
            </a:graphic>
          </wp:anchor>
        </w:drawing>
      </w:r>
    </w:p>
    <w:p>
      <w:pPr>
        <w:spacing w:after="0" w:line="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4"/>
          <w:szCs w:val="14"/>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316230</wp:posOffset>
            </wp:positionV>
            <wp:extent cx="4572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color w:val="auto"/>
        </w:rPr>
        <w:t>Address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8779665.1</w:t>
      </w:r>
    </w:p>
    <w:p>
      <w:pPr>
        <w:sectPr>
          <w:pgSz w:w="11900" w:h="16838" w:orient="portrait"/>
          <w:cols w:equalWidth="0" w:num="1">
            <w:col w:w="10880"/>
          </w:cols>
          <w:pgMar w:left="720" w:top="1154" w:right="299" w:bottom="1440" w:gutter="0" w:footer="0" w:header="0"/>
        </w:sectPr>
      </w:pPr>
    </w:p>
    <w:bookmarkStart w:id="204" w:name="page205"/>
    <w:bookmarkEnd w:id="2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09" w:name="page210"/>
    <w:bookmarkEnd w:id="209"/>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INDEPENDENT REGISTERED PUBLIC ACCOUNTING FIRM’S CONSENT</w:t>
      </w:r>
    </w:p>
    <w:p>
      <w:pPr>
        <w:spacing w:after="0" w:line="200" w:lineRule="exact"/>
        <w:rPr>
          <w:sz w:val="20"/>
          <w:szCs w:val="20"/>
          <w:color w:val="auto"/>
        </w:rPr>
      </w:pPr>
    </w:p>
    <w:p>
      <w:pPr>
        <w:spacing w:after="0" w:line="2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of Kingstone Companies, Inc. on Form S-3 (No. 333-278539) and Form S-8 (No. 333-207986, No. 333-245013, No. 333-258877, No. 333-274008 and No. 333-281544) of our report dated March 18, 2025, with respect to our audit of the consolidated financial statements of Kingstone Companies, Inc. and Subsidiaries as of December 31, 2024 and for the year then ended, which report is included in this Annual Report on Form 10-K of Kingstone Companies, Inc. for the year ended December 31, 2025.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Marcum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Hartford, 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16, 2026</w:t>
      </w:r>
    </w:p>
    <w:p>
      <w:pPr>
        <w:sectPr>
          <w:pgSz w:w="11900" w:h="16838" w:orient="portrait"/>
          <w:cols w:equalWidth="0" w:num="1">
            <w:col w:w="11300"/>
          </w:cols>
          <w:pgMar w:left="300" w:top="1440" w:right="29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CONSENT OF INDEPENDENT REGISTERED PUBLIC ACCOUNTING FIRM</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3"/>
          <w:szCs w:val="13"/>
          <w:color w:val="auto"/>
        </w:rPr>
        <w:t xml:space="preserve">We consent to the incorporation by reference in the Registration Statements on Form S-3 (No. 333-278539) </w:t>
      </w:r>
      <w:r>
        <w:rPr>
          <w:rFonts w:ascii="Times New Roman" w:cs="Times New Roman" w:eastAsia="Times New Roman" w:hAnsi="Times New Roman"/>
          <w:sz w:val="14"/>
          <w:szCs w:val="14"/>
          <w:color w:val="auto"/>
        </w:rPr>
        <w:t>and Form S-8 (No. 333-207986, No. 333-245013, No. 333-258877, No. 333-274008 and No.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 xml:space="preserve">333-281544) </w:t>
      </w:r>
      <w:r>
        <w:rPr>
          <w:rFonts w:ascii="Times New Roman" w:cs="Times New Roman" w:eastAsia="Times New Roman" w:hAnsi="Times New Roman"/>
          <w:sz w:val="13"/>
          <w:szCs w:val="13"/>
          <w:color w:val="auto"/>
        </w:rPr>
        <w:t>of our reports dated March 16, 2026, with respect to the consolidated financial statements of Kingstone Companies, Inc. (the “Company”) and the effectiveness of internal control over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reporting of the Company included in this Annual Report on Form 10-K for the year ended December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CBIZ CPAs P.C.</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Hartford, CT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16, 2026</w:t>
      </w:r>
    </w:p>
    <w:p>
      <w:pPr>
        <w:sectPr>
          <w:pgSz w:w="11900" w:h="16838" w:orient="portrait"/>
          <w:cols w:equalWidth="0" w:num="1">
            <w:col w:w="11300"/>
          </w:cols>
          <w:pgMar w:left="300" w:top="879" w:right="29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2"/>
          <w:szCs w:val="12"/>
          <w:b w:val="1"/>
          <w:bCs w:val="1"/>
          <w:color w:val="auto"/>
        </w:rPr>
        <w:t>EXHIBIT 31(a)</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Meryl S. Golden, certify that:</w:t>
      </w:r>
    </w:p>
    <w:p>
      <w:pPr>
        <w:spacing w:after="0" w:line="141" w:lineRule="exact"/>
        <w:rPr>
          <w:sz w:val="20"/>
          <w:szCs w:val="20"/>
          <w:color w:val="auto"/>
        </w:rPr>
      </w:pPr>
    </w:p>
    <w:p>
      <w:pPr>
        <w:ind w:left="708" w:hanging="708"/>
        <w:spacing w:after="0"/>
        <w:tabs>
          <w:tab w:leader="none" w:pos="708"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Kingstone Companies, Inc.;</w:t>
      </w:r>
    </w:p>
    <w:p>
      <w:pPr>
        <w:spacing w:after="0" w:line="141" w:lineRule="exact"/>
        <w:rPr>
          <w:rFonts w:ascii="Times New Roman" w:cs="Times New Roman" w:eastAsia="Times New Roman" w:hAnsi="Times New Roman"/>
          <w:sz w:val="12"/>
          <w:szCs w:val="12"/>
          <w:color w:val="auto"/>
        </w:rPr>
      </w:pPr>
    </w:p>
    <w:p>
      <w:pPr>
        <w:ind w:left="708" w:right="20" w:hanging="708"/>
        <w:spacing w:after="0" w:line="279" w:lineRule="auto"/>
        <w:tabs>
          <w:tab w:leader="none" w:pos="708"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Times New Roman" w:cs="Times New Roman" w:eastAsia="Times New Roman" w:hAnsi="Times New Roman"/>
          <w:sz w:val="12"/>
          <w:szCs w:val="12"/>
          <w:color w:val="auto"/>
        </w:rPr>
      </w:pPr>
    </w:p>
    <w:p>
      <w:pPr>
        <w:ind w:left="708" w:hanging="708"/>
        <w:spacing w:after="0" w:line="264" w:lineRule="auto"/>
        <w:tabs>
          <w:tab w:leader="none" w:pos="708"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2"/>
          <w:szCs w:val="12"/>
          <w:color w:val="auto"/>
        </w:rPr>
      </w:pPr>
    </w:p>
    <w:p>
      <w:pPr>
        <w:ind w:left="708" w:hanging="708"/>
        <w:spacing w:after="0" w:line="264" w:lineRule="auto"/>
        <w:tabs>
          <w:tab w:leader="none" w:pos="708"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Times New Roman" w:cs="Times New Roman" w:eastAsia="Times New Roman" w:hAnsi="Times New Roman"/>
          <w:sz w:val="12"/>
          <w:szCs w:val="12"/>
          <w:color w:val="auto"/>
        </w:rPr>
      </w:pPr>
    </w:p>
    <w:p>
      <w:pPr>
        <w:ind w:left="1408" w:hanging="706"/>
        <w:spacing w:after="0" w:line="279" w:lineRule="auto"/>
        <w:tabs>
          <w:tab w:leader="none" w:pos="1406"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Times New Roman" w:cs="Times New Roman" w:eastAsia="Times New Roman" w:hAnsi="Times New Roman"/>
          <w:sz w:val="12"/>
          <w:szCs w:val="12"/>
          <w:color w:val="auto"/>
        </w:rPr>
      </w:pPr>
    </w:p>
    <w:p>
      <w:pPr>
        <w:ind w:left="1408" w:hanging="706"/>
        <w:spacing w:after="0" w:line="264" w:lineRule="auto"/>
        <w:tabs>
          <w:tab w:leader="none" w:pos="1404"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Times New Roman" w:cs="Times New Roman" w:eastAsia="Times New Roman" w:hAnsi="Times New Roman"/>
          <w:sz w:val="12"/>
          <w:szCs w:val="12"/>
          <w:color w:val="auto"/>
        </w:rPr>
      </w:pPr>
    </w:p>
    <w:p>
      <w:pPr>
        <w:ind w:left="1408" w:hanging="706"/>
        <w:spacing w:after="0" w:line="264" w:lineRule="auto"/>
        <w:tabs>
          <w:tab w:leader="none" w:pos="1406"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2"/>
          <w:szCs w:val="12"/>
          <w:color w:val="auto"/>
        </w:rPr>
      </w:pPr>
    </w:p>
    <w:p>
      <w:pPr>
        <w:ind w:left="1408" w:right="20" w:hanging="706"/>
        <w:spacing w:after="0" w:line="279" w:lineRule="auto"/>
        <w:tabs>
          <w:tab w:leader="none" w:pos="1404"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Times New Roman" w:cs="Times New Roman" w:eastAsia="Times New Roman" w:hAnsi="Times New Roman"/>
          <w:sz w:val="12"/>
          <w:szCs w:val="12"/>
          <w:color w:val="auto"/>
        </w:rPr>
      </w:pPr>
    </w:p>
    <w:p>
      <w:pPr>
        <w:ind w:left="708" w:hanging="708"/>
        <w:spacing w:after="0" w:line="264" w:lineRule="auto"/>
        <w:tabs>
          <w:tab w:leader="none" w:pos="708"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2"/>
          <w:szCs w:val="12"/>
          <w:color w:val="auto"/>
        </w:rPr>
      </w:pPr>
    </w:p>
    <w:p>
      <w:pPr>
        <w:ind w:left="1408" w:hanging="706"/>
        <w:spacing w:after="0" w:line="264" w:lineRule="auto"/>
        <w:tabs>
          <w:tab w:leader="none" w:pos="1406"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2"/>
          <w:szCs w:val="12"/>
          <w:color w:val="auto"/>
        </w:rPr>
      </w:pPr>
    </w:p>
    <w:p>
      <w:pPr>
        <w:ind w:left="1408" w:hanging="706"/>
        <w:spacing w:after="0"/>
        <w:tabs>
          <w:tab w:leader="none" w:pos="1408"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March 16, 2026</w:t>
      </w:r>
    </w:p>
    <w:p>
      <w:pPr>
        <w:spacing w:after="0" w:line="33" w:lineRule="exact"/>
        <w:rPr>
          <w:sz w:val="20"/>
          <w:szCs w:val="20"/>
          <w:color w:val="auto"/>
        </w:rPr>
      </w:pPr>
    </w:p>
    <w:p>
      <w:pPr>
        <w:ind w:left="6028"/>
        <w:spacing w:after="0"/>
        <w:rPr>
          <w:sz w:val="20"/>
          <w:szCs w:val="20"/>
          <w:color w:val="auto"/>
        </w:rPr>
      </w:pPr>
      <w:r>
        <w:rPr>
          <w:rFonts w:ascii="Times New Roman" w:cs="Times New Roman" w:eastAsia="Times New Roman" w:hAnsi="Times New Roman"/>
          <w:sz w:val="12"/>
          <w:szCs w:val="12"/>
          <w:color w:val="auto"/>
        </w:rPr>
        <w:t>/s/ 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16510</wp:posOffset>
            </wp:positionV>
            <wp:extent cx="248602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2486025" cy="5715"/>
                    </a:xfrm>
                    <a:prstGeom prst="rect">
                      <a:avLst/>
                    </a:prstGeom>
                    <a:noFill/>
                  </pic:spPr>
                </pic:pic>
              </a:graphicData>
            </a:graphic>
          </wp:anchor>
        </w:drawing>
      </w:r>
    </w:p>
    <w:p>
      <w:pPr>
        <w:spacing w:after="0" w:line="22" w:lineRule="exact"/>
        <w:rPr>
          <w:sz w:val="20"/>
          <w:szCs w:val="20"/>
          <w:color w:val="auto"/>
        </w:rPr>
      </w:pPr>
    </w:p>
    <w:p>
      <w:pPr>
        <w:ind w:left="6028"/>
        <w:spacing w:after="0"/>
        <w:rPr>
          <w:sz w:val="20"/>
          <w:szCs w:val="20"/>
          <w:color w:val="auto"/>
        </w:rPr>
      </w:pPr>
      <w:r>
        <w:rPr>
          <w:rFonts w:ascii="Times New Roman" w:cs="Times New Roman" w:eastAsia="Times New Roman" w:hAnsi="Times New Roman"/>
          <w:sz w:val="12"/>
          <w:szCs w:val="12"/>
          <w:color w:val="auto"/>
        </w:rPr>
        <w:t>Meryl S. Golden</w:t>
      </w:r>
    </w:p>
    <w:p>
      <w:pPr>
        <w:spacing w:after="0" w:line="17" w:lineRule="exact"/>
        <w:rPr>
          <w:sz w:val="20"/>
          <w:szCs w:val="20"/>
          <w:color w:val="auto"/>
        </w:rPr>
      </w:pPr>
    </w:p>
    <w:p>
      <w:pPr>
        <w:ind w:left="6028"/>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1308"/>
          </w:cols>
          <w:pgMar w:left="292" w:top="809" w:right="29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2"/>
          <w:szCs w:val="12"/>
          <w:b w:val="1"/>
          <w:bCs w:val="1"/>
          <w:color w:val="auto"/>
        </w:rPr>
        <w:t>EXHIBIT 31(b)</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Randy Patten, certify that:</w:t>
      </w:r>
    </w:p>
    <w:p>
      <w:pPr>
        <w:spacing w:after="0" w:line="141" w:lineRule="exact"/>
        <w:rPr>
          <w:sz w:val="20"/>
          <w:szCs w:val="20"/>
          <w:color w:val="auto"/>
        </w:rPr>
      </w:pPr>
    </w:p>
    <w:p>
      <w:pPr>
        <w:ind w:left="648" w:hanging="648"/>
        <w:spacing w:after="0"/>
        <w:tabs>
          <w:tab w:leader="none" w:pos="64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Kingstone Companies, Inc.;</w:t>
      </w:r>
    </w:p>
    <w:p>
      <w:pPr>
        <w:spacing w:after="0" w:line="141" w:lineRule="exact"/>
        <w:rPr>
          <w:rFonts w:ascii="Times New Roman" w:cs="Times New Roman" w:eastAsia="Times New Roman" w:hAnsi="Times New Roman"/>
          <w:sz w:val="12"/>
          <w:szCs w:val="12"/>
          <w:color w:val="auto"/>
        </w:rPr>
      </w:pPr>
    </w:p>
    <w:p>
      <w:pPr>
        <w:ind w:left="648" w:hanging="648"/>
        <w:spacing w:after="0" w:line="279" w:lineRule="auto"/>
        <w:tabs>
          <w:tab w:leader="none" w:pos="64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Times New Roman" w:cs="Times New Roman" w:eastAsia="Times New Roman" w:hAnsi="Times New Roman"/>
          <w:sz w:val="12"/>
          <w:szCs w:val="12"/>
          <w:color w:val="auto"/>
        </w:rPr>
      </w:pPr>
    </w:p>
    <w:p>
      <w:pPr>
        <w:ind w:left="648" w:right="20" w:hanging="648"/>
        <w:spacing w:after="0" w:line="264" w:lineRule="auto"/>
        <w:tabs>
          <w:tab w:leader="none" w:pos="64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2"/>
          <w:szCs w:val="12"/>
          <w:color w:val="auto"/>
        </w:rPr>
      </w:pPr>
    </w:p>
    <w:p>
      <w:pPr>
        <w:ind w:left="648" w:hanging="648"/>
        <w:spacing w:after="0" w:line="264" w:lineRule="auto"/>
        <w:tabs>
          <w:tab w:leader="none" w:pos="64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Times New Roman" w:cs="Times New Roman" w:eastAsia="Times New Roman" w:hAnsi="Times New Roman"/>
          <w:sz w:val="12"/>
          <w:szCs w:val="12"/>
          <w:color w:val="auto"/>
        </w:rPr>
      </w:pPr>
    </w:p>
    <w:p>
      <w:pPr>
        <w:ind w:left="1348" w:hanging="700"/>
        <w:spacing w:after="0" w:line="279" w:lineRule="auto"/>
        <w:tabs>
          <w:tab w:leader="none" w:pos="1346"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Times New Roman" w:cs="Times New Roman" w:eastAsia="Times New Roman" w:hAnsi="Times New Roman"/>
          <w:sz w:val="12"/>
          <w:szCs w:val="12"/>
          <w:color w:val="auto"/>
        </w:rPr>
      </w:pPr>
    </w:p>
    <w:p>
      <w:pPr>
        <w:ind w:left="1348" w:hanging="700"/>
        <w:spacing w:after="0" w:line="264" w:lineRule="auto"/>
        <w:tabs>
          <w:tab w:leader="none" w:pos="1344"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Times New Roman" w:cs="Times New Roman" w:eastAsia="Times New Roman" w:hAnsi="Times New Roman"/>
          <w:sz w:val="12"/>
          <w:szCs w:val="12"/>
          <w:color w:val="auto"/>
        </w:rPr>
      </w:pPr>
    </w:p>
    <w:p>
      <w:pPr>
        <w:ind w:left="1348" w:hanging="700"/>
        <w:spacing w:after="0" w:line="264" w:lineRule="auto"/>
        <w:tabs>
          <w:tab w:leader="none" w:pos="1346"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2"/>
          <w:szCs w:val="12"/>
          <w:color w:val="auto"/>
        </w:rPr>
      </w:pPr>
    </w:p>
    <w:p>
      <w:pPr>
        <w:ind w:left="1348" w:right="20" w:hanging="700"/>
        <w:spacing w:after="0" w:line="279" w:lineRule="auto"/>
        <w:tabs>
          <w:tab w:leader="none" w:pos="1344"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Times New Roman" w:cs="Times New Roman" w:eastAsia="Times New Roman" w:hAnsi="Times New Roman"/>
          <w:sz w:val="12"/>
          <w:szCs w:val="12"/>
          <w:color w:val="auto"/>
        </w:rPr>
      </w:pPr>
    </w:p>
    <w:p>
      <w:pPr>
        <w:ind w:left="648" w:hanging="648"/>
        <w:spacing w:after="0" w:line="264" w:lineRule="auto"/>
        <w:tabs>
          <w:tab w:leader="none" w:pos="64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2"/>
          <w:szCs w:val="12"/>
          <w:color w:val="auto"/>
        </w:rPr>
      </w:pPr>
    </w:p>
    <w:p>
      <w:pPr>
        <w:ind w:left="1348" w:hanging="700"/>
        <w:spacing w:after="0" w:line="264" w:lineRule="auto"/>
        <w:tabs>
          <w:tab w:leader="none" w:pos="1346"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2"/>
          <w:szCs w:val="12"/>
          <w:color w:val="auto"/>
        </w:rPr>
      </w:pPr>
    </w:p>
    <w:p>
      <w:pPr>
        <w:ind w:left="1348" w:hanging="700"/>
        <w:spacing w:after="0"/>
        <w:tabs>
          <w:tab w:leader="none" w:pos="1348" w:val="left"/>
        </w:tabs>
        <w:numPr>
          <w:ilvl w:val="1"/>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March 16, 2026</w:t>
      </w:r>
    </w:p>
    <w:p>
      <w:pPr>
        <w:spacing w:after="0" w:line="33" w:lineRule="exact"/>
        <w:rPr>
          <w:sz w:val="20"/>
          <w:szCs w:val="20"/>
          <w:color w:val="auto"/>
        </w:rPr>
      </w:pPr>
    </w:p>
    <w:p>
      <w:pPr>
        <w:ind w:left="6028"/>
        <w:spacing w:after="0"/>
        <w:rPr>
          <w:sz w:val="20"/>
          <w:szCs w:val="20"/>
          <w:color w:val="auto"/>
        </w:rPr>
      </w:pPr>
      <w:r>
        <w:rPr>
          <w:rFonts w:ascii="Times New Roman" w:cs="Times New Roman" w:eastAsia="Times New Roman" w:hAnsi="Times New Roman"/>
          <w:sz w:val="12"/>
          <w:szCs w:val="12"/>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3823335</wp:posOffset>
            </wp:positionH>
            <wp:positionV relativeFrom="paragraph">
              <wp:posOffset>16510</wp:posOffset>
            </wp:positionV>
            <wp:extent cx="248602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2486025" cy="5715"/>
                    </a:xfrm>
                    <a:prstGeom prst="rect">
                      <a:avLst/>
                    </a:prstGeom>
                    <a:noFill/>
                  </pic:spPr>
                </pic:pic>
              </a:graphicData>
            </a:graphic>
          </wp:anchor>
        </w:drawing>
      </w:r>
    </w:p>
    <w:p>
      <w:pPr>
        <w:spacing w:after="0" w:line="22" w:lineRule="exact"/>
        <w:rPr>
          <w:sz w:val="20"/>
          <w:szCs w:val="20"/>
          <w:color w:val="auto"/>
        </w:rPr>
      </w:pPr>
    </w:p>
    <w:p>
      <w:pPr>
        <w:ind w:left="6028"/>
        <w:spacing w:after="0"/>
        <w:rPr>
          <w:sz w:val="20"/>
          <w:szCs w:val="20"/>
          <w:color w:val="auto"/>
        </w:rPr>
      </w:pPr>
      <w:r>
        <w:rPr>
          <w:rFonts w:ascii="Times New Roman" w:cs="Times New Roman" w:eastAsia="Times New Roman" w:hAnsi="Times New Roman"/>
          <w:sz w:val="12"/>
          <w:szCs w:val="12"/>
          <w:color w:val="auto"/>
        </w:rPr>
        <w:t>Randy Patten</w:t>
      </w:r>
    </w:p>
    <w:p>
      <w:pPr>
        <w:spacing w:after="0" w:line="17" w:lineRule="exact"/>
        <w:rPr>
          <w:sz w:val="20"/>
          <w:szCs w:val="20"/>
          <w:color w:val="auto"/>
        </w:rPr>
      </w:pPr>
    </w:p>
    <w:p>
      <w:pPr>
        <w:ind w:left="6028"/>
        <w:spacing w:after="0"/>
        <w:rPr>
          <w:sz w:val="20"/>
          <w:szCs w:val="20"/>
          <w:color w:val="auto"/>
        </w:rPr>
      </w:pPr>
      <w:r>
        <w:rPr>
          <w:rFonts w:ascii="Times New Roman" w:cs="Times New Roman" w:eastAsia="Times New Roman" w:hAnsi="Times New Roman"/>
          <w:sz w:val="12"/>
          <w:szCs w:val="12"/>
          <w:color w:val="auto"/>
        </w:rPr>
        <w:t>Chief Financial Officer</w:t>
      </w:r>
    </w:p>
    <w:p>
      <w:pPr>
        <w:sectPr>
          <w:pgSz w:w="11900" w:h="16838" w:orient="portrait"/>
          <w:cols w:equalWidth="0" w:num="1">
            <w:col w:w="11308"/>
          </w:cols>
          <w:pgMar w:left="292" w:top="809" w:right="29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2"/>
          <w:szCs w:val="12"/>
          <w:b w:val="1"/>
          <w:bCs w:val="1"/>
          <w:color w:val="auto"/>
        </w:rPr>
        <w:t>EXHIBIT 32</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 CHIEF FINANCIAL OFFICER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4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2"/>
          <w:szCs w:val="12"/>
          <w:color w:val="auto"/>
        </w:rPr>
        <w:t>The undersigned hereby certify, pursuant to, and as required by, 18 U.S.C. Section 1350, as adopted pursuant to Section 906 of the Sarbanes-Oxley Act of 2002, that the Annual Report of Kingstone Companies, Inc. (the “Company”) on Form 10-K for the year ended December 31, 2025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w:t>
      </w:r>
    </w:p>
    <w:p>
      <w:pPr>
        <w:spacing w:after="0" w:line="151" w:lineRule="exact"/>
        <w:rPr>
          <w:sz w:val="20"/>
          <w:szCs w:val="20"/>
          <w:color w:val="auto"/>
        </w:rPr>
      </w:pPr>
    </w:p>
    <w:p>
      <w:pPr>
        <w:spacing w:after="0"/>
        <w:tabs>
          <w:tab w:leader="none" w:pos="6000" w:val="left"/>
        </w:tabs>
        <w:rPr>
          <w:sz w:val="20"/>
          <w:szCs w:val="20"/>
          <w:color w:val="auto"/>
        </w:rPr>
      </w:pPr>
      <w:r>
        <w:rPr>
          <w:rFonts w:ascii="Times New Roman" w:cs="Times New Roman" w:eastAsia="Times New Roman" w:hAnsi="Times New Roman"/>
          <w:sz w:val="12"/>
          <w:szCs w:val="12"/>
          <w:color w:val="auto"/>
        </w:rPr>
        <w:t>Dated: March 16, 2026</w:t>
      </w:r>
      <w:r>
        <w:rPr>
          <w:sz w:val="20"/>
          <w:szCs w:val="20"/>
          <w:color w:val="auto"/>
        </w:rPr>
        <w:tab/>
      </w:r>
      <w:r>
        <w:rPr>
          <w:rFonts w:ascii="Times New Roman" w:cs="Times New Roman" w:eastAsia="Times New Roman" w:hAnsi="Times New Roman"/>
          <w:sz w:val="12"/>
          <w:szCs w:val="12"/>
          <w:color w:val="auto"/>
        </w:rPr>
        <w:t>/s/ Meryl S.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16510</wp:posOffset>
            </wp:positionV>
            <wp:extent cx="248602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2486025" cy="5715"/>
                    </a:xfrm>
                    <a:prstGeom prst="rect">
                      <a:avLst/>
                    </a:prstGeom>
                    <a:noFill/>
                  </pic:spPr>
                </pic:pic>
              </a:graphicData>
            </a:graphic>
          </wp:anchor>
        </w:drawing>
      </w:r>
    </w:p>
    <w:p>
      <w:pPr>
        <w:spacing w:after="0" w:line="2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Meryl S. Golden</w:t>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7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/s/ Randy Patten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16510</wp:posOffset>
            </wp:positionV>
            <wp:extent cx="248602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2486025" cy="5715"/>
                    </a:xfrm>
                    <a:prstGeom prst="rect">
                      <a:avLst/>
                    </a:prstGeom>
                    <a:noFill/>
                  </pic:spPr>
                </pic:pic>
              </a:graphicData>
            </a:graphic>
          </wp:anchor>
        </w:drawing>
      </w:r>
    </w:p>
    <w:p>
      <w:pPr>
        <w:spacing w:after="0" w:line="2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Randy Patten</w:t>
      </w:r>
    </w:p>
    <w:p>
      <w:pPr>
        <w:spacing w:after="0" w:line="1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2"/>
          <w:szCs w:val="12"/>
          <w:color w:val="auto"/>
        </w:rPr>
        <w:t>Chief Financial Officer</w:t>
      </w:r>
    </w:p>
    <w:sectPr>
      <w:pgSz w:w="11900" w:h="16838" w:orient="portrait"/>
      <w:cols w:equalWidth="0" w:num="1">
        <w:col w:w="11300"/>
      </w:cols>
      <w:pgMar w:left="300" w:top="80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x"/>
      <w:numFmt w:val="bullet"/>
      <w:start w:val="1"/>
    </w:lvl>
  </w:abstractNum>
  <w:abstractNum w:abstractNumId="1">
    <w:nsid w:val="741226BB"/>
    <w:multiLevelType w:val="hybridMultilevel"/>
    <w:lvl w:ilvl="0">
      <w:lvlJc w:val="left"/>
      <w:lvlText w:val="o"/>
      <w:numFmt w:val="bullet"/>
      <w:start w:val="1"/>
    </w:lvl>
  </w:abstractNum>
  <w:abstractNum w:abstractNumId="2">
    <w:nsid w:val="D34B6A8"/>
    <w:multiLevelType w:val="hybridMultilevel"/>
    <w:lvl w:ilvl="0">
      <w:lvlJc w:val="left"/>
      <w:lvlText w:val="(%1)"/>
      <w:numFmt w:val="lowerLetter"/>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1"/>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1)"/>
      <w:numFmt w:val="decimal"/>
      <w:start w:val="1"/>
    </w:lvl>
  </w:abstractNum>
  <w:abstractNum w:abstractNumId="20">
    <w:nsid w:val="15014ACB"/>
    <w:multiLevelType w:val="hybridMultilevel"/>
    <w:lvl w:ilvl="0">
      <w:lvlJc w:val="left"/>
      <w:lvlText w:val="(%1)"/>
      <w:numFmt w:val="decimal"/>
      <w:start w:val="1"/>
    </w:lvl>
  </w:abstractNum>
  <w:abstractNum w:abstractNumId="21">
    <w:nsid w:val="5F5E7FD0"/>
    <w:multiLevelType w:val="hybridMultilevel"/>
    <w:lvl w:ilvl="0">
      <w:lvlJc w:val="left"/>
      <w:lvlText w:val="(%1)"/>
      <w:numFmt w:val="decimal"/>
      <w:start w:val="2"/>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1)"/>
      <w:numFmt w:val="decimal"/>
      <w:start w:val="1"/>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1)"/>
      <w:numFmt w:val="decimal"/>
      <w:start w:val="1"/>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1)"/>
      <w:numFmt w:val="decimal"/>
      <w:start w:val="2"/>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1)"/>
      <w:numFmt w:val="decimal"/>
      <w:start w:val="3"/>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lvl w:ilvl="1">
      <w:lvlJc w:val="left"/>
      <w:lvlText w:val="(%2)"/>
      <w:numFmt w:val="decimal"/>
      <w:start w:val="1"/>
    </w:lvl>
  </w:abstractNum>
  <w:abstractNum w:abstractNumId="35">
    <w:nsid w:val="11447B73"/>
    <w:multiLevelType w:val="hybridMultilevel"/>
    <w:lvl w:ilvl="0">
      <w:lvlJc w:val="left"/>
      <w:lvlText w:val="(%1)"/>
      <w:numFmt w:val="decimal"/>
      <w:start w:val="2"/>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1)"/>
      <w:numFmt w:val="decimal"/>
      <w:start w:val="1"/>
    </w:lvl>
  </w:abstractNum>
  <w:abstractNum w:abstractNumId="38">
    <w:nsid w:val="8F2B15E"/>
    <w:multiLevelType w:val="hybridMultilevel"/>
    <w:lvl w:ilvl="0">
      <w:lvlJc w:val="left"/>
      <w:lvlText w:val="(%1)"/>
      <w:numFmt w:val="decimal"/>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1)"/>
      <w:numFmt w:val="decimal"/>
      <w:start w:val="1"/>
    </w:lvl>
  </w:abstractNum>
  <w:abstractNum w:abstractNumId="43">
    <w:nsid w:val="60B6DF70"/>
    <w:multiLevelType w:val="hybridMultilevel"/>
    <w:lvl w:ilvl="0">
      <w:lvlJc w:val="left"/>
      <w:lvlText w:val="(%1)"/>
      <w:numFmt w:val="decimal"/>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1)"/>
      <w:numFmt w:val="decimal"/>
      <w:start w:val="1"/>
    </w:lvl>
  </w:abstractNum>
  <w:abstractNum w:abstractNumId="49">
    <w:nsid w:val="100F59DC"/>
    <w:multiLevelType w:val="hybridMultilevel"/>
    <w:lvl w:ilvl="0">
      <w:lvlJc w:val="left"/>
      <w:lvlText w:val="(%1)"/>
      <w:numFmt w:val="upperLetter"/>
      <w:start w:val="1"/>
    </w:lvl>
  </w:abstractNum>
  <w:abstractNum w:abstractNumId="50">
    <w:nsid w:val="7FB7E0AA"/>
    <w:multiLevelType w:val="hybridMultilevel"/>
    <w:lvl w:ilvl="0">
      <w:lvlJc w:val="left"/>
      <w:lvlText w:val="%1."/>
      <w:numFmt w:val="decimal"/>
      <w:start w:val="1"/>
    </w:lvl>
    <w:lvl w:ilvl="1">
      <w:lvlJc w:val="left"/>
      <w:lvlText w:val="%2."/>
      <w:numFmt w:val="decimal"/>
      <w:start w:val="1"/>
    </w:lvl>
  </w:abstractNum>
  <w:abstractNum w:abstractNumId="51">
    <w:nsid w:val="6EB5BD4"/>
    <w:multiLevelType w:val="hybridMultilevel"/>
    <w:lvl w:ilvl="0">
      <w:lvlJc w:val="left"/>
      <w:lvlText w:val="%1."/>
      <w:numFmt w:val="decimal"/>
      <w:start w:val="2"/>
    </w:lvl>
    <w:lvl w:ilvl="1">
      <w:lvlJc w:val="left"/>
      <w:lvlText w:val="%2."/>
      <w:numFmt w:val="decimal"/>
      <w:start w:val="1"/>
    </w:lvl>
  </w:abstractNum>
  <w:abstractNum w:abstractNumId="52">
    <w:nsid w:val="6F6DD9AC"/>
    <w:multiLevelType w:val="hybridMultilevel"/>
    <w:lvl w:ilvl="0">
      <w:lvlJc w:val="left"/>
      <w:lvlText w:val="%1."/>
      <w:numFmt w:val="decimal"/>
      <w:start w:val="3"/>
    </w:lvl>
    <w:lvl w:ilvl="1">
      <w:lvlJc w:val="left"/>
      <w:lvlText w:val="(%2)"/>
      <w:numFmt w:val="lowerLetter"/>
      <w:start w:val="2"/>
    </w:lvl>
  </w:abstractNum>
  <w:abstractNum w:abstractNumId="53">
    <w:nsid w:val="94211F2"/>
    <w:multiLevelType w:val="hybridMultilevel"/>
    <w:lvl w:ilvl="0">
      <w:lvlJc w:val="left"/>
      <w:lvlText w:val="(%1)"/>
      <w:numFmt w:val="lowerLetter"/>
      <w:start w:val="3"/>
    </w:lvl>
  </w:abstractNum>
  <w:abstractNum w:abstractNumId="54">
    <w:nsid w:val="885E1B"/>
    <w:multiLevelType w:val="hybridMultilevel"/>
    <w:lvl w:ilvl="0">
      <w:lvlJc w:val="left"/>
      <w:lvlText w:val="%1."/>
      <w:numFmt w:val="decimal"/>
      <w:start w:val="5"/>
    </w:lvl>
    <w:lvl w:ilvl="1">
      <w:lvlJc w:val="left"/>
      <w:lvlText w:val="%2."/>
      <w:numFmt w:val="decimal"/>
      <w:start w:val="1"/>
    </w:lvl>
  </w:abstractNum>
  <w:abstractNum w:abstractNumId="55">
    <w:nsid w:val="76272110"/>
    <w:multiLevelType w:val="hybridMultilevel"/>
    <w:lvl w:ilvl="0">
      <w:lvlJc w:val="left"/>
      <w:lvlText w:val="%1"/>
      <w:numFmt w:val="decimal"/>
      <w:start w:val="1"/>
    </w:lvl>
    <w:lvl w:ilvl="1">
      <w:lvlJc w:val="left"/>
      <w:lvlText w:val="%2."/>
      <w:numFmt w:val="decimal"/>
      <w:start w:val="2"/>
    </w:lvl>
    <w:lvl w:ilvl="2">
      <w:lvlJc w:val="left"/>
      <w:lvlText w:val="%3"/>
      <w:numFmt w:val="lowerRoman"/>
      <w:start w:val="1"/>
    </w:lvl>
  </w:abstractNum>
  <w:abstractNum w:abstractNumId="56">
    <w:nsid w:val="4C04A8AF"/>
    <w:multiLevelType w:val="hybridMultilevel"/>
    <w:lvl w:ilvl="0">
      <w:lvlJc w:val="left"/>
      <w:lvlText w:val="%1."/>
      <w:numFmt w:val="decimal"/>
      <w:start w:val="7"/>
    </w:lvl>
    <w:lvl w:ilvl="1">
      <w:lvlJc w:val="left"/>
      <w:lvlText w:val="%2."/>
      <w:numFmt w:val="decimal"/>
      <w:start w:val="1"/>
    </w:lvl>
    <w:lvl w:ilvl="2">
      <w:lvlJc w:val="left"/>
      <w:lvlText w:val="(%3)"/>
      <w:numFmt w:val="lowerRoman"/>
      <w:start w:val="1"/>
    </w:lvl>
  </w:abstractNum>
  <w:abstractNum w:abstractNumId="57">
    <w:nsid w:val="1716703B"/>
    <w:multiLevelType w:val="hybridMultilevel"/>
    <w:lvl w:ilvl="0">
      <w:lvlJc w:val="left"/>
      <w:lvlText w:val="(%1)"/>
      <w:numFmt w:val="lowerRoman"/>
      <w:start w:val="2"/>
    </w:lvl>
  </w:abstractNum>
  <w:abstractNum w:abstractNumId="58">
    <w:nsid w:val="14E17E33"/>
    <w:multiLevelType w:val="hybridMultilevel"/>
    <w:lvl w:ilvl="0">
      <w:lvlJc w:val="left"/>
      <w:lvlText w:val="%1."/>
      <w:numFmt w:val="lowerLetter"/>
      <w:start w:val="2"/>
    </w:lvl>
  </w:abstractNum>
  <w:abstractNum w:abstractNumId="59">
    <w:nsid w:val="3222E7CD"/>
    <w:multiLevelType w:val="hybridMultilevel"/>
    <w:lvl w:ilvl="0">
      <w:lvlJc w:val="left"/>
      <w:lvlText w:val="%1."/>
      <w:numFmt w:val="decimal"/>
      <w:start w:val="2"/>
    </w:lvl>
  </w:abstractNum>
  <w:abstractNum w:abstractNumId="60">
    <w:nsid w:val="74DE0EE3"/>
    <w:multiLevelType w:val="hybridMultilevel"/>
    <w:lvl w:ilvl="0">
      <w:lvlJc w:val="left"/>
      <w:lvlText w:val="%1."/>
      <w:numFmt w:val="decimal"/>
      <w:start w:val="3"/>
    </w:lvl>
  </w:abstractNum>
  <w:abstractNum w:abstractNumId="61">
    <w:nsid w:val="68EBC550"/>
    <w:multiLevelType w:val="hybridMultilevel"/>
    <w:lvl w:ilvl="0">
      <w:lvlJc w:val="left"/>
      <w:lvlText w:val="%1."/>
      <w:numFmt w:val="lowerLetter"/>
      <w:start w:val="2"/>
    </w:lvl>
  </w:abstractNum>
  <w:abstractNum w:abstractNumId="62">
    <w:nsid w:val="2DF6D648"/>
    <w:multiLevelType w:val="hybridMultilevel"/>
    <w:lvl w:ilvl="0">
      <w:lvlJc w:val="left"/>
      <w:lvlText w:val="%1"/>
      <w:numFmt w:val="lowerLetter"/>
      <w:start w:val="1"/>
    </w:lvl>
    <w:lvl w:ilvl="1">
      <w:lvlJc w:val="left"/>
      <w:lvlText w:val="%2."/>
      <w:numFmt w:val="decimal"/>
      <w:start w:val="4"/>
    </w:lvl>
  </w:abstractNum>
  <w:abstractNum w:abstractNumId="63">
    <w:nsid w:val="46B7D447"/>
    <w:multiLevelType w:val="hybridMultilevel"/>
    <w:lvl w:ilvl="0">
      <w:lvlJc w:val="left"/>
      <w:lvlText w:val="(%1)"/>
      <w:numFmt w:val="lowerLetter"/>
      <w:start w:val="5"/>
    </w:lvl>
    <w:lvl w:ilvl="1">
      <w:lvlJc w:val="left"/>
      <w:lvlText w:val="%2."/>
      <w:numFmt w:val="decimal"/>
      <w:start w:val="7"/>
    </w:lvl>
  </w:abstractNum>
  <w:abstractNum w:abstractNumId="64">
    <w:nsid w:val="4A2AC315"/>
    <w:multiLevelType w:val="hybridMultilevel"/>
    <w:lvl w:ilvl="0">
      <w:lvlJc w:val="left"/>
      <w:lvlText w:val="%1."/>
      <w:numFmt w:val="decimal"/>
      <w:start w:val="9"/>
    </w:lvl>
  </w:abstractNum>
  <w:abstractNum w:abstractNumId="65">
    <w:nsid w:val="39EE015C"/>
    <w:multiLevelType w:val="hybridMultilevel"/>
    <w:lvl w:ilvl="0">
      <w:lvlJc w:val="left"/>
      <w:lvlText w:val="%1."/>
      <w:numFmt w:val="lowerLetter"/>
      <w:start w:val="1"/>
    </w:lvl>
  </w:abstractNum>
  <w:abstractNum w:abstractNumId="66">
    <w:nsid w:val="57FC4FBB"/>
    <w:multiLevelType w:val="hybridMultilevel"/>
    <w:lvl w:ilvl="0">
      <w:lvlJc w:val="left"/>
      <w:lvlText w:val="%1."/>
      <w:numFmt w:val="lowerLetter"/>
      <w:start w:val="3"/>
    </w:lvl>
  </w:abstractNum>
  <w:abstractNum w:abstractNumId="67">
    <w:nsid w:val="CC1016F"/>
    <w:multiLevelType w:val="hybridMultilevel"/>
    <w:lvl w:ilvl="0">
      <w:lvlJc w:val="left"/>
      <w:lvlText w:val="%1"/>
      <w:numFmt w:val="decimal"/>
      <w:start w:val="1"/>
    </w:lvl>
    <w:lvl w:ilvl="1">
      <w:lvlJc w:val="left"/>
      <w:lvlText w:val="%2."/>
      <w:numFmt w:val="decimal"/>
      <w:start w:val="12"/>
    </w:lvl>
  </w:abstractNum>
  <w:abstractNum w:abstractNumId="68">
    <w:nsid w:val="43F18422"/>
    <w:multiLevelType w:val="hybridMultilevel"/>
    <w:lvl w:ilvl="0">
      <w:lvlJc w:val="left"/>
      <w:lvlText w:val="%1."/>
      <w:numFmt w:val="decimal"/>
      <w:start w:val="8"/>
    </w:lvl>
    <w:lvl w:ilvl="1">
      <w:lvlJc w:val="left"/>
      <w:lvlText w:val="%2."/>
      <w:numFmt w:val="decimal"/>
      <w:start w:val="1"/>
    </w:lvl>
  </w:abstractNum>
  <w:abstractNum w:abstractNumId="69">
    <w:nsid w:val="60EF0119"/>
    <w:multiLevelType w:val="hybridMultilevel"/>
    <w:lvl w:ilvl="0">
      <w:lvlJc w:val="left"/>
      <w:lvlText w:val="%1."/>
      <w:numFmt w:val="decimal"/>
      <w:start w:val="2"/>
    </w:lvl>
  </w:abstractNum>
  <w:abstractNum w:abstractNumId="70">
    <w:nsid w:val="26F324BA"/>
    <w:multiLevelType w:val="hybridMultilevel"/>
    <w:lvl w:ilvl="0">
      <w:lvlJc w:val="left"/>
      <w:lvlText w:val="%1."/>
      <w:numFmt w:val="decimal"/>
      <w:start w:val="10"/>
    </w:lvl>
  </w:abstractNum>
  <w:abstractNum w:abstractNumId="71">
    <w:nsid w:val="7F01579B"/>
    <w:multiLevelType w:val="hybridMultilevel"/>
    <w:lvl w:ilvl="0">
      <w:lvlJc w:val="left"/>
      <w:lvlText w:val="%1"/>
      <w:numFmt w:val="decimal"/>
      <w:start w:val="1"/>
    </w:lvl>
    <w:lvl w:ilvl="1">
      <w:lvlJc w:val="left"/>
      <w:lvlText w:val="%2."/>
      <w:numFmt w:val="decimal"/>
      <w:start w:val="1"/>
    </w:lvl>
  </w:abstractNum>
  <w:abstractNum w:abstractNumId="72">
    <w:nsid w:val="49DA307D"/>
    <w:multiLevelType w:val="hybridMultilevel"/>
    <w:lvl w:ilvl="0">
      <w:lvlJc w:val="left"/>
      <w:lvlText w:val="%1."/>
      <w:numFmt w:val="decimal"/>
      <w:start w:val="11"/>
    </w:lvl>
    <w:lvl w:ilvl="1">
      <w:lvlJc w:val="left"/>
      <w:lvlText w:val="%2."/>
      <w:numFmt w:val="decimal"/>
      <w:start w:val="1"/>
    </w:lvl>
  </w:abstractNum>
  <w:abstractNum w:abstractNumId="73">
    <w:nsid w:val="7055A5F5"/>
    <w:multiLevelType w:val="hybridMultilevel"/>
    <w:lvl w:ilvl="0">
      <w:lvlJc w:val="left"/>
      <w:lvlText w:val="%1."/>
      <w:numFmt w:val="decimal"/>
      <w:start w:val="4"/>
    </w:lvl>
    <w:lvl w:ilvl="1">
      <w:lvlJc w:val="left"/>
      <w:lvlText w:val="%2."/>
      <w:numFmt w:val="lowerLetter"/>
      <w:start w:val="1"/>
    </w:lvl>
  </w:abstractNum>
  <w:abstractNum w:abstractNumId="74">
    <w:nsid w:val="5FB8370B"/>
    <w:multiLevelType w:val="hybridMultilevel"/>
    <w:lvl w:ilvl="0">
      <w:lvlJc w:val="left"/>
      <w:lvlText w:val="%1."/>
      <w:numFmt w:val="lowerLetter"/>
      <w:start w:val="2"/>
    </w:lvl>
    <w:lvl w:ilvl="1">
      <w:lvlJc w:val="left"/>
      <w:lvlText w:val="(%2)"/>
      <w:numFmt w:val="lowerRoman"/>
      <w:start w:val="1"/>
    </w:lvl>
  </w:abstractNum>
  <w:abstractNum w:abstractNumId="75">
    <w:nsid w:val="50801EE1"/>
    <w:multiLevelType w:val="hybridMultilevel"/>
    <w:lvl w:ilvl="0">
      <w:lvlJc w:val="left"/>
      <w:lvlText w:val="%1"/>
      <w:numFmt w:val="decimal"/>
      <w:start w:val="1"/>
    </w:lvl>
    <w:lvl w:ilvl="1">
      <w:lvlJc w:val="left"/>
      <w:lvlText w:val="%2."/>
      <w:numFmt w:val="decimal"/>
      <w:start w:val="7"/>
    </w:lvl>
    <w:lvl w:ilvl="2">
      <w:lvlJc w:val="left"/>
      <w:lvlText w:val="%3"/>
      <w:numFmt w:val="lowerRoman"/>
      <w:start w:val="1"/>
    </w:lvl>
  </w:abstractNum>
  <w:abstractNum w:abstractNumId="76">
    <w:nsid w:val="488AC1A"/>
    <w:multiLevelType w:val="hybridMultilevel"/>
    <w:lvl w:ilvl="0">
      <w:lvlJc w:val="left"/>
      <w:lvlText w:val="%1."/>
      <w:numFmt w:val="decimal"/>
      <w:start w:val="12"/>
    </w:lvl>
    <w:lvl w:ilvl="1">
      <w:lvlJc w:val="left"/>
      <w:lvlText w:val="%2."/>
      <w:numFmt w:val="decimal"/>
      <w:start w:val="1"/>
    </w:lvl>
    <w:lvl w:ilvl="2">
      <w:lvlJc w:val="left"/>
      <w:lvlText w:val="(%3)"/>
      <w:numFmt w:val="lowerRoman"/>
      <w:start w:val="1"/>
    </w:lvl>
  </w:abstractNum>
  <w:abstractNum w:abstractNumId="77">
    <w:nsid w:val="5FB8011C"/>
    <w:multiLevelType w:val="hybridMultilevel"/>
    <w:lvl w:ilvl="0">
      <w:lvlJc w:val="left"/>
      <w:lvlText w:val="%1"/>
      <w:numFmt w:val="decimal"/>
      <w:start w:val="1"/>
    </w:lvl>
    <w:lvl w:ilvl="1">
      <w:lvlJc w:val="left"/>
      <w:lvlText w:val="%2."/>
      <w:numFmt w:val="decimal"/>
      <w:start w:val="3"/>
    </w:lvl>
  </w:abstractNum>
  <w:abstractNum w:abstractNumId="78">
    <w:nsid w:val="6AA78F7F"/>
    <w:multiLevelType w:val="hybridMultilevel"/>
    <w:lvl w:ilvl="0">
      <w:lvlJc w:val="left"/>
      <w:lvlText w:val="%1."/>
      <w:numFmt w:val="decimal"/>
      <w:start w:val="13"/>
    </w:lvl>
    <w:lvl w:ilvl="1">
      <w:lvlJc w:val="left"/>
      <w:lvlText w:val="%2."/>
      <w:numFmt w:val="decimal"/>
      <w:start w:val="1"/>
    </w:lvl>
  </w:abstractNum>
  <w:abstractNum w:abstractNumId="79">
    <w:nsid w:val="7672BD23"/>
    <w:multiLevelType w:val="hybridMultilevel"/>
    <w:lvl w:ilvl="0">
      <w:lvlJc w:val="left"/>
      <w:lvlText w:val="%1."/>
      <w:numFmt w:val="decimal"/>
      <w:start w:val="15"/>
    </w:lvl>
    <w:lvl w:ilvl="1">
      <w:lvlJc w:val="left"/>
      <w:lvlText w:val="%2."/>
      <w:numFmt w:val="decimal"/>
      <w:start w:val="1"/>
    </w:lvl>
  </w:abstractNum>
  <w:abstractNum w:abstractNumId="80">
    <w:nsid w:val="6FC75AF8"/>
    <w:multiLevelType w:val="hybridMultilevel"/>
    <w:lvl w:ilvl="0">
      <w:lvlJc w:val="left"/>
      <w:lvlText w:val="%1"/>
      <w:numFmt w:val="decimal"/>
      <w:start w:val="1"/>
    </w:lvl>
    <w:lvl w:ilvl="1">
      <w:lvlJc w:val="left"/>
      <w:lvlText w:val="%2."/>
      <w:numFmt w:val="decimal"/>
      <w:start w:val="3"/>
    </w:lvl>
  </w:abstractNum>
  <w:abstractNum w:abstractNumId="81">
    <w:nsid w:val="6A5F7029"/>
    <w:multiLevelType w:val="hybridMultilevel"/>
    <w:lvl w:ilvl="0">
      <w:lvlJc w:val="left"/>
      <w:lvlText w:val="%1."/>
      <w:numFmt w:val="decimal"/>
      <w:start w:val="16"/>
    </w:lvl>
    <w:lvl w:ilvl="1">
      <w:lvlJc w:val="left"/>
      <w:lvlText w:val="%2"/>
      <w:numFmt w:val="decimal"/>
      <w:start w:val="1"/>
    </w:lvl>
  </w:abstractNum>
  <w:abstractNum w:abstractNumId="82">
    <w:nsid w:val="7D5E18F8"/>
    <w:multiLevelType w:val="hybridMultilevel"/>
    <w:lvl w:ilvl="0">
      <w:lvlJc w:val="left"/>
      <w:lvlText w:val="%1"/>
      <w:numFmt w:val="decimal"/>
      <w:start w:val="1"/>
    </w:lvl>
    <w:lvl w:ilvl="1">
      <w:lvlJc w:val="left"/>
      <w:lvlText w:val="%2."/>
      <w:numFmt w:val="decimal"/>
      <w:start w:val="1"/>
    </w:lvl>
  </w:abstractNum>
  <w:abstractNum w:abstractNumId="83">
    <w:nsid w:val="5F3534A4"/>
    <w:multiLevelType w:val="hybridMultilevel"/>
    <w:lvl w:ilvl="0">
      <w:lvlJc w:val="left"/>
      <w:lvlText w:val="%1."/>
      <w:numFmt w:val="decimal"/>
      <w:start w:val="17"/>
    </w:lvl>
    <w:lvl w:ilvl="1">
      <w:lvlJc w:val="left"/>
      <w:lvlText w:val="%2."/>
      <w:numFmt w:val="decimal"/>
      <w:start w:val="1"/>
    </w:lvl>
  </w:abstractNum>
  <w:abstractNum w:abstractNumId="84">
    <w:nsid w:val="73A1821B"/>
    <w:multiLevelType w:val="hybridMultilevel"/>
    <w:lvl w:ilvl="0">
      <w:lvlJc w:val="left"/>
      <w:lvlText w:val="%1."/>
      <w:numFmt w:val="decimal"/>
      <w:start w:val="18"/>
    </w:lvl>
    <w:lvl w:ilvl="1">
      <w:lvlJc w:val="left"/>
      <w:lvlText w:val="%2."/>
      <w:numFmt w:val="decimal"/>
      <w:start w:val="1"/>
    </w:lvl>
  </w:abstractNum>
  <w:abstractNum w:abstractNumId="85">
    <w:nsid w:val="7DE67713"/>
    <w:multiLevelType w:val="hybridMultilevel"/>
    <w:lvl w:ilvl="0">
      <w:lvlJc w:val="left"/>
      <w:lvlText w:val="%1"/>
      <w:numFmt w:val="decimal"/>
      <w:start w:val="1"/>
    </w:lvl>
    <w:lvl w:ilvl="1">
      <w:lvlJc w:val="left"/>
      <w:lvlText w:val="%2."/>
      <w:numFmt w:val="decimal"/>
      <w:start w:val="1"/>
    </w:lvl>
  </w:abstractNum>
  <w:abstractNum w:abstractNumId="86">
    <w:nsid w:val="555C55B5"/>
    <w:multiLevelType w:val="hybridMultilevel"/>
    <w:lvl w:ilvl="0">
      <w:lvlJc w:val="left"/>
      <w:lvlText w:val="%1."/>
      <w:numFmt w:val="decimal"/>
      <w:start w:val="24"/>
    </w:lvl>
    <w:lvl w:ilvl="1">
      <w:lvlJc w:val="left"/>
      <w:lvlText w:val="%2."/>
      <w:numFmt w:val="decimal"/>
      <w:start w:val="1"/>
    </w:lvl>
  </w:abstractNum>
  <w:abstractNum w:abstractNumId="87">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
    <w:nsid w:val="14FCE74E"/>
    <w:multiLevelType w:val="hybridMultilevel"/>
    <w:lvl w:ilvl="0">
      <w:lvlJc w:val="left"/>
      <w:lvlText w:val="(%1)"/>
      <w:numFmt w:val="lowerLetter"/>
      <w:start w:val="3"/>
    </w:lvl>
  </w:abstractNum>
  <w:abstractNum w:abstractNumId="89">
    <w:nsid w:val="6A3DD3E8"/>
    <w:multiLevelType w:val="hybridMultilevel"/>
    <w:lvl w:ilvl="0">
      <w:lvlJc w:val="left"/>
      <w:lvlText w:val="%1."/>
      <w:numFmt w:val="decimal"/>
      <w:start w:val="4"/>
    </w:lvl>
  </w:abstractNum>
  <w:abstractNum w:abstractNumId="90">
    <w:nsid w:val="71C91298"/>
    <w:multiLevelType w:val="hybridMultilevel"/>
    <w:lvl w:ilvl="0">
      <w:lvlJc w:val="left"/>
      <w:lvlText w:val="%1."/>
      <w:numFmt w:val="decimal"/>
      <w:start w:val="1"/>
    </w:lvl>
    <w:lvl w:ilvl="1">
      <w:lvlJc w:val="left"/>
      <w:lvlText w:val="(%2)"/>
      <w:numFmt w:val="lowerLetter"/>
      <w:start w:val="2"/>
    </w:lvl>
  </w:abstractNum>
  <w:abstractNum w:abstractNumId="91">
    <w:nsid w:val="9DAF632"/>
    <w:multiLevelType w:val="hybridMultilevel"/>
    <w:lvl w:ilvl="0">
      <w:lvlJc w:val="left"/>
      <w:lvlText w:val="(%1)"/>
      <w:numFmt w:val="lowerLetter"/>
      <w:start w:val="3"/>
    </w:lvl>
  </w:abstractNum>
  <w:abstractNum w:abstractNumId="92">
    <w:nsid w:val="53299938"/>
    <w:multiLevelType w:val="hybridMultilevel"/>
    <w:lvl w:ilvl="0">
      <w:lvlJc w:val="left"/>
      <w:lvlText w:val="%1."/>
      <w:numFmt w:val="decimal"/>
      <w:start w:val="4"/>
    </w:lvl>
  </w:abstractNum>
  <w:abstractNum w:abstractNumId="93">
    <w:nsid w:val="1FBFE8E0"/>
    <w:multiLevelType w:val="hybridMultilevel"/>
    <w:lvl w:ilvl="0">
      <w:lvlJc w:val="left"/>
      <w:lvlText w:val="%1."/>
      <w:numFmt w:val="decimal"/>
      <w:start w:val="1"/>
    </w:lvl>
    <w:lvl w:ilvl="1">
      <w:lvlJc w:val="left"/>
      <w:lvlText w:val="(%2)"/>
      <w:numFmt w:val="lowerLetter"/>
      <w:start w:val="2"/>
    </w:lvl>
  </w:abstractNum>
  <w:abstractNum w:abstractNumId="94">
    <w:nsid w:val="5092CA79"/>
    <w:multiLevelType w:val="hybridMultilevel"/>
    <w:lvl w:ilvl="0">
      <w:lvlJc w:val="left"/>
      <w:lvlText w:val="(%1)"/>
      <w:numFmt w:val="lowerLetter"/>
      <w:start w:val="3"/>
    </w:lvl>
  </w:abstractNum>
  <w:abstractNum w:abstractNumId="95">
    <w:nsid w:val="1D545C4D"/>
    <w:multiLevelType w:val="hybridMultilevel"/>
    <w:lvl w:ilvl="0">
      <w:lvlJc w:val="left"/>
      <w:lvlText w:val="%1."/>
      <w:numFmt w:val="decimal"/>
      <w:start w:val="4"/>
    </w:lvl>
  </w:abstractNum>
  <w:abstractNum w:abstractNumId="96">
    <w:nsid w:val="59ADEA3D"/>
    <w:multiLevelType w:val="hybridMultilevel"/>
    <w:lvl w:ilvl="0">
      <w:lvlJc w:val="left"/>
      <w:lvlText w:val="%1."/>
      <w:numFmt w:val="decimal"/>
      <w:start w:val="1"/>
    </w:lvl>
    <w:lvl w:ilvl="1">
      <w:lvlJc w:val="left"/>
      <w:lvlText w:val="(%2)"/>
      <w:numFmt w:val="lowerLetter"/>
      <w:start w:val="2"/>
    </w:lvl>
  </w:abstractNum>
  <w:abstractNum w:abstractNumId="97">
    <w:nsid w:val="288F1A34"/>
    <w:multiLevelType w:val="hybridMultilevel"/>
    <w:lvl w:ilvl="0">
      <w:lvlJc w:val="left"/>
      <w:lvlText w:val="(%1)"/>
      <w:numFmt w:val="lowerLetter"/>
      <w:start w:val="3"/>
    </w:lvl>
  </w:abstractNum>
  <w:abstractNum w:abstractNumId="98">
    <w:nsid w:val="2A155DBC"/>
    <w:multiLevelType w:val="hybridMultilevel"/>
    <w:lvl w:ilvl="0">
      <w:lvlJc w:val="left"/>
      <w:lvlText w:val="%1."/>
      <w:numFmt w:val="decimal"/>
      <w:start w:val="4"/>
    </w:lvl>
  </w:abstractNum>
  <w:abstractNum w:abstractNumId="99">
    <w:nsid w:val="1D9F6E5F"/>
    <w:multiLevelType w:val="hybridMultilevel"/>
    <w:lvl w:ilvl="0">
      <w:lvlJc w:val="left"/>
      <w:lvlText w:val="%1."/>
      <w:numFmt w:val="decimal"/>
      <w:start w:val="1"/>
    </w:lvl>
    <w:lvl w:ilvl="1">
      <w:lvlJc w:val="left"/>
      <w:lvlText w:val="(%2)"/>
      <w:numFmt w:val="lowerLetter"/>
      <w:start w:val="2"/>
    </w:lvl>
  </w:abstractNum>
  <w:abstractNum w:abstractNumId="100">
    <w:nsid w:val="97E1B4E"/>
    <w:multiLevelType w:val="hybridMultilevel"/>
    <w:lvl w:ilvl="0">
      <w:lvlJc w:val="left"/>
      <w:lvlText w:val="(%1)"/>
      <w:numFmt w:val="lowerLetter"/>
      <w:start w:val="3"/>
    </w:lvl>
  </w:abstractNum>
  <w:abstractNum w:abstractNumId="101">
    <w:nsid w:val="51088277"/>
    <w:multiLevelType w:val="hybridMultilevel"/>
    <w:lvl w:ilvl="0">
      <w:lvlJc w:val="left"/>
      <w:lvlText w:val="%1."/>
      <w:numFmt w:val="decimal"/>
      <w:start w:val="4"/>
    </w:lvl>
  </w:abstractNum>
  <w:abstractNum w:abstractNumId="102">
    <w:nsid w:val="1CA0C5FA"/>
    <w:multiLevelType w:val="hybridMultilevel"/>
    <w:lvl w:ilvl="0">
      <w:lvlJc w:val="left"/>
      <w:lvlText w:val="%1."/>
      <w:numFmt w:val="decimal"/>
      <w:start w:val="1"/>
    </w:lvl>
    <w:lvl w:ilvl="1">
      <w:lvlJc w:val="left"/>
      <w:lvlText w:val="(%2)"/>
      <w:numFmt w:val="lowerLetter"/>
      <w:start w:val="2"/>
    </w:lvl>
  </w:abstractNum>
  <w:abstractNum w:abstractNumId="103">
    <w:nsid w:val="53584BCB"/>
    <w:multiLevelType w:val="hybridMultilevel"/>
    <w:lvl w:ilvl="0">
      <w:lvlJc w:val="left"/>
      <w:lvlText w:val="(%1)"/>
      <w:numFmt w:val="lowerLetter"/>
      <w:start w:val="3"/>
    </w:lvl>
  </w:abstractNum>
  <w:abstractNum w:abstractNumId="104">
    <w:nsid w:val="415E286C"/>
    <w:multiLevelType w:val="hybridMultilevel"/>
    <w:lvl w:ilvl="0">
      <w:lvlJc w:val="left"/>
      <w:lvlText w:val="%1."/>
      <w:numFmt w:val="decimal"/>
      <w:start w:val="4"/>
    </w:lvl>
  </w:abstractNum>
  <w:abstractNum w:abstractNumId="105">
    <w:nsid w:val="7C58FD05"/>
    <w:multiLevelType w:val="hybridMultilevel"/>
    <w:lvl w:ilvl="0">
      <w:lvlJc w:val="left"/>
      <w:lvlText w:val="%1"/>
      <w:numFmt w:val="decimal"/>
      <w:start w:val="1"/>
    </w:lvl>
    <w:lvl w:ilvl="1">
      <w:lvlJc w:val="left"/>
      <w:lvlText w:val="%2."/>
      <w:numFmt w:val="decimal"/>
      <w:start w:val="1"/>
    </w:lvl>
  </w:abstractNum>
  <w:abstractNum w:abstractNumId="106">
    <w:nsid w:val="23D86AAC"/>
    <w:multiLevelType w:val="hybridMultilevel"/>
    <w:lvl w:ilvl="0">
      <w:lvlJc w:val="left"/>
      <w:lvlText w:val="%1."/>
      <w:numFmt w:val="decimal"/>
      <w:start w:val="3"/>
    </w:lvl>
    <w:lvl w:ilvl="1">
      <w:lvlJc w:val="left"/>
      <w:lvlText w:val="%2"/>
      <w:numFmt w:val="decimal"/>
      <w:start w:val="1"/>
    </w:lvl>
  </w:abstractNum>
  <w:abstractNum w:abstractNumId="107">
    <w:nsid w:val="45E6D486"/>
    <w:multiLevelType w:val="hybridMultilevel"/>
    <w:lvl w:ilvl="0">
      <w:lvlJc w:val="left"/>
      <w:lvlText w:val="(%1)"/>
      <w:numFmt w:val="lowerLetter"/>
      <w:start w:val="2"/>
    </w:lvl>
  </w:abstractNum>
  <w:abstractNum w:abstractNumId="108">
    <w:nsid w:val="5C10FE21"/>
    <w:multiLevelType w:val="hybridMultilevel"/>
    <w:lvl w:ilvl="0">
      <w:lvlJc w:val="left"/>
      <w:lvlText w:val="(%1)"/>
      <w:numFmt w:val="lowerLetter"/>
      <w:start w:val="4"/>
    </w:lvl>
  </w:abstractNum>
  <w:abstractNum w:abstractNumId="109">
    <w:nsid w:val="E7FFA2B"/>
    <w:multiLevelType w:val="hybridMultilevel"/>
    <w:lvl w:ilvl="0">
      <w:lvlJc w:val="left"/>
      <w:lvlText w:val="%1."/>
      <w:numFmt w:val="decimal"/>
      <w:start w:val="4"/>
    </w:lvl>
  </w:abstractNum>
  <w:abstractNum w:abstractNumId="110">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4BD8591A"/>
    <w:multiLevelType w:val="hybridMultilevel"/>
    <w:lvl w:ilvl="0">
      <w:lvlJc w:val="left"/>
      <w:lvlText w:val="(%1)"/>
      <w:numFmt w:val="lowerLetter"/>
      <w:start w:val="3"/>
    </w:lvl>
  </w:abstractNum>
  <w:abstractNum w:abstractNumId="112">
    <w:nsid w:val="78DF6A55"/>
    <w:multiLevelType w:val="hybridMultilevel"/>
    <w:lvl w:ilvl="0">
      <w:lvlJc w:val="left"/>
      <w:lvlText w:val="%1."/>
      <w:numFmt w:val="decimal"/>
      <w:start w:val="4"/>
    </w:lvl>
  </w:abstractNum>
  <w:abstractNum w:abstractNumId="113">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2B0D8DBE"/>
    <w:multiLevelType w:val="hybridMultilevel"/>
    <w:lvl w:ilvl="0">
      <w:lvlJc w:val="left"/>
      <w:lvlText w:val="(%1)"/>
      <w:numFmt w:val="lowerLetter"/>
      <w:start w:val="3"/>
    </w:lvl>
  </w:abstractNum>
  <w:abstractNum w:abstractNumId="115">
    <w:nsid w:val="6C80EC70"/>
    <w:multiLevelType w:val="hybridMultilevel"/>
    <w:lvl w:ilvl="0">
      <w:lvlJc w:val="left"/>
      <w:lvlText w:val="%1."/>
      <w:numFmt w:val="decimal"/>
      <w:start w:val="4"/>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36" Type="http://schemas.openxmlformats.org/officeDocument/2006/relationships/image" Target="media/image116.png"/><Relationship Id="rId137" Type="http://schemas.openxmlformats.org/officeDocument/2006/relationships/image" Target="media/image117.png"/><Relationship Id="rId138" Type="http://schemas.openxmlformats.org/officeDocument/2006/relationships/image" Target="media/image118.png"/><Relationship Id="rId139"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155" Type="http://schemas.openxmlformats.org/officeDocument/2006/relationships/image" Target="media/image135.png"/><Relationship Id="rId156" Type="http://schemas.openxmlformats.org/officeDocument/2006/relationships/image" Target="media/image136.png"/><Relationship Id="rId157" Type="http://schemas.openxmlformats.org/officeDocument/2006/relationships/image" Target="media/image137.png"/><Relationship Id="rId158" Type="http://schemas.openxmlformats.org/officeDocument/2006/relationships/image" Target="media/image138.png"/><Relationship Id="rId159" Type="http://schemas.openxmlformats.org/officeDocument/2006/relationships/image" Target="media/image139.png"/><Relationship Id="rId160" Type="http://schemas.openxmlformats.org/officeDocument/2006/relationships/image" Target="media/image140.png"/><Relationship Id="rId161" Type="http://schemas.openxmlformats.org/officeDocument/2006/relationships/image" Target="media/image141.png"/><Relationship Id="rId162" Type="http://schemas.openxmlformats.org/officeDocument/2006/relationships/image" Target="media/image142.png"/><Relationship Id="rId163" Type="http://schemas.openxmlformats.org/officeDocument/2006/relationships/image" Target="media/image143.png"/><Relationship Id="rId164"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101" Type="http://schemas.openxmlformats.org/officeDocument/2006/relationships/hyperlink" Target="https://www.sec.gov/Archives/edgar/data/33992/000135448814002619/kins_ex3a.htm" TargetMode="External"/><Relationship Id="rId102" Type="http://schemas.openxmlformats.org/officeDocument/2006/relationships/hyperlink" Target="https://www.sec.gov/Archives/edgar/data/33992/000003399225000007/a4dexhibit4d-form10xkv2.htm" TargetMode="External"/><Relationship Id="rId103" Type="http://schemas.openxmlformats.org/officeDocument/2006/relationships/hyperlink" Target="https://www.sec.gov/Archives/edgar/data/33992/000165495424004054/kins_ex10a.htm" TargetMode="External"/><Relationship Id="rId104" Type="http://schemas.openxmlformats.org/officeDocument/2006/relationships/hyperlink" Target="https://www.sec.gov/Archives/edgar/data/33992/000102177122000033/ex10_1.htm" TargetMode="External"/><Relationship Id="rId105" Type="http://schemas.openxmlformats.org/officeDocument/2006/relationships/hyperlink" Target="https://www.sec.gov/Archives/edgar/data/33992/000003399225000007/a10b2024equityparticipatio.htm" TargetMode="External"/><Relationship Id="rId106" Type="http://schemas.openxmlformats.org/officeDocument/2006/relationships/hyperlink" Target="https://www.sec.gov/Archives/edgar/data/33992/000102177122000033/ex10_2.htm" TargetMode="External"/><Relationship Id="rId107" Type="http://schemas.openxmlformats.org/officeDocument/2006/relationships/hyperlink" Target="https://www.sec.gov/Archives/edgar/data/33992/000102177125000107/kins8525.htm" TargetMode="External"/><Relationship Id="rId108" Type="http://schemas.openxmlformats.org/officeDocument/2006/relationships/hyperlink" Target="https://www.sec.gov/Archives/edgar/data/33992/000102177124000138/ex1_1.htm" TargetMode="External"/><Relationship Id="rId109" Type="http://schemas.openxmlformats.org/officeDocument/2006/relationships/hyperlink" Target="https://www.sec.gov/Archives/edgar/data/33992/000003399225000007/kins-20241231.htm" TargetMode="External"/><Relationship Id="rId113" Type="http://schemas.openxmlformats.org/officeDocument/2006/relationships/hyperlink" Target="https://www.sec.gov/Archives/edgar/data/33992/000003399225000007/a10s2025bonusstructurere.htm" TargetMode="External"/><Relationship Id="rId114" Type="http://schemas.openxmlformats.org/officeDocument/2006/relationships/hyperlink" Target="https://www.sec.gov/Archives/edgar/data/33992/000003399225000007/a19insidertradingpolicyv2.htm" TargetMode="External"/><Relationship Id="rId115" Type="http://schemas.openxmlformats.org/officeDocument/2006/relationships/hyperlink" Target="https://www.sec.gov/Archives/edgar/data/33992/000165495417002100/kins_ex21.htm" TargetMode="External"/><Relationship Id="rId116" Type="http://schemas.openxmlformats.org/officeDocument/2006/relationships/hyperlink" Target="https://www.sec.gov/Archives/edgar/data/33992/000165495424004054/kins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2026-03-16T13:22:29Z</dcterms:created>
  <dcterms:modified xsi:type="dcterms:W3CDTF">2026-03-16T13:22:29Z</dcterms:modified>
</cp:coreProperties>
</file>