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0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 Exchange Act of 1934</w:t>
      </w:r>
    </w:p>
    <w:p>
      <w:pPr>
        <w:spacing w:after="0" w:line="1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(Amendment No. )</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9"/>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1960" w:type="dxa"/>
            <w:vAlign w:val="bottom"/>
          </w:tcPr>
          <w:p>
            <w:pPr>
              <w:spacing w:after="0"/>
              <w:rPr>
                <w:sz w:val="24"/>
                <w:szCs w:val="24"/>
                <w:color w:val="auto"/>
              </w:rPr>
            </w:pPr>
          </w:p>
        </w:tc>
      </w:tr>
      <w:tr>
        <w:trPr>
          <w:trHeight w:val="385"/>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Preliminary Proxy Statement</w:t>
            </w:r>
          </w:p>
        </w:tc>
        <w:tc>
          <w:tcPr>
            <w:tcW w:w="1960" w:type="dxa"/>
            <w:vAlign w:val="bottom"/>
          </w:tcPr>
          <w:p>
            <w:pPr>
              <w:spacing w:after="0"/>
              <w:rPr>
                <w:sz w:val="24"/>
                <w:szCs w:val="24"/>
                <w:color w:val="auto"/>
              </w:rPr>
            </w:pPr>
          </w:p>
        </w:tc>
      </w:tr>
      <w:tr>
        <w:trPr>
          <w:trHeight w:val="216"/>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 For Use of the Commission Only (as permitted by Rule 14a-6(e)(2))</w:t>
            </w:r>
          </w:p>
        </w:tc>
        <w:tc>
          <w:tcPr>
            <w:tcW w:w="1960" w:type="dxa"/>
            <w:vAlign w:val="bottom"/>
          </w:tcPr>
          <w:p>
            <w:pPr>
              <w:spacing w:after="0"/>
              <w:rPr>
                <w:sz w:val="18"/>
                <w:szCs w:val="18"/>
                <w:color w:val="auto"/>
              </w:rPr>
            </w:pPr>
          </w:p>
        </w:tc>
      </w:tr>
      <w:tr>
        <w:trPr>
          <w:trHeight w:val="216"/>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Definitive Proxy Statement</w:t>
            </w:r>
          </w:p>
        </w:tc>
        <w:tc>
          <w:tcPr>
            <w:tcW w:w="1960" w:type="dxa"/>
            <w:vAlign w:val="bottom"/>
          </w:tcPr>
          <w:p>
            <w:pPr>
              <w:spacing w:after="0"/>
              <w:rPr>
                <w:sz w:val="18"/>
                <w:szCs w:val="18"/>
                <w:color w:val="auto"/>
              </w:rPr>
            </w:pPr>
          </w:p>
        </w:tc>
      </w:tr>
      <w:tr>
        <w:trPr>
          <w:trHeight w:val="216"/>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Definitive Additional Materials</w:t>
            </w:r>
          </w:p>
        </w:tc>
        <w:tc>
          <w:tcPr>
            <w:tcW w:w="1960" w:type="dxa"/>
            <w:vAlign w:val="bottom"/>
          </w:tcPr>
          <w:p>
            <w:pPr>
              <w:spacing w:after="0"/>
              <w:rPr>
                <w:sz w:val="18"/>
                <w:szCs w:val="18"/>
                <w:color w:val="auto"/>
              </w:rPr>
            </w:pPr>
          </w:p>
        </w:tc>
      </w:tr>
      <w:tr>
        <w:trPr>
          <w:trHeight w:val="283"/>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Section 240.14a-12</w:t>
            </w:r>
          </w:p>
        </w:tc>
        <w:tc>
          <w:tcPr>
            <w:tcW w:w="1960" w:type="dxa"/>
            <w:vAlign w:val="bottom"/>
          </w:tcPr>
          <w:p>
            <w:pPr>
              <w:spacing w:after="0"/>
              <w:rPr>
                <w:sz w:val="24"/>
                <w:szCs w:val="24"/>
                <w:color w:val="auto"/>
              </w:rPr>
            </w:pPr>
          </w:p>
        </w:tc>
      </w:tr>
    </w:tbl>
    <w:p>
      <w:pPr>
        <w:spacing w:after="0" w:line="200" w:lineRule="exact"/>
        <w:rPr>
          <w:sz w:val="24"/>
          <w:szCs w:val="24"/>
          <w:color w:val="auto"/>
        </w:rPr>
      </w:pPr>
    </w:p>
    <w:p>
      <w:pPr>
        <w:spacing w:after="0" w:line="235"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1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0" w:lineRule="exact"/>
        <w:rPr>
          <w:sz w:val="24"/>
          <w:szCs w:val="24"/>
          <w:color w:val="auto"/>
        </w:rPr>
      </w:pPr>
    </w:p>
    <w:p>
      <w:pPr>
        <w:spacing w:after="0" w:line="25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216" w:right="1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15 Joys Lane</w:t>
      </w:r>
    </w:p>
    <w:p>
      <w:pPr>
        <w:jc w:val="center"/>
        <w:spacing w:after="0"/>
        <w:rPr>
          <w:sz w:val="20"/>
          <w:szCs w:val="20"/>
          <w:color w:val="auto"/>
        </w:rPr>
      </w:pPr>
      <w:r>
        <w:rPr>
          <w:rFonts w:ascii="Times New Roman" w:cs="Times New Roman" w:eastAsia="Times New Roman" w:hAnsi="Times New Roman"/>
          <w:sz w:val="22"/>
          <w:szCs w:val="22"/>
          <w:b w:val="1"/>
          <w:bCs w:val="1"/>
          <w:color w:val="auto"/>
        </w:rPr>
        <w:t>Kingston, New York 12401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BE HELD ON AUGUST 11,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Stockholders of Kingstone Companies, Inc.:</w:t>
      </w:r>
    </w:p>
    <w:p>
      <w:pPr>
        <w:spacing w:after="0" w:line="23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Stockholders of Kingstone Companies, Inc., a Delaware corporation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“we”), will be held on August 11, 2022, at 15 Joys Lane, Kingston, New York 12401, at 9:00 a.m., for the following purposes:</w:t>
      </w:r>
    </w:p>
    <w:p>
      <w:pPr>
        <w:spacing w:after="0" w:line="186"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six directors for the coming year.</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Marcum LLP as the Company’s independent registered public accounting firm for the fiscal year ending December 31, 2022.</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to approve the Company’s executive compensation.</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24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Only stockholders of record at the close of business on June 17, 2022, are entitled to notice of and to vote at the meeting or at any adjournment thereof.</w:t>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w:t>
      </w:r>
      <w:r>
        <w:rPr>
          <w:rFonts w:ascii="Times New Roman" w:cs="Times New Roman" w:eastAsia="Times New Roman" w:hAnsi="Times New Roman"/>
          <w:sz w:val="18"/>
          <w:szCs w:val="18"/>
          <w:color w:val="auto"/>
        </w:rPr>
        <w:t>We are sending a Notice of Internet Availability of Proxy Materials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to our stockholders of record and beneficial owners, unless they have directed us to provide the materials in a different manner. The Notice provides instructions on how to access and review all of the important information contained in this proxy statement, as well as how to submit a proxy by telephone or over the Internet. If you receive the Notice and would still like to receive a printed copy of our proxy materials, instructions for requesting these materials are included in the Notice. The Company plans to mail the Notice to stockholders by July 1, 2022. The proxy statement and the Company’s Annual Report on Form 10-K for the year ended December 31, 2021, are available electronically to the Company’s stockholders of record as of the close of business on June 17, 2022,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Floyd R. Tupper</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i w:val="1"/>
          <w:iCs w:val="1"/>
          <w:color w:val="auto"/>
        </w:rPr>
        <w:t>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Kingston,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245110</wp:posOffset>
            </wp:positionV>
            <wp:extent cx="7127875" cy="1127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7875" cy="1127125"/>
                    </a:xfrm>
                    <a:prstGeom prst="rect">
                      <a:avLst/>
                    </a:prstGeom>
                    <a:noFill/>
                  </pic:spPr>
                </pic:pic>
              </a:graphicData>
            </a:graphic>
          </wp:anchor>
        </w:drawing>
        <w:t>WHETHER OR NOT YOU PLAN TO ATTEND THE MEETING, PLEASE SUBMIT YOUR PROXY OR VOTING INSTRUCTIONS AS SOON AS POSSIBLE. FOR SPECIFIC INSTRUCTIONS ON HOW TO VOTE YOUR SHARES, PLEASE REFER TO THE INSTRUCTIONS IN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IN PERSON. THOSE VOTING BY INTERNET OR BY TELEPHONE MAY ALSO REVOKE THEIR PROXY BY VOTING IN PERSON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8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15 Joys Lane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Kingston, New York 12401</w:t>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SOLICITING, VOTING AND REVOCABILITY OF PROXY</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proxy statement is being made available to all stockholders of record at the close of business on June 17, 2022, in connection with the solicitation by the Board of Directors of proxies to be voted at the Annual Meeting of Stockholders to be held on August 11, 2022, at 9:00 a.m., local time, or any adjournment thereof. Proxy materials for the Annual Meeting of Stockholders were made available to stockholders on or about July 1, 2022.</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206" w:lineRule="exact"/>
        <w:rPr>
          <w:sz w:val="20"/>
          <w:szCs w:val="20"/>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nominees named in the proxy to our Board of Directors;</w:t>
      </w:r>
    </w:p>
    <w:p>
      <w:pPr>
        <w:spacing w:after="0" w:line="252" w:lineRule="exact"/>
        <w:rPr>
          <w:rFonts w:ascii="Times New Roman" w:cs="Times New Roman" w:eastAsia="Times New Roman" w:hAnsi="Times New Roman"/>
          <w:sz w:val="18"/>
          <w:szCs w:val="18"/>
          <w:color w:val="auto"/>
        </w:rPr>
      </w:pPr>
    </w:p>
    <w:p>
      <w:pPr>
        <w:ind w:left="1460" w:hanging="480"/>
        <w:spacing w:after="0" w:line="286"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Marcum LLP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2022;</w:t>
      </w:r>
    </w:p>
    <w:p>
      <w:pPr>
        <w:spacing w:after="0" w:line="181"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compensation of our named executive officers.</w:t>
      </w:r>
    </w:p>
    <w:p>
      <w:pPr>
        <w:spacing w:after="0" w:line="24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and the advisory vote on the approval of executive compensation are considered “non-routine” matters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19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his best judgment.</w:t>
      </w:r>
    </w:p>
    <w:p>
      <w:pPr>
        <w:spacing w:after="0" w:line="20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total number of shares of common stock outstanding and entitled to vote as of the close of business on June 17, 2022, was 10,644,408. Our common stock is the only class of securities entitled to vote on matters presented to our stockholders, each share being entitled to one vote. A majority of the shares of common stock outstanding and entitled to vote as of the close of business on June 17, 2022, or 5,322,205 shares of common stock, must be present at the meeting in person or by proxy in order to constitute a quorum for the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(six) multiplied by the number of shares he is entitled to vote. A stockholder may therefore cast his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17, 2022, will be entitled to vote. With regard to the election of directors, votes may be cast in favor or withheld. The directors shall be elected by a plurality of the votes cast in favor. Accordingly, based upon there being six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Stockholders may expressly abstain from voting on Proposals 2 and 3 by so indicating on the proxy. Abstentions are counted as present in the tabulation of votes on Proposals 2 and 3. Since each of Proposals 2 and 3 requires the affirmative approval of a majority of the shares of common stock present in person or represented by proxy at the meeting and entitled to vote (assuming a quorum is present at the meeting), abstentions will have the effect of a negative vote while broker non-votes will have no effect.</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in person while in attendance at the meeting. However, a stockholder who attends the meeting need not revoke a proxy given and vote in person unless the stockholder wishes to do so. Written revocations or amended proxies should be sent to us at 15 Joys Lane, Kingston, New York 12401, Attention: Corporate Secretary. Those voting by Internet or by telephone may also revoke their proxy by voting in person at the meeting or by voting and submitting their proxy at a later time by Internet or by telephone.</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 list of stockholders entitled to vote at the meeting will be available for examination by any stockholder for any purpose germane to the meeting, during ordinary business hours, for ten days prior to the meeting, at our offices located at 15 Joys Lane, Kingston, New York 12401, and also during the whole time of the meeting for inspection by any stockholder who is present. To contact us, stockholders should call (845) 802-7900.</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Summary Compensation Table</w:t>
      </w:r>
    </w:p>
    <w:p>
      <w:pPr>
        <w:spacing w:after="0" w:line="23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sets forth certain information concerning the compensation for the fiscal years ended December 31, 2021 and 2020, for certain executive officers, including our Chief Executive Officer (collectively, the “Named Executive Officers”):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Name and Principal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00" w:type="dxa"/>
            <w:vAlign w:val="bottom"/>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Awards(1)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Awards(1)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8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1,386,500(2)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0"/>
              </w:rPr>
              <w:t>34,935(6)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1,921,435</w:t>
            </w:r>
          </w:p>
        </w:tc>
        <w:tc>
          <w:tcPr>
            <w:tcW w:w="60" w:type="dxa"/>
            <w:vAlign w:val="bottom"/>
            <w:shd w:val="clear" w:color="auto" w:fill="CCEEFF"/>
          </w:tcPr>
          <w:p>
            <w:pPr>
              <w:spacing w:after="0"/>
              <w:rPr>
                <w:sz w:val="18"/>
                <w:szCs w:val="18"/>
                <w:color w:val="auto"/>
              </w:rPr>
            </w:pPr>
          </w:p>
        </w:tc>
      </w:tr>
      <w:tr>
        <w:trPr>
          <w:trHeight w:val="198"/>
        </w:trPr>
        <w:tc>
          <w:tcPr>
            <w:tcW w:w="15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Chief Executive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Board</w:t>
            </w:r>
          </w:p>
        </w:tc>
        <w:tc>
          <w:tcPr>
            <w:tcW w:w="8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1,386,500(3)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32,609(7)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1,919,109</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211,020(4)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23,600(8)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734,620</w:t>
            </w:r>
          </w:p>
        </w:tc>
      </w:tr>
      <w:tr>
        <w:trPr>
          <w:trHeight w:val="198"/>
        </w:trPr>
        <w:tc>
          <w:tcPr>
            <w:tcW w:w="15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Chief Operating</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Kingstone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8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23,400(9)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597,046</w:t>
            </w:r>
          </w:p>
        </w:tc>
      </w:tr>
      <w:tr>
        <w:trPr>
          <w:trHeight w:val="216"/>
        </w:trPr>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267,515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36,520(5)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6,588(10)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350,623</w:t>
            </w:r>
          </w:p>
        </w:tc>
      </w:tr>
      <w:tr>
        <w:trPr>
          <w:trHeight w:val="198"/>
        </w:trPr>
        <w:tc>
          <w:tcPr>
            <w:tcW w:w="1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Chief Actuary,</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Kingstone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702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215" w:lineRule="exact"/>
        <w:rPr>
          <w:sz w:val="20"/>
          <w:szCs w:val="20"/>
          <w:color w:val="auto"/>
        </w:rPr>
      </w:pPr>
    </w:p>
    <w:p>
      <w:pPr>
        <w:jc w:val="both"/>
        <w:ind w:left="880" w:hanging="545"/>
        <w:spacing w:after="0" w:line="261"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2021 available electronically to our stockholders.</w:t>
      </w:r>
    </w:p>
    <w:p>
      <w:pPr>
        <w:spacing w:after="0" w:line="179" w:lineRule="exact"/>
        <w:rPr>
          <w:rFonts w:ascii="Times New Roman" w:cs="Times New Roman" w:eastAsia="Times New Roman" w:hAnsi="Times New Roman"/>
          <w:sz w:val="18"/>
          <w:szCs w:val="18"/>
          <w:color w:val="auto"/>
        </w:rPr>
      </w:pPr>
    </w:p>
    <w:p>
      <w:pPr>
        <w:jc w:val="both"/>
        <w:ind w:left="880" w:hanging="545"/>
        <w:spacing w:after="0" w:line="258"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Mr. Goldstein was granted an aggregate of 251,769 shares of restricted common stock under our Amended and Restated 2014 Equity Participation Plan (the “2014 Plan”). Such grant vested to the extent of 125,885 shares as of the first anniversary of the date of grant and vests to the extent of 62,942 shares as of December 29, 2023 and 62,942 shares as of December 30, 2024. See “Termination of Employment and Change-in-Control Arrangements – Barry B. Goldstein” below for a discussion of certain provisions relating to the restricted stock granted to Mr. Goldstein.</w:t>
      </w:r>
    </w:p>
    <w:p>
      <w:pPr>
        <w:spacing w:after="0" w:line="183" w:lineRule="exact"/>
        <w:rPr>
          <w:rFonts w:ascii="Times New Roman" w:cs="Times New Roman" w:eastAsia="Times New Roman" w:hAnsi="Times New Roman"/>
          <w:sz w:val="18"/>
          <w:szCs w:val="18"/>
          <w:color w:val="auto"/>
        </w:rPr>
      </w:pPr>
    </w:p>
    <w:p>
      <w:pPr>
        <w:jc w:val="both"/>
        <w:ind w:left="880" w:hanging="545"/>
        <w:spacing w:after="0" w:line="258"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Mr. Goldstein was granted an aggregate of 174,622 shares of restricted common stock under the 2014 Plan. Such grant vested to the extent of 58,208 shares as of the first anniversary of the date of grant and 58,207 shares as of the second anniversary of the date of grant and vests to the extent of 29,104 shares as of December 29, 2023 and 29,103 shares as of December 30, 2024. See “Termination of Employment and Change-in-Control Arrangements – Barry B. Goldstein” below for a discussion of certain provisions relating to the restricted stock granted to Mr. Goldstein.</w:t>
      </w:r>
    </w:p>
    <w:p>
      <w:pPr>
        <w:spacing w:after="0" w:line="183" w:lineRule="exact"/>
        <w:rPr>
          <w:rFonts w:ascii="Times New Roman" w:cs="Times New Roman" w:eastAsia="Times New Roman" w:hAnsi="Times New Roman"/>
          <w:sz w:val="18"/>
          <w:szCs w:val="18"/>
          <w:color w:val="auto"/>
        </w:rPr>
      </w:pPr>
    </w:p>
    <w:p>
      <w:pPr>
        <w:jc w:val="both"/>
        <w:ind w:left="880" w:hanging="545"/>
        <w:spacing w:after="0" w:line="256"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Ms. Golden was granted 30,000 shares of restricted common stock under the 2014 Plan. Such grant vested to the extent of 10,000 shares as of the first anniversary of the date of grant and vests to the extent of 10,000 shares as of each of the second and third anniversaries of the date of grant. In addition, in December 2021, Ms. Golden was granted 2,400 shares of restricted stock under the 2014 Plan. Such grant vests to the extent of 800 shares as of each of the first, second and third anniversaries of the date of grant. See “Termination of Employment and Change-in-Control Arrangements – Meryl Golden” below for a discussion of certain provisions relating to the restricted stock granted to Ms. Golden.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both"/>
        <w:ind w:left="880" w:hanging="545"/>
        <w:spacing w:after="0" w:line="256"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Ms. Chen was granted 3,572 shares of restricted common stock under the 2014 Plan. Such grant vested to the extent of 1,191 shares as of the first anniversary of the date of grant and vests to the extent of 1,191 and 1,190 shares as of the second and third anniversaries of the date of grant, respectively. In addition, in December 2021, Ms. Chen was granted 2,400 shares of restricted stock under the 2014 Plan. Such grant vests to the extent of 800 shares as of each of the first, second and third anniversaries of the date of grant. See “Termination of Employment and Change-in-Control Arrangements – Sarah (Minlei) Chen” below for a discussion of certain provisions relating to the restricted stock granted to Ms. Chen.</w:t>
      </w:r>
    </w:p>
    <w:p>
      <w:pPr>
        <w:spacing w:after="0" w:line="187" w:lineRule="exact"/>
        <w:rPr>
          <w:rFonts w:ascii="Times New Roman" w:cs="Times New Roman" w:eastAsia="Times New Roman" w:hAnsi="Times New Roman"/>
          <w:sz w:val="18"/>
          <w:szCs w:val="18"/>
          <w:color w:val="auto"/>
        </w:rPr>
      </w:pPr>
    </w:p>
    <w:p>
      <w:pPr>
        <w:ind w:left="880" w:hanging="545"/>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deferred compensation plan of $11,335, employer matching contributions under our defined contribution plan of $11,600 and a car allowance of $12,000.</w:t>
      </w:r>
    </w:p>
    <w:p>
      <w:pPr>
        <w:spacing w:after="0" w:line="161" w:lineRule="exact"/>
        <w:rPr>
          <w:rFonts w:ascii="Times New Roman" w:cs="Times New Roman" w:eastAsia="Times New Roman" w:hAnsi="Times New Roman"/>
          <w:sz w:val="18"/>
          <w:szCs w:val="18"/>
          <w:color w:val="auto"/>
        </w:rPr>
      </w:pPr>
    </w:p>
    <w:p>
      <w:pPr>
        <w:ind w:left="880" w:hanging="545"/>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deferred compensation plan of $11,909, employer matching contributions under our defined contribution plan of $8,700 and a car allowance of $12,000.</w:t>
      </w:r>
    </w:p>
    <w:p>
      <w:pPr>
        <w:spacing w:after="0" w:line="161"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$11,600 and a car allowance of $12,000.</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 of $11,400 and a car allowance of $12,000.</w:t>
      </w:r>
    </w:p>
    <w:p>
      <w:pPr>
        <w:spacing w:after="0" w:line="225" w:lineRule="exact"/>
        <w:rPr>
          <w:sz w:val="20"/>
          <w:szCs w:val="20"/>
          <w:color w:val="auto"/>
        </w:rPr>
      </w:pPr>
    </w:p>
    <w:p>
      <w:pPr>
        <w:ind w:left="880" w:hanging="59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employer matching contributions under our defined contribution plan.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Employment Contracts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Barry B. Goldstein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Employment Agreement effective as of January 1, 2020</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October 14, 2019, we entered into a second amended and restated employment agreement with Mr. Goldstein which took effect as of January 1, 2020 and expires on December 31, 2022 (the “Second Amended Goldstein Employment Agreement”).</w:t>
      </w:r>
    </w:p>
    <w:p>
      <w:pPr>
        <w:spacing w:after="0" w:line="20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Pursuant to the Second Amended Goldstein Employment Agreement, Mr. Goldstein is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payment of between $945,000 and $2,835,000 based on a specified minimum increase in our adjusted book value per share (as defined in the Second Amended Goldstein Employment Agreement) as of December 31, 2022 as compared to December 31, 2019 (with the maximum LTC payment being due if the average per annum increase is at least 14%). Pursuant to the Third Amended Goldstein Employment Agreement (discussed below), Mr. Goldstein relinquished the right to receive the LTC. Pursuant to the Second Amended Goldstein Employment Agreement, Mr. Goldstein received a grant, under the terms of the 2014 Plan, during January 2020, of a number of shares of restricted stock determined by dividing $1,250,000 by the fair market value of our common stock on the date of grant. The January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Also pursuant to the Second Amended Goldstein Employment Agreement, Mr. Goldstein received a grant, under the terms of the 2014 Plan, during January 2021, of a number of shares of restricted stock determined by dividing $1,500,000 by the fair market value of our common stock on the date of grant. The January 2021 grant vested with respect to one-half of the award on the first anniversary of the grant date and will vest with respect to one-fourth of the award on each of December 29, 2023 and December 30, 2024, based on the continued provision of services through such dates. Further, pursuant to the Second Amended Goldstein Employment Agreement, Mr. Goldstein received in 2020, 2021 and 2022 a grant, under the terms of the 2014 Plan, of a number of shares of restricted stock determined by dividing $136,500 by the fair market value of our common stock on the date of grant. The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The 2021 grant vested with respect to one-half of the award on the first anniversary of the grant date and will vest with respect to one-fourth of the award on each of December 29, 2023 and December 30, 2024, based on the continued provision of services through such dates. The 2022 grant will vest with respect to one-half of the award on each of December 29, 2023 and December 30, 2024, based on the continued provision of services through such 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48"/>
        <w:spacing w:after="0"/>
        <w:rPr>
          <w:sz w:val="20"/>
          <w:szCs w:val="20"/>
          <w:color w:val="auto"/>
        </w:rPr>
      </w:pPr>
      <w:r>
        <w:rPr>
          <w:rFonts w:ascii="Times New Roman" w:cs="Times New Roman" w:eastAsia="Times New Roman" w:hAnsi="Times New Roman"/>
          <w:sz w:val="22"/>
          <w:szCs w:val="22"/>
          <w:color w:val="auto"/>
        </w:rPr>
        <w:t>See “Termination of Employment and Change-in-Control Arrangements – Barry B. Goldstein” below for a discussion of the provisions of the Second Amended Goldstein Employment Agreement and the Third Amended Goldstein Employment Agreement with regard to payments due and the acceleration of stock grants in the event of the termination of Mr. Goldstein’s employment under certain circumstances and/or in the event of a change in control.</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Employment Agreement effective as of January 1, 2023</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On June 27, 2022, we entered into a third amended and restated employment agreement with Mr. Goldstein which takes effect as of January 1, 2023, and expires on December 31, 2024 (the “Third Amended Goldstein Employment Agreement”).</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Pursuant to the Third Amended Goldstein Employment Agreement, Mr. Goldstein is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his base salary.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22"/>
          <w:szCs w:val="22"/>
          <w:i w:val="1"/>
          <w:iCs w:val="1"/>
          <w:color w:val="auto"/>
        </w:rPr>
        <w:t>Meryl S. Golden</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Employment Agreement effective as of January 1, 2021</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We and Ms. Golden are parties to an amended and restated employment agreement dated as of December 24, 2020 (the “Amended Golden Employment Agreement”). Pursuant to the Amended Golden Employment Agreement, which expires on December 31, 2022, Ms. Golden serves as our Chief Operating Officer and is entitled to receive an annual base salary of $500,000. In addition, pursuant to the Amended Golden Employment Agreement and the 2014 Plan, in September 2019, Ms. Golden was granted an option to purchase 50,000 shares of common stock which has vested to the extent of 12,500 shares on each of the date of grant and each of the first and second anniversaries of the date of grant and will vest to the extent of 12,500 shares on the third anniversary of the date of grant. Further, pursuant to the Amended Golden Employment Agreement and the 2014 Plan, in each of January 2021 and January 2022, Ms. Golden was granted 30,000 shares of restricted stock. The 2021 grant vested to the extent of 10,000 on the first anniversary of the date of grant and will vest to the extent of 10,000 shares on each of the second and third anniversaries of the date of grant. The 2022 grant will vest to the extent of 10,000 shares on each of the first, second and third anniversaries of the date of grant.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Employment Agreement effective as of January 1, 2023</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On June 27, 2022, we entered into a second amended and restated employment agreement with Ms. Golden which takes effect as of January 1, 2023, and expires on December 31, 2024 (the “Second Amended Golden Employment Agreement”).</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Pursuant to the Second Amended Golden Employment Agreement, Ms. Golden is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is entitled to receive a grant, under the terms of the 2014 Plan, during each of January 2023 and January 2024, under certain circumstances, of a number of shares of restricted stock determined by dividing $136,500 by the fair market value of our common stock on the date of grant.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we are precluded from making a grant in 2023 or 2024, then instead Ms. Golden shall be entitled to receive a cash bonus of $136,500 for such year.</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See “Termination of Employment and Change-in-Control Arrangements – Meryl S. Golden” below for a discussion of the provisions of the Amended Golden Employment Agreement and the Second Amended Golden Employment Agreement with regard to payments due and the acceleration of stock awards in the event of the termination of Ms. Golden’s employment under certain circumstances and/or in the event of a change in control.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Outstanding Equity Awards At Fiscal Year-End</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sets forth certain information concerning exercisable and unexercisable stock options and unvested stock grants held by the Named Executive Officers as of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Market or</w:t>
            </w: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 Have</w:t>
            </w: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0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368,183(1)</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1,840,915</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4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37,500</w:t>
            </w: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12,500(2)  $</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9/25/24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32,400(3)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22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8,836(4)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w w:val="99"/>
              </w:rPr>
              <w:t>____________________</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5" w:lineRule="exact"/>
        <w:rPr>
          <w:sz w:val="20"/>
          <w:szCs w:val="20"/>
          <w:color w:val="auto"/>
        </w:rPr>
      </w:pPr>
    </w:p>
    <w:p>
      <w:pPr>
        <w:ind w:left="860" w:right="20" w:hanging="532"/>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vested to the extent of 58,207 shares on January 3, 2022, and 125,885 shares on January 4, 2022, and will vest to the extent of 92,046 shares on December 29, 2023 and 92,045 shares on December 30, 2024.</w:t>
      </w:r>
    </w:p>
    <w:p>
      <w:pPr>
        <w:spacing w:after="0" w:line="161" w:lineRule="exact"/>
        <w:rPr>
          <w:rFonts w:ascii="Times New Roman" w:cs="Times New Roman" w:eastAsia="Times New Roman" w:hAnsi="Times New Roman"/>
          <w:sz w:val="18"/>
          <w:szCs w:val="18"/>
          <w:color w:val="auto"/>
        </w:rPr>
      </w:pPr>
    </w:p>
    <w:p>
      <w:pPr>
        <w:ind w:left="860" w:hanging="532"/>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is exercisable on September 25, 2022.</w:t>
      </w:r>
    </w:p>
    <w:p>
      <w:pPr>
        <w:spacing w:after="0" w:line="225" w:lineRule="exact"/>
        <w:rPr>
          <w:rFonts w:ascii="Times New Roman" w:cs="Times New Roman" w:eastAsia="Times New Roman" w:hAnsi="Times New Roman"/>
          <w:sz w:val="18"/>
          <w:szCs w:val="18"/>
          <w:color w:val="auto"/>
        </w:rPr>
      </w:pPr>
    </w:p>
    <w:p>
      <w:pPr>
        <w:ind w:left="860" w:hanging="532"/>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vested to the extent of 10,000 shares on January 4, 2022, and will vest to the extent of 10,000 shares on each of January 4, 2023 and 2024 and 800 shares on each of December 13, 2022, 2023 and 2024.</w:t>
      </w:r>
    </w:p>
    <w:p>
      <w:pPr>
        <w:spacing w:after="0" w:line="161" w:lineRule="exact"/>
        <w:rPr>
          <w:rFonts w:ascii="Times New Roman" w:cs="Times New Roman" w:eastAsia="Times New Roman" w:hAnsi="Times New Roman"/>
          <w:sz w:val="18"/>
          <w:szCs w:val="18"/>
          <w:color w:val="auto"/>
        </w:rPr>
      </w:pPr>
    </w:p>
    <w:p>
      <w:pPr>
        <w:ind w:left="860" w:hanging="532"/>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vested to the extent of 1,191 shares on January 28, 2022, and will vest to the extent of 1,432 shares on each of November 2, 2022 and 2023, 1,191 shares on January 28, 2023, 1,190 shares on January 28, 2024, and 800 shares on each of December 13, 2022, 2023 and 2024.</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Employment and Change-in-Control Arrangements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Barry B. Goldstein</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Pursuant to each of the Second Amended Goldstein Employment Agreement and the Third Amended Goldstein Employment Agreement, in the event that Mr. Goldstein’s employment is terminated by us without cause, or he resigns for good reason (each as defined in each such employment agreement), Mr. Goldstein would be entitled to receive his annual base salary and bonus for the remainder of the term. In addition, in the event that Mr. Goldstein’s employment is terminated by us without cause (or by us for any reason after December 31, 2022), or he resigns for good reason, or, in the event of the termination of Mr. Goldstein’s employment due to disability or death, Mr. Goldstein’s granted but unvested restricted stock awards will vest.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Pursuant to the Second Amended Goldstein Employment Agreement, Mr. Goldstein would be entitled to receive, under certain circumstances, a payment equal to 3.82 times his then annual base salary and his accrued bonus in the event of the termination of his employment within eighteen months following a change of control of our company.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our company In addition, pursuant to the 2014 Plan, Mr. Goldstein’s unvested restricted stock awards will vest in the event of a change of control of our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Meryl S. Golden</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Pursuant to the Amended Golden Employment Agreement, in the event that Ms. Golden’s employment is terminated by us without cause, or she resigns for good reason (each as defined in the Amended Golden Employment Agreement), Ms. Golden would be entitled to receive her annual base salary for the remainder of the term or for twelve months, whichever is sooner. Pursuant to the Second Amended Golden Employment Agreement, such period would be the remainder of the term or for twelve months, whichever is later. In addition, pursuant to the 2014 Plan, in the event of a termination of employment due to the death or disability of Ms. Golden, the option and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Ms. Golden would be entitled to receive, under certain circumstances, a payment equal to 1.5 times her then annual base salary (and her accrued bonus pursuant to the Second Amended Golden Employment Agreement) in the event of the termination of her employment within eighteen months following a change in control of our company. In addition, pursuant to the 2014 Plan, Ms. Golden’s outstanding stock options and restricted stock awards will vest in the event of a change of control of our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Sarah (Minlei) Chen</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2014 Plan, in the event of a termination of employment due to the death or disability of Ms. Chen, the stock grants scheduled to vest on the next vesting date following such event shall vest under certain circumstances notwithstanding such event. In addition, pursuant to the 2014 Plan, Ms. Chen’s outstanding restricted stock awards will vest in the event of a change of control of our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3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sets forth certain information concerning the compensation of our non-employee directors for the fiscal year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Awards(1)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118,000</w:t>
            </w:r>
          </w:p>
        </w:tc>
      </w:tr>
      <w:tr>
        <w:trPr>
          <w:trHeight w:val="189"/>
        </w:trPr>
        <w:tc>
          <w:tcPr>
            <w:tcW w:w="5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Timothy P. McFadden</w:t>
            </w: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78,000</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40,000</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118,000</w:t>
            </w:r>
          </w:p>
        </w:tc>
      </w:tr>
      <w:tr>
        <w:trPr>
          <w:trHeight w:val="282"/>
        </w:trPr>
        <w:tc>
          <w:tcPr>
            <w:tcW w:w="598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3" w:lineRule="exact"/>
        <w:rPr>
          <w:sz w:val="20"/>
          <w:szCs w:val="20"/>
          <w:color w:val="auto"/>
        </w:rPr>
      </w:pPr>
    </w:p>
    <w:p>
      <w:pPr>
        <w:jc w:val="both"/>
        <w:ind w:left="880" w:hanging="545"/>
        <w:spacing w:after="0" w:line="261"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2021, available electronically to our shareholders.</w:t>
      </w:r>
    </w:p>
    <w:p>
      <w:pPr>
        <w:spacing w:after="0" w:line="19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The aggregate number of unvested restricted stock awards outstanding as of fiscal year end for each non-employee director is as follows:</w:t>
      </w: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5860" w:type="dxa"/>
            <w:vAlign w:val="bottom"/>
          </w:tcPr>
          <w:p>
            <w:pPr>
              <w:jc w:val="center"/>
              <w:ind w:left="3610"/>
              <w:spacing w:after="0" w:line="193" w:lineRule="exact"/>
              <w:rPr>
                <w:sz w:val="20"/>
                <w:szCs w:val="20"/>
                <w:color w:val="auto"/>
              </w:rPr>
            </w:pPr>
            <w:r>
              <w:rPr>
                <w:rFonts w:ascii="Times New Roman" w:cs="Times New Roman" w:eastAsia="Times New Roman" w:hAnsi="Times New Roman"/>
                <w:sz w:val="18"/>
                <w:szCs w:val="18"/>
                <w:b w:val="1"/>
                <w:bCs w:val="1"/>
                <w:color w:val="auto"/>
                <w:w w:val="99"/>
              </w:rPr>
              <w:t>Unvested Restricted Stock</w:t>
            </w:r>
          </w:p>
        </w:tc>
      </w:tr>
      <w:tr>
        <w:trPr>
          <w:trHeight w:val="245"/>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60" w:type="dxa"/>
            <w:vAlign w:val="bottom"/>
            <w:tcBorders>
              <w:bottom w:val="single" w:sz="8" w:color="auto"/>
            </w:tcBorders>
          </w:tcPr>
          <w:p>
            <w:pPr>
              <w:jc w:val="center"/>
              <w:ind w:left="3610"/>
              <w:spacing w:after="0"/>
              <w:rPr>
                <w:sz w:val="20"/>
                <w:szCs w:val="20"/>
                <w:color w:val="auto"/>
              </w:rPr>
            </w:pPr>
            <w:r>
              <w:rPr>
                <w:rFonts w:ascii="Times New Roman" w:cs="Times New Roman" w:eastAsia="Times New Roman" w:hAnsi="Times New Roman"/>
                <w:sz w:val="18"/>
                <w:szCs w:val="18"/>
                <w:b w:val="1"/>
                <w:bCs w:val="1"/>
                <w:color w:val="auto"/>
                <w:w w:val="98"/>
              </w:rPr>
              <w:t>Awards (#)</w:t>
            </w:r>
          </w:p>
        </w:tc>
      </w:tr>
      <w:tr>
        <w:trPr>
          <w:trHeight w:val="216"/>
        </w:trPr>
        <w:tc>
          <w:tcPr>
            <w:tcW w:w="538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16"/>
        </w:trPr>
        <w:tc>
          <w:tcPr>
            <w:tcW w:w="5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5860" w:type="dxa"/>
            <w:vAlign w:val="bottom"/>
            <w:shd w:val="clear" w:color="auto" w:fill="CCECFF"/>
          </w:tcPr>
          <w:p>
            <w:pPr>
              <w:jc w:val="center"/>
              <w:ind w:left="3610"/>
              <w:spacing w:after="0"/>
              <w:rPr>
                <w:sz w:val="20"/>
                <w:szCs w:val="20"/>
                <w:color w:val="auto"/>
              </w:rPr>
            </w:pPr>
            <w:r>
              <w:rPr>
                <w:rFonts w:ascii="Times New Roman" w:cs="Times New Roman" w:eastAsia="Times New Roman" w:hAnsi="Times New Roman"/>
                <w:sz w:val="18"/>
                <w:szCs w:val="18"/>
                <w:color w:val="auto"/>
                <w:w w:val="98"/>
              </w:rPr>
              <w:t>6,154</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586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auto"/>
                <w:w w:val="98"/>
              </w:rPr>
              <w:t>6,154</w:t>
            </w:r>
          </w:p>
        </w:tc>
      </w:tr>
      <w:tr>
        <w:trPr>
          <w:trHeight w:val="216"/>
        </w:trPr>
        <w:tc>
          <w:tcPr>
            <w:tcW w:w="5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5860" w:type="dxa"/>
            <w:vAlign w:val="bottom"/>
            <w:shd w:val="clear" w:color="auto" w:fill="CCECFF"/>
          </w:tcPr>
          <w:p>
            <w:pPr>
              <w:jc w:val="center"/>
              <w:ind w:left="3610"/>
              <w:spacing w:after="0"/>
              <w:rPr>
                <w:sz w:val="20"/>
                <w:szCs w:val="20"/>
                <w:color w:val="auto"/>
              </w:rPr>
            </w:pPr>
            <w:r>
              <w:rPr>
                <w:rFonts w:ascii="Times New Roman" w:cs="Times New Roman" w:eastAsia="Times New Roman" w:hAnsi="Times New Roman"/>
                <w:sz w:val="18"/>
                <w:szCs w:val="18"/>
                <w:color w:val="auto"/>
                <w:w w:val="98"/>
              </w:rPr>
              <w:t>6,154</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5860" w:type="dxa"/>
            <w:vAlign w:val="bottom"/>
          </w:tcPr>
          <w:p>
            <w:pPr>
              <w:jc w:val="center"/>
              <w:ind w:left="3610"/>
              <w:spacing w:after="0"/>
              <w:rPr>
                <w:sz w:val="20"/>
                <w:szCs w:val="20"/>
                <w:color w:val="auto"/>
              </w:rPr>
            </w:pPr>
            <w:r>
              <w:rPr>
                <w:rFonts w:ascii="Times New Roman" w:cs="Times New Roman" w:eastAsia="Times New Roman" w:hAnsi="Times New Roman"/>
                <w:sz w:val="18"/>
                <w:szCs w:val="18"/>
                <w:color w:val="auto"/>
                <w:w w:val="98"/>
              </w:rPr>
              <w:t>6,154</w:t>
            </w: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non-employee directors are entitled to receive annual compensation for their services as directors as follows:</w:t>
      </w:r>
    </w:p>
    <w:p>
      <w:pPr>
        <w:spacing w:after="0" w:line="242" w:lineRule="exact"/>
        <w:rPr>
          <w:sz w:val="20"/>
          <w:szCs w:val="20"/>
          <w:color w:val="auto"/>
        </w:rPr>
      </w:pPr>
    </w:p>
    <w:p>
      <w:pPr>
        <w:ind w:left="880" w:hanging="494"/>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$63,000;</w:t>
      </w:r>
    </w:p>
    <w:p>
      <w:pPr>
        <w:spacing w:after="0" w:line="225"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for service as audit committee chair, an additional $20,000 for service as compensation committee chair, an additional $10,000 for service as investment committee chair, and an additional $15,000 for service as chair of other committees; and</w:t>
      </w:r>
    </w:p>
    <w:p>
      <w:pPr>
        <w:spacing w:after="0" w:line="161" w:lineRule="exact"/>
        <w:rPr>
          <w:rFonts w:ascii="Times New Roman" w:cs="Times New Roman" w:eastAsia="Times New Roman" w:hAnsi="Times New Roman"/>
          <w:sz w:val="18"/>
          <w:szCs w:val="18"/>
          <w:color w:val="auto"/>
        </w:rPr>
      </w:pPr>
    </w:p>
    <w:p>
      <w:pPr>
        <w:ind w:left="880" w:right="20" w:hanging="494"/>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of our common stock determined by the closing stock price on the first business day of the year, which vest on the first anniversary of the grant date.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OWNERS AND MANAGEMENT</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following table sets forth certain information as of June 17, 2022,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Approximate</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45"/>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Beneficial Owner</w:t>
            </w: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Barry B. Goldstein</w:t>
            </w: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 Joys Lane</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Kingston, New York</w:t>
            </w:r>
          </w:p>
        </w:tc>
        <w:tc>
          <w:tcPr>
            <w:tcW w:w="20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832,076(1)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20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79,576(2)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20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47,500(3)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20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29,945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A. D’Andre</w:t>
            </w:r>
          </w:p>
        </w:tc>
        <w:tc>
          <w:tcPr>
            <w:tcW w:w="20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28,095(4)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McFadden</w:t>
            </w:r>
          </w:p>
        </w:tc>
        <w:tc>
          <w:tcPr>
            <w:tcW w:w="20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27,740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20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1,578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TCW Group, Inc.</w:t>
            </w: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behalf of the TCW Business Unit</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865 South Figueroa Street</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California</w:t>
            </w:r>
          </w:p>
        </w:tc>
        <w:tc>
          <w:tcPr>
            <w:tcW w:w="20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743,903(5)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Doak</w:t>
            </w: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Griffin Highline Capital LLC</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4514 Cole Avenue</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20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595,238(6)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Punch &amp; Associates</w:t>
            </w: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Management, Inc.</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7701 France Avenue South, Suite 300</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Edina, Minnesota</w:t>
            </w:r>
          </w:p>
        </w:tc>
        <w:tc>
          <w:tcPr>
            <w:tcW w:w="20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584,000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w:t>
            </w: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directors as a group</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 persons)</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1,046,510(1)(2)(3)(4)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7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bl>
    <w:p>
      <w:pPr>
        <w:spacing w:after="0" w:line="216"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1%.</w:t>
      </w:r>
    </w:p>
    <w:p>
      <w:pPr>
        <w:spacing w:after="0" w:line="242" w:lineRule="exact"/>
        <w:rPr>
          <w:rFonts w:ascii="Times New Roman" w:cs="Times New Roman" w:eastAsia="Times New Roman" w:hAnsi="Times New Roman"/>
          <w:sz w:val="22"/>
          <w:szCs w:val="22"/>
          <w:color w:val="auto"/>
        </w:rPr>
      </w:pPr>
    </w:p>
    <w:p>
      <w:pPr>
        <w:jc w:val="both"/>
        <w:ind w:left="860" w:hanging="532"/>
        <w:spacing w:after="0" w:line="258" w:lineRule="auto"/>
        <w:tabs>
          <w:tab w:leader="none" w:pos="8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758,908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183" w:lineRule="exact"/>
        <w:rPr>
          <w:rFonts w:ascii="Times New Roman" w:cs="Times New Roman" w:eastAsia="Times New Roman" w:hAnsi="Times New Roman"/>
          <w:sz w:val="18"/>
          <w:szCs w:val="18"/>
          <w:color w:val="auto"/>
        </w:rPr>
      </w:pPr>
    </w:p>
    <w:p>
      <w:pPr>
        <w:jc w:val="both"/>
        <w:ind w:left="860" w:hanging="532"/>
        <w:spacing w:after="0" w:line="258" w:lineRule="auto"/>
        <w:tabs>
          <w:tab w:leader="none" w:pos="8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32,395 shares owned by Mr. Tupper’s wife (ii) 6,675 shares held in a retirement trust for the benefit of Mr. Tupper and (iii) 810 shares held in a retirement trust for the benefit of Mr. Tupper’s wife. Mr. Tupper has sole voting and dispositive power over 46,371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ectPr>
          <w:pgSz w:w="11900" w:h="16838" w:orient="portrait"/>
          <w:cols w:equalWidth="0" w:num="1">
            <w:col w:w="11240"/>
          </w:cols>
          <w:pgMar w:left="320" w:top="108"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 w:name="page14"/>
    <w:bookmarkEnd w:id="13"/>
    <w:p>
      <w:pPr>
        <w:ind w:left="860" w:hanging="532"/>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37,500 shares issuable upon the exercise of options that are exercisable currently.</w:t>
      </w:r>
    </w:p>
    <w:p>
      <w:pPr>
        <w:spacing w:after="0" w:line="225" w:lineRule="exact"/>
        <w:rPr>
          <w:rFonts w:ascii="Times New Roman" w:cs="Times New Roman" w:eastAsia="Times New Roman" w:hAnsi="Times New Roman"/>
          <w:sz w:val="18"/>
          <w:szCs w:val="18"/>
          <w:color w:val="auto"/>
        </w:rPr>
      </w:pPr>
    </w:p>
    <w:p>
      <w:pPr>
        <w:jc w:val="both"/>
        <w:ind w:left="860" w:hanging="532"/>
        <w:spacing w:after="0" w:line="258"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1,400 shares held in a retirement trust for the benefit of Ms. D’Andre and (ii) 10,000 shares held in a retirement trust for the benefit of Ms. D’Andre’s husband. Ms. D’Andre has sole voting and dispositive power over 18,095 shares of common stock and shared voting and dispositive power over 10,000 shares of common stock. The inclusion of the shares owned by the retirement trust for the benefit of Ms. D’Andre’s husband shall not be construed as an admission that Ms. D’Andre is, for purposes of Section 13(d) or 13(g) of the Exchange Act, the beneficial owner of such shares.</w:t>
      </w:r>
    </w:p>
    <w:p>
      <w:pPr>
        <w:spacing w:after="0" w:line="183" w:lineRule="exact"/>
        <w:rPr>
          <w:rFonts w:ascii="Times New Roman" w:cs="Times New Roman" w:eastAsia="Times New Roman" w:hAnsi="Times New Roman"/>
          <w:sz w:val="18"/>
          <w:szCs w:val="18"/>
          <w:color w:val="auto"/>
        </w:rPr>
      </w:pPr>
    </w:p>
    <w:p>
      <w:pPr>
        <w:jc w:val="both"/>
        <w:ind w:left="860" w:hanging="532"/>
        <w:spacing w:after="0" w:line="266"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The TCW Group, Inc. on behalf of the TCW Business Unit is based solely on Amendment No. 2 to Schedule 13G filed by such reporting person with the SEC on February 9, 2022 (the “TCW 13G/A”). According to the TCW 13G/A, such reporting person has shared voting and dispositive power over the 743,903 shares of common stock.</w:t>
      </w:r>
    </w:p>
    <w:p>
      <w:pPr>
        <w:spacing w:after="0" w:line="175" w:lineRule="exact"/>
        <w:rPr>
          <w:rFonts w:ascii="Times New Roman" w:cs="Times New Roman" w:eastAsia="Times New Roman" w:hAnsi="Times New Roman"/>
          <w:sz w:val="18"/>
          <w:szCs w:val="18"/>
          <w:color w:val="auto"/>
        </w:rPr>
      </w:pPr>
    </w:p>
    <w:p>
      <w:pPr>
        <w:jc w:val="both"/>
        <w:ind w:left="860" w:hanging="532"/>
        <w:spacing w:after="0" w:line="266"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regarding Michael Doak (“Doak”) and Griffin Highline Capital LLC (“Griffin”) is based solely on Amendment No. 2 to Schedule 13D filed by such reporting persons with the SEC on May 4, 2022 (the “Doak/Griffin 13D/A”). According to the Doak/Griffin 13D/A, each of Doak and Griffin has shared voting and dispositive power over the 595,238 shares of common stock.</w:t>
      </w:r>
    </w:p>
    <w:p>
      <w:pPr>
        <w:spacing w:after="0" w:line="3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Securities Authorized for Issuance Under Equity Compensation Plans</w:t>
      </w:r>
    </w:p>
    <w:p>
      <w:pPr>
        <w:spacing w:after="0" w:line="21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sets forth information as of December 31, 2021, with respect to compensation plans (including individual compensation arrangements) under which our common stock is authorized for issuance, aggregated as follows:</w:t>
      </w:r>
    </w:p>
    <w:p>
      <w:pPr>
        <w:spacing w:after="0" w:line="194" w:lineRule="exact"/>
        <w:rPr>
          <w:sz w:val="20"/>
          <w:szCs w:val="20"/>
          <w:color w:val="auto"/>
        </w:rPr>
      </w:pPr>
    </w:p>
    <w:p>
      <w:pPr>
        <w:ind w:left="880" w:hanging="49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plans previously approved by security holders; and</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compensation plans not previously approved by security holders.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5720" w:type="dxa"/>
            <w:vAlign w:val="bottom"/>
          </w:tcPr>
          <w:p>
            <w:pPr>
              <w:spacing w:after="0"/>
              <w:rPr>
                <w:sz w:val="18"/>
                <w:szCs w:val="18"/>
                <w:color w:val="auto"/>
              </w:rPr>
            </w:pPr>
          </w:p>
        </w:tc>
        <w:tc>
          <w:tcPr>
            <w:tcW w:w="25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720" w:type="dxa"/>
            <w:vAlign w:val="bottom"/>
          </w:tcPr>
          <w:p>
            <w:pPr>
              <w:spacing w:after="0"/>
              <w:rPr>
                <w:sz w:val="18"/>
                <w:szCs w:val="18"/>
                <w:color w:val="auto"/>
              </w:rPr>
            </w:pPr>
          </w:p>
        </w:tc>
        <w:tc>
          <w:tcPr>
            <w:tcW w:w="25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4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for future</w:t>
            </w:r>
          </w:p>
        </w:tc>
      </w:tr>
      <w:tr>
        <w:trPr>
          <w:trHeight w:val="216"/>
        </w:trPr>
        <w:tc>
          <w:tcPr>
            <w:tcW w:w="5720" w:type="dxa"/>
            <w:vAlign w:val="bottom"/>
          </w:tcPr>
          <w:p>
            <w:pPr>
              <w:spacing w:after="0"/>
              <w:rPr>
                <w:sz w:val="18"/>
                <w:szCs w:val="18"/>
                <w:color w:val="auto"/>
              </w:rPr>
            </w:pPr>
          </w:p>
        </w:tc>
        <w:tc>
          <w:tcPr>
            <w:tcW w:w="25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4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under</w:t>
            </w:r>
          </w:p>
        </w:tc>
      </w:tr>
      <w:tr>
        <w:trPr>
          <w:trHeight w:val="216"/>
        </w:trPr>
        <w:tc>
          <w:tcPr>
            <w:tcW w:w="5720" w:type="dxa"/>
            <w:vAlign w:val="bottom"/>
          </w:tcPr>
          <w:p>
            <w:pPr>
              <w:spacing w:after="0"/>
              <w:rPr>
                <w:sz w:val="18"/>
                <w:szCs w:val="18"/>
                <w:color w:val="auto"/>
              </w:rPr>
            </w:pPr>
          </w:p>
        </w:tc>
        <w:tc>
          <w:tcPr>
            <w:tcW w:w="25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5720" w:type="dxa"/>
            <w:vAlign w:val="bottom"/>
          </w:tcPr>
          <w:p>
            <w:pPr>
              <w:spacing w:after="0"/>
              <w:rPr>
                <w:sz w:val="18"/>
                <w:szCs w:val="18"/>
                <w:color w:val="auto"/>
              </w:rPr>
            </w:pPr>
          </w:p>
        </w:tc>
        <w:tc>
          <w:tcPr>
            <w:tcW w:w="25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720" w:type="dxa"/>
            <w:vAlign w:val="bottom"/>
          </w:tcPr>
          <w:p>
            <w:pPr>
              <w:spacing w:after="0"/>
              <w:rPr>
                <w:sz w:val="18"/>
                <w:szCs w:val="18"/>
                <w:color w:val="auto"/>
              </w:rPr>
            </w:pPr>
          </w:p>
        </w:tc>
        <w:tc>
          <w:tcPr>
            <w:tcW w:w="25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720" w:type="dxa"/>
            <w:vAlign w:val="bottom"/>
          </w:tcPr>
          <w:p>
            <w:pPr>
              <w:spacing w:after="0"/>
              <w:rPr>
                <w:sz w:val="18"/>
                <w:szCs w:val="18"/>
                <w:color w:val="auto"/>
              </w:rPr>
            </w:pPr>
          </w:p>
        </w:tc>
        <w:tc>
          <w:tcPr>
            <w:tcW w:w="25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r>
      <w:tr>
        <w:trPr>
          <w:trHeight w:val="216"/>
        </w:trPr>
        <w:tc>
          <w:tcPr>
            <w:tcW w:w="5720" w:type="dxa"/>
            <w:vAlign w:val="bottom"/>
          </w:tcPr>
          <w:p>
            <w:pPr>
              <w:spacing w:after="0"/>
              <w:rPr>
                <w:sz w:val="18"/>
                <w:szCs w:val="18"/>
                <w:color w:val="auto"/>
              </w:rPr>
            </w:pPr>
          </w:p>
        </w:tc>
        <w:tc>
          <w:tcPr>
            <w:tcW w:w="25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column (a))</w:t>
            </w:r>
          </w:p>
        </w:tc>
      </w:tr>
      <w:tr>
        <w:trPr>
          <w:trHeight w:val="238"/>
        </w:trPr>
        <w:tc>
          <w:tcPr>
            <w:tcW w:w="5720" w:type="dxa"/>
            <w:vAlign w:val="bottom"/>
          </w:tcPr>
          <w:p>
            <w:pPr>
              <w:spacing w:after="0"/>
              <w:rPr>
                <w:sz w:val="20"/>
                <w:szCs w:val="20"/>
                <w:color w:val="auto"/>
              </w:rPr>
            </w:pPr>
          </w:p>
        </w:tc>
        <w:tc>
          <w:tcPr>
            <w:tcW w:w="25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5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5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540" w:type="dxa"/>
            <w:vAlign w:val="bottom"/>
            <w:shd w:val="clear" w:color="auto" w:fill="CCECFF"/>
          </w:tcPr>
          <w:p>
            <w:pPr>
              <w:jc w:val="center"/>
              <w:ind w:left="1210"/>
              <w:spacing w:after="0"/>
              <w:rPr>
                <w:sz w:val="20"/>
                <w:szCs w:val="20"/>
                <w:color w:val="auto"/>
              </w:rPr>
            </w:pPr>
            <w:r>
              <w:rPr>
                <w:rFonts w:ascii="Times New Roman" w:cs="Times New Roman" w:eastAsia="Times New Roman" w:hAnsi="Times New Roman"/>
                <w:sz w:val="18"/>
                <w:szCs w:val="18"/>
                <w:color w:val="auto"/>
              </w:rPr>
              <w:t>107,201</w:t>
            </w:r>
          </w:p>
        </w:tc>
        <w:tc>
          <w:tcPr>
            <w:tcW w:w="1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$8.31</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1,069,305(1)</w:t>
            </w:r>
          </w:p>
        </w:tc>
      </w:tr>
      <w:tr>
        <w:trPr>
          <w:trHeight w:val="216"/>
        </w:trPr>
        <w:tc>
          <w:tcPr>
            <w:tcW w:w="5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5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540" w:type="dxa"/>
            <w:vAlign w:val="bottom"/>
            <w:shd w:val="clear" w:color="auto" w:fill="CCEC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5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shd w:val="clear" w:color="auto" w:fill="CCECFF"/>
          </w:tcPr>
          <w:p>
            <w:pPr>
              <w:jc w:val="center"/>
              <w:ind w:left="1210"/>
              <w:spacing w:after="0"/>
              <w:rPr>
                <w:sz w:val="20"/>
                <w:szCs w:val="20"/>
                <w:color w:val="auto"/>
              </w:rPr>
            </w:pPr>
            <w:r>
              <w:rPr>
                <w:rFonts w:ascii="Times New Roman" w:cs="Times New Roman" w:eastAsia="Times New Roman" w:hAnsi="Times New Roman"/>
                <w:sz w:val="18"/>
                <w:szCs w:val="18"/>
                <w:color w:val="auto"/>
              </w:rPr>
              <w:t>107,201</w:t>
            </w:r>
          </w:p>
        </w:tc>
        <w:tc>
          <w:tcPr>
            <w:tcW w:w="1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$8.31</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1,069,305(1)</w:t>
            </w:r>
          </w:p>
        </w:tc>
      </w:tr>
    </w:tbl>
    <w:p>
      <w:pPr>
        <w:spacing w:after="0" w:line="225" w:lineRule="exact"/>
        <w:rPr>
          <w:sz w:val="20"/>
          <w:szCs w:val="20"/>
          <w:color w:val="auto"/>
        </w:rPr>
      </w:pPr>
    </w:p>
    <w:p>
      <w:pPr>
        <w:ind w:left="880" w:hanging="545"/>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628,531 shares reserved for issuance pursuant to unvested restricted stock grants.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CERTAIN RELATIONSHIPS AND RELATED TRANSACTIONS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Victor Brodsky</w:t>
      </w:r>
    </w:p>
    <w:p>
      <w:pPr>
        <w:spacing w:after="0" w:line="23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In connection with the cessation of employment of Victor Brodsky as our Chief Financial Officer effective September 30, 2020 (the “Brodsky Separation Date”), we entered into an Agreement and General Release (the “Brodsky Separation Agreement”) with Mr. Brodsky. Pursuant to the Brodsky Separation Agreement, we agreed to provide the following payments and benefits to Mr. Brodsky in full satisfaction of all payments and benefits and other amounts due to him upon his cessation of employment: (i) $155,969 (representing five months of base salary); (ii) continuing group health coverage commencing on October 1, 2020, and ending no later than February 28, 2021; and (iii) continued vesting of all granted but unvested stock and option awards as if Mr. Brodsky had remained in our employ.</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Benjamin Walden</w:t>
      </w:r>
    </w:p>
    <w:p>
      <w:pPr>
        <w:spacing w:after="0" w:line="23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connection with the cessation of employment of Benjamin Walden as Executive Vice President and Chief of Actuary of KICO effective September 30, 2020 (the “Walden Separation Date”), we entered into an Agreement and General Release (the “Walden Separation Agreement”) with Mr. Walden. Pursuant to the Walden Separation Agreement, we agreed to provide the following payments and benefits to Mr. Walden in full satisfaction of all payments and benefits and other amounts due to him upon his cessation of employment: (i) an amount equal to the base salary he would have received had he remained employed through November 30, 2020, (with an extension thereof to December 31, 2020, under certain circumstances); (ii) continuing group health coverage commencing on the Walden Separation Date and ending no later than December 31, 2020; and (iii) the grant to Mr. Walden of an option to purchase 19,207 shares of common stock, which option vests two years from the date of grant.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Other</w:t>
      </w:r>
    </w:p>
    <w:p>
      <w:pPr>
        <w:spacing w:after="0" w:line="23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daughter of Barry Goldstein, Amanda Rofsky, is employed as our Investor Relations Director and serves as Vice President of Cosi Agency, Inc., one of our subsidiaries. For the fiscal year ended December 31, 2021, she earned $166,188 in compensation.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Related Party Transactions</w:t>
      </w:r>
    </w:p>
    <w:p>
      <w:pPr>
        <w:spacing w:after="0" w:line="23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1: ELECTION OF DIRECTORS</w:t>
      </w:r>
    </w:p>
    <w:p>
      <w:pPr>
        <w:spacing w:after="0" w:line="23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Six directors are to be elected at the meeting to serve until the next annual meeting of stockholders and until their respective successors shall have been elected and have qualified.</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(six) multiplied by the number of shares he is entitled to vote. A stockholder may therefore cast his votes for one nominee or distribute them among two or more of the nominees.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Nominees for Directors</w:t>
      </w:r>
    </w:p>
    <w:p>
      <w:pPr>
        <w:spacing w:after="0" w:line="2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All of the nominees are currently members of our Board of Directors. The following table sets forth each nominee’s age as of June 17, 2022, the positions and offices presently held by him or her with us, and the year in which he or she became a director. The Board of Directors recommends a vote </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1"/>
          <w:szCs w:val="21"/>
          <w:color w:val="auto"/>
        </w:rPr>
        <w:t xml:space="preserve"> all nominees. The person named as proxy intends to vote cumulatively all shares represented by proxies equally among all nominees for election as directors, unless proxies are marked to the contrary.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7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16"/>
        </w:trPr>
        <w:tc>
          <w:tcPr>
            <w:tcW w:w="2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8"/>
        </w:trPr>
        <w:tc>
          <w:tcPr>
            <w:tcW w:w="2520" w:type="dxa"/>
            <w:vAlign w:val="bottom"/>
            <w:shd w:val="clear" w:color="auto" w:fill="CCECFF"/>
          </w:tcPr>
          <w:p>
            <w:pPr>
              <w:ind w:left="180"/>
              <w:spacing w:after="0" w:line="198" w:lineRule="exact"/>
              <w:rPr>
                <w:sz w:val="20"/>
                <w:szCs w:val="20"/>
                <w:color w:val="auto"/>
              </w:rPr>
            </w:pPr>
            <w:r>
              <w:rPr>
                <w:rFonts w:ascii="Times New Roman" w:cs="Times New Roman" w:eastAsia="Times New Roman" w:hAnsi="Times New Roman"/>
                <w:sz w:val="18"/>
                <w:szCs w:val="18"/>
                <w:color w:val="auto"/>
              </w:rPr>
              <w:t>Barry B. Goldstein</w:t>
            </w:r>
          </w:p>
        </w:tc>
        <w:tc>
          <w:tcPr>
            <w:tcW w:w="1180" w:type="dxa"/>
            <w:vAlign w:val="bottom"/>
            <w:shd w:val="clear" w:color="auto" w:fill="CCECFF"/>
          </w:tcPr>
          <w:p>
            <w:pPr>
              <w:jc w:val="center"/>
              <w:ind w:left="430"/>
              <w:spacing w:after="0" w:line="198" w:lineRule="exact"/>
              <w:rPr>
                <w:sz w:val="20"/>
                <w:szCs w:val="20"/>
                <w:color w:val="auto"/>
              </w:rPr>
            </w:pPr>
            <w:r>
              <w:rPr>
                <w:rFonts w:ascii="Times New Roman" w:cs="Times New Roman" w:eastAsia="Times New Roman" w:hAnsi="Times New Roman"/>
                <w:sz w:val="18"/>
                <w:szCs w:val="18"/>
                <w:color w:val="auto"/>
                <w:w w:val="99"/>
              </w:rPr>
              <w:t>69</w:t>
            </w:r>
          </w:p>
        </w:tc>
        <w:tc>
          <w:tcPr>
            <w:tcW w:w="5760" w:type="dxa"/>
            <w:vAlign w:val="bottom"/>
            <w:shd w:val="clear" w:color="auto" w:fill="CCECFF"/>
          </w:tcPr>
          <w:p>
            <w:pPr>
              <w:ind w:left="160"/>
              <w:spacing w:after="0" w:line="198" w:lineRule="exact"/>
              <w:rPr>
                <w:sz w:val="20"/>
                <w:szCs w:val="20"/>
                <w:color w:val="auto"/>
              </w:rPr>
            </w:pPr>
            <w:r>
              <w:rPr>
                <w:rFonts w:ascii="Times New Roman" w:cs="Times New Roman" w:eastAsia="Times New Roman" w:hAnsi="Times New Roman"/>
                <w:sz w:val="18"/>
                <w:szCs w:val="18"/>
                <w:color w:val="auto"/>
              </w:rPr>
              <w:t>Chief Executive Officer, President, Executive Chairman of the Board and</w:t>
            </w:r>
          </w:p>
        </w:tc>
        <w:tc>
          <w:tcPr>
            <w:tcW w:w="1780" w:type="dxa"/>
            <w:vAlign w:val="bottom"/>
            <w:shd w:val="clear" w:color="auto" w:fill="CCEC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2001</w:t>
            </w:r>
          </w:p>
        </w:tc>
      </w:tr>
      <w:tr>
        <w:trPr>
          <w:trHeight w:val="234"/>
        </w:trPr>
        <w:tc>
          <w:tcPr>
            <w:tcW w:w="2520" w:type="dxa"/>
            <w:vAlign w:val="bottom"/>
            <w:shd w:val="clear" w:color="auto" w:fill="CCECFF"/>
          </w:tcPr>
          <w:p>
            <w:pPr>
              <w:spacing w:after="0"/>
              <w:rPr>
                <w:sz w:val="20"/>
                <w:szCs w:val="20"/>
                <w:color w:val="auto"/>
              </w:rPr>
            </w:pPr>
          </w:p>
        </w:tc>
        <w:tc>
          <w:tcPr>
            <w:tcW w:w="1180" w:type="dxa"/>
            <w:vAlign w:val="bottom"/>
            <w:shd w:val="clear" w:color="auto" w:fill="CCECFF"/>
          </w:tcPr>
          <w:p>
            <w:pPr>
              <w:spacing w:after="0"/>
              <w:rPr>
                <w:sz w:val="20"/>
                <w:szCs w:val="20"/>
                <w:color w:val="auto"/>
              </w:rPr>
            </w:pPr>
          </w:p>
        </w:tc>
        <w:tc>
          <w:tcPr>
            <w:tcW w:w="5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shd w:val="clear" w:color="auto" w:fill="CCECFF"/>
          </w:tcPr>
          <w:p>
            <w:pPr>
              <w:spacing w:after="0"/>
              <w:rPr>
                <w:sz w:val="20"/>
                <w:szCs w:val="20"/>
                <w:color w:val="auto"/>
              </w:rPr>
            </w:pPr>
          </w:p>
        </w:tc>
      </w:tr>
      <w:tr>
        <w:trPr>
          <w:trHeight w:val="216"/>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Meryl S. Golden</w:t>
            </w: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62</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5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Floyd R. Tupper</w:t>
            </w:r>
          </w:p>
        </w:tc>
        <w:tc>
          <w:tcPr>
            <w:tcW w:w="1180" w:type="dxa"/>
            <w:vAlign w:val="bottom"/>
            <w:shd w:val="clear" w:color="auto" w:fill="CCEC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67</w:t>
            </w:r>
          </w:p>
        </w:tc>
        <w:tc>
          <w:tcPr>
            <w:tcW w:w="5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Secretary and Director</w:t>
            </w: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16"/>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William L. Yankus</w:t>
            </w: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62</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16"/>
        </w:trPr>
        <w:tc>
          <w:tcPr>
            <w:tcW w:w="25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Carla A. D’Andre</w:t>
            </w:r>
          </w:p>
        </w:tc>
        <w:tc>
          <w:tcPr>
            <w:tcW w:w="1180" w:type="dxa"/>
            <w:vAlign w:val="bottom"/>
            <w:shd w:val="clear" w:color="auto" w:fill="CCEC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66</w:t>
            </w:r>
          </w:p>
        </w:tc>
        <w:tc>
          <w:tcPr>
            <w:tcW w:w="57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34"/>
        </w:trPr>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Timothy P. McFadden</w:t>
            </w:r>
          </w:p>
        </w:tc>
        <w:tc>
          <w:tcPr>
            <w:tcW w:w="11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60</w:t>
            </w: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bl>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Barry B. Goldstein</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Mr. Goldstein has served as our Chief Executive Officer and President, as well as Chief Executive Officer of Kingstone Insurance Company, our wholly-owned New York property and casualty insurer (“KICO”), since July 2019. He previously served as our Chief Executive Officer, President and Chairman of the Board from March 2001 through December 2018, as Chief Executive Officer of KICO from January 2012 through December 2018 and as President of KICO from January 2012 through December 2018 and from July 2019 through September 2021. Mr. Goldstein has served as our Executive Chairman of the Board since January 2019, and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since August 2008. He was Treasurer of KICO from March 2010 through September 2010. Effective July 1, 2009, we acquired a 100% equity interest in KICO. Mr. Goldstein is a certified public accountant (inactive). Mr. Goldstein received his B.A. degree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b w:val="1"/>
          <w:bCs w:val="1"/>
          <w:color w:val="auto"/>
        </w:rPr>
        <w:t>Meryl S. Golden</w:t>
      </w:r>
    </w:p>
    <w:p>
      <w:pPr>
        <w:spacing w:after="0" w:line="23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Ms. Golden has served as our Chief Operating Officer since September 2019 and as one of our directors since March 2020. She has also served as Chief Operating Officer, a director and a member of the Executive Committee of KICO since September 2019 and as its President since October 2021.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Floyd R. Tupper</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(including his service as Chairman of its Audit Committee), give him the qualifications and skills to serve as one of our directors.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William L. Yankus</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Chairman of our Compensation Committee since April 2017 and Chairman of our Investment Committee since February 2020.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2"/>
          <w:szCs w:val="22"/>
          <w:b w:val="1"/>
          <w:bCs w:val="1"/>
          <w:color w:val="auto"/>
        </w:rPr>
        <w:t>Carla A. D’Andre</w:t>
      </w:r>
    </w:p>
    <w:p>
      <w:pPr>
        <w:spacing w:after="0" w:line="2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and currently serves as Chair of our Finance Committee. Ms. D’Andre has an M.B.A. from Pace University’s Lubin School of Business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Timothy P. McFadden</w:t>
      </w:r>
    </w:p>
    <w:p>
      <w:pPr>
        <w:spacing w:after="0" w:line="23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Mr. McFadden has more than 30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and Chair of our Nominating and Corporate Governance Committee since August 2018. We believe that Mr. McFadden’s executive level experience in the insurance industry gives him the qualifications and skills to serve as one of our directors.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22"/>
          <w:szCs w:val="22"/>
          <w:b w:val="1"/>
          <w:bCs w:val="1"/>
          <w:color w:val="auto"/>
        </w:rPr>
        <w:t>Family Relationships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are no family relationships among any of our executive officers and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Term of Office</w:t>
      </w:r>
    </w:p>
    <w:p>
      <w:pPr>
        <w:spacing w:after="0" w:line="237"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Board Diversity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55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Board Diversity Matrix (As of June 17, 2022)</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Size:</w:t>
            </w:r>
          </w:p>
        </w:tc>
        <w:tc>
          <w:tcPr>
            <w:tcW w:w="5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550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32"/>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5500" w:type="dxa"/>
            <w:vAlign w:val="bottom"/>
          </w:tcPr>
          <w:p>
            <w:pPr>
              <w:jc w:val="center"/>
              <w:ind w:left="409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4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5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5500" w:type="dxa"/>
            <w:vAlign w:val="bottom"/>
            <w:shd w:val="clear" w:color="auto" w:fill="CCEEFF"/>
          </w:tcPr>
          <w:p>
            <w:pPr>
              <w:jc w:val="center"/>
              <w:ind w:left="4110"/>
              <w:spacing w:after="0"/>
              <w:rPr>
                <w:sz w:val="20"/>
                <w:szCs w:val="20"/>
                <w:color w:val="auto"/>
              </w:rPr>
            </w:pPr>
            <w:r>
              <w:rPr>
                <w:rFonts w:ascii="Times New Roman" w:cs="Times New Roman" w:eastAsia="Times New Roman" w:hAnsi="Times New Roman"/>
                <w:sz w:val="18"/>
                <w:szCs w:val="18"/>
                <w:color w:val="auto"/>
              </w:rPr>
              <w:t>2</w:t>
            </w:r>
          </w:p>
        </w:tc>
        <w:tc>
          <w:tcPr>
            <w:tcW w:w="24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5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5500" w:type="dxa"/>
            <w:vAlign w:val="bottom"/>
            <w:shd w:val="clear" w:color="auto" w:fill="CCEEFF"/>
          </w:tcPr>
          <w:p>
            <w:pPr>
              <w:jc w:val="center"/>
              <w:ind w:left="4110"/>
              <w:spacing w:after="0"/>
              <w:rPr>
                <w:sz w:val="20"/>
                <w:szCs w:val="20"/>
                <w:color w:val="auto"/>
              </w:rPr>
            </w:pPr>
            <w:r>
              <w:rPr>
                <w:rFonts w:ascii="Times New Roman" w:cs="Times New Roman" w:eastAsia="Times New Roman" w:hAnsi="Times New Roman"/>
                <w:sz w:val="18"/>
                <w:szCs w:val="18"/>
                <w:color w:val="auto"/>
              </w:rPr>
              <w:t>2</w:t>
            </w:r>
          </w:p>
        </w:tc>
        <w:tc>
          <w:tcPr>
            <w:tcW w:w="24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Audit Committee</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210" w:lineRule="exact"/>
        <w:rPr>
          <w:sz w:val="20"/>
          <w:szCs w:val="20"/>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in fulfilling its responsibilities by reviewing the financial reports provided by us to the Securities and Exchange Commission, our stockholders or to the general public, and our internal financial and accounting controls,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appointment, compensation and retention of, and the work performed by, any independent public accountants engaged by us,</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establish and monitor procedures designed to improve the quality and reliability of the disclosure of our financial condition and results of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establish and monitor procedures designed to facilitate:</w:t>
      </w:r>
    </w:p>
    <w:p>
      <w:pPr>
        <w:spacing w:after="0" w:line="25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retention and treatment of complaints relating to accounting, internal accounting controls or auditing matters, and</w:t>
      </w:r>
    </w:p>
    <w:p>
      <w:pPr>
        <w:spacing w:after="0" w:line="252"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confidential, anonymous submissions by employees of concerns regarding questionable accounting or auditing matters.</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members of our Board’s Audit Committee currently are Messrs. Tupper, Yankus and McFadden. Our Board has adopted a written charter for the Audit Committee. A copy of the charter is available on our website, </w:t>
      </w:r>
      <w:r>
        <w:rPr>
          <w:rFonts w:ascii="Times New Roman" w:cs="Times New Roman" w:eastAsia="Times New Roman" w:hAnsi="Times New Roman"/>
          <w:sz w:val="22"/>
          <w:szCs w:val="22"/>
          <w:u w:val="single" w:color="auto"/>
          <w:color w:val="auto"/>
        </w:rPr>
        <w:t>www.kingstonecompanies.com</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Nominating and Corporate Governance Committee</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and developing corporate governance guidelines.</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members of the Nominating and Corporate Governance Committee currently are Messrs. McFadden and Tupper and Ms. D’Andre. Our Board has adopted a written charter for the Nominating and Corporate Governance Committee. A copy of the charter is available on our website, </w:t>
      </w:r>
      <w:r>
        <w:rPr>
          <w:rFonts w:ascii="Times New Roman" w:cs="Times New Roman" w:eastAsia="Times New Roman" w:hAnsi="Times New Roman"/>
          <w:sz w:val="22"/>
          <w:szCs w:val="22"/>
          <w:u w:val="single" w:color="auto"/>
          <w:color w:val="auto"/>
        </w:rPr>
        <w:t>www.kingstonecompanies.com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The Nominating and Corporate Governance Committee considers, among other things, diversity of background, experience, skills, expertise, personal and professional integrity, character, business judgment, time availability and conflicts of interest in evaluating prospective Board members. The Nominating and Corporate Governance Committee Charter requires that the Nominating and Corporate Governance Committee ensure that the initial list of candidates from which new independent director nominees are chosen by the Board include at least one candidate who is a person of color and one candidate who is female.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the considerations discussed above, as well as ‘independence’ (for purposes of compliance with the rules of the SEC and the NASDAQ Marketplace Rules).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except as discussed above, the Nominating and Corporate Governance Committee has not adopted minimum criteria for consideration of a proposed candidate for nomination. The Board has determined that no independent director will serve for more than a total of 20 years in that capacity, unless otherwise determined by the Board, and that any independent director who reaches age 75 while serving as a director must retire from the Board effective at the end of his or her then current term, unless otherwise determined by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22"/>
          <w:szCs w:val="22"/>
          <w:i w:val="1"/>
          <w:iCs w:val="1"/>
          <w:color w:val="auto"/>
        </w:rPr>
        <w:t>Compensation Committee</w:t>
      </w:r>
    </w:p>
    <w:p>
      <w:pPr>
        <w:spacing w:after="0" w:line="23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Compensation Committee of the Board of Directors is responsible for the management of our business and affairs with respect to the compensation of our employees. The responsibilities and duties of the Compensation Committee include the following:</w:t>
      </w:r>
    </w:p>
    <w:p>
      <w:pPr>
        <w:spacing w:after="0" w:line="210"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compensation of our Chief Executive Officer,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our Board regarding the compensation of all other executive officers,</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regarding, incentive compensation plans and equity-based plans, and where appropriate or required, recommend for approval by our stockholders, which includes the ability to adopt, amend and terminate such plans,</w:t>
      </w:r>
    </w:p>
    <w:p>
      <w:pPr>
        <w:spacing w:after="0" w:line="188"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regarding, employment agreements and severance arrangements or plans, including any benefits to be provided in connection with a change in control, for our Chief Executive Officer and other executive officers, which includes the ability to adopt, amend and terminate such agreements, arrangements or plans,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regarding, all employee benefit plans, which includes the ability to adopt, administer, amend and terminate such plans,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director compensation for service on our Board and Board committees and recommend any changes to our Board.</w:t>
      </w:r>
    </w:p>
    <w:p>
      <w:pPr>
        <w:spacing w:after="0" w:line="24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members of the Compensation Committee currently are Messrs. Yankus and Tupper and Ms. D’Andre. Our Board has adopted a written charter for the Compensation Committee. A copy of the charter is available on our website, </w:t>
      </w:r>
      <w:r>
        <w:rPr>
          <w:rFonts w:ascii="Times New Roman" w:cs="Times New Roman" w:eastAsia="Times New Roman" w:hAnsi="Times New Roman"/>
          <w:sz w:val="22"/>
          <w:szCs w:val="22"/>
          <w:u w:val="single" w:color="auto"/>
          <w:color w:val="auto"/>
        </w:rPr>
        <w:t>www.kingstonecompanies.com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Compensation Committee may form and delegate authority to subcommittees and may delegate authority to one or more designated members of the Compensation Committee. Our Chief Executive Officer assists the Compensation Committee from time to time by advising on a variety of compensation matters, such as assisting the Compensation Committee in determining appropriate salaries and bonuses for our executive officers. The Compensation Committee has the authority to consult with management and to engage the services of outside advisors, experts and others to assist it in its efforts.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Board Leadership Structure and Role in Risk Oversight</w:t>
      </w:r>
    </w:p>
    <w:p>
      <w:pPr>
        <w:spacing w:after="0" w:line="23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Audit Committee focuses on financial reporting risks and related controls and procedures, and our Compensation Committee strives to create compensation practices that do not encourage excessive levels of risk taking that would be inconsistent with our strategies and objectives.</w:t>
      </w:r>
    </w:p>
    <w:p>
      <w:pPr>
        <w:spacing w:after="0" w:line="2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Since January 2019, Barry B. Goldstein has served as our Executive Chairman of the Board, having served from 2001 through 2018 as our Chairman of the Board. Mr. Goldstein served as our Chief Executive Officer from 2001 through 2018 and has served in such capacity since July 2019. We do not currently have a lead independent director. At this time, our Board of Directors believes that Mr. Goldstein’s combined role as Chief Executive Officer and Executive Chairman of our Board enables us to benefit from Mr. Goldstein’s significant institutional and industry knowledge and experience, while at the same time promoting unified leadership and direction for our Board and executive management without duplication of effort and cost. Given our history, position, Board composition and the relatively small size of our company and management team, at this time, our Board believes that we and our stockholders are best served by our current leadership structure.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Report of the Audit Committee</w:t>
      </w:r>
    </w:p>
    <w:p>
      <w:pPr>
        <w:spacing w:after="0" w:line="23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In overseeing the preparation of the financial statements of the Company as of December 31, 2021, and for the years ended December 31, 2021 and 2020,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(“Marcum”), our outside auditors, the matters required to be discussed by Public Company Accounting Oversight Board’s Auditing Standard No. 1301, </w:t>
      </w:r>
      <w:r>
        <w:rPr>
          <w:rFonts w:ascii="Times New Roman" w:cs="Times New Roman" w:eastAsia="Times New Roman" w:hAnsi="Times New Roman"/>
          <w:sz w:val="22"/>
          <w:szCs w:val="22"/>
          <w:i w:val="1"/>
          <w:iCs w:val="1"/>
          <w:color w:val="auto"/>
        </w:rPr>
        <w:t>Communications with Audit Committees</w:t>
      </w:r>
      <w:r>
        <w:rPr>
          <w:rFonts w:ascii="Times New Roman" w:cs="Times New Roman" w:eastAsia="Times New Roman" w:hAnsi="Times New Roman"/>
          <w:sz w:val="22"/>
          <w:szCs w:val="22"/>
          <w:color w:val="auto"/>
        </w:rPr>
        <w:t>, as currently in effect.</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the basis of these reviews and discussions, the Audit Committee recommended to the Board of Directors that the audited financial statements be included in our Annual Report on Form 10-K for the fiscal year ended December 31, 2021, for filing with the Securities and Exchange Commission.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color w:val="auto"/>
        </w:rPr>
        <w:t>Members of the Audit Committee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Floyd R. Tupper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William L. Yankus</w:t>
      </w:r>
    </w:p>
    <w:p>
      <w:pPr>
        <w:jc w:val="center"/>
        <w:spacing w:after="0"/>
        <w:rPr>
          <w:sz w:val="20"/>
          <w:szCs w:val="20"/>
          <w:color w:val="auto"/>
        </w:rPr>
      </w:pPr>
      <w:r>
        <w:rPr>
          <w:rFonts w:ascii="Times New Roman" w:cs="Times New Roman" w:eastAsia="Times New Roman" w:hAnsi="Times New Roman"/>
          <w:sz w:val="22"/>
          <w:szCs w:val="22"/>
          <w:color w:val="auto"/>
        </w:rPr>
        <w:t>Timothy P. McFadden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Meetings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Board of Directors held eight meetings during the fiscal year ended December 31, 2021.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Audit Committee of the Board of Directors held six meetings during the fiscal year ended December 31, 2021.</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Nominating and Corporate Governance Committee of the Board of Directors held one meeting during the fiscal year ended December 31, 2021.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Compensation Committee of the Board of Directors held one meeting during the fiscal year ended December 31,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During 2021, all of our directors attended at least 75% of the aggregate of the total number of meetings of the Board and the total number of the meetings of the committees of the Board on which they served.</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We do not have a formal policy regarding director attendance at our annual meeting of stockholders. However, all directors are encouraged to attend. Each of our directors attended last year’s annual meeting of stockholders.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Communications with Board of Directors</w:t>
      </w:r>
    </w:p>
    <w:p>
      <w:pPr>
        <w:spacing w:after="0" w:line="23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Any security holder who wishes to communicate with our Board of Directors or a particular director should send the correspondence to the Board of Directors, Kingstone Companies, Inc., 15 Joys Lane, Kingston, New York 12401, Attention: Corporate Secretary. Any such communication so addressed will be forwarded by the Corporate Secretary to the members or a particular member of the Board.</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Audit Committee Financial Expert</w:t>
      </w:r>
    </w:p>
    <w:p>
      <w:pPr>
        <w:spacing w:after="0" w:line="23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Section 16(a) Beneficial Ownership Reporting Compliance</w:t>
      </w:r>
    </w:p>
    <w:p>
      <w:pPr>
        <w:spacing w:after="0" w:line="23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2021. To our knowledge, based solely on a review of copies of Forms 3, 4 and 5 filed with the SEC and written representations that no other reports were required, during the fiscal year ended December 31, 2021, our officers, directors and 10% stockholders complied with all Section 16(a) filing requirements applicable to them, except that Richard Swartz, our Chief Accounting Officer, filed one Form 4 late, reporting one transaction, and Sarah (Minlei) Chen, KICO’s Chief Actuary, filed one Form 4 late, reporting one transaction.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22"/>
          <w:szCs w:val="22"/>
          <w:b w:val="1"/>
          <w:bCs w:val="1"/>
          <w:color w:val="auto"/>
        </w:rPr>
        <w:t>Director Independence</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Board of Directors</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Our Board of Directors is currently comprised of Barry B. Goldstein, Floyd R. Tupper, William L. Yankus, Carla A. D’Andre, Timothy P. McFadden and Meryl S. Golden. Our board of directors has determined that each of Messrs. Tupper, Yankus and McFadden and Ms. D’Andre is independent under applicable Nasdaq listing standards and federal securities rules and regulations.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Audit Committee</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members of our Board’s Audit Committee currently are Messrs. Tupper, Yankus and McFadden, each of whom is independent under applicable Nasdaq listing standards and federal securities rules and regulations on independence of Audit Committee members.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Nominating and Corporate Governance Committee</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members of our Board’s Nominating and Corporate Governance Committee currently are Messrs. McFadden and Tupper and Ms. D’Andre, each of whom is independent under applicable Nasdaq listing standards and federal securities rules and regulations on independence.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Compensation Committee</w:t>
      </w:r>
    </w:p>
    <w:p>
      <w:pPr>
        <w:spacing w:after="0" w:line="24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members of our Board’s Compensation Committee currently are Messrs. Yankus and Tupper and Ms. D’Andre, each of whom is independent under applicable Nasdaq listing standards and federal securities rules and regulations on independence.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Recommendation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The Board of Directors recommends a vote FOR all nominees.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21"/>
          <w:szCs w:val="21"/>
          <w:b w:val="1"/>
          <w:bCs w:val="1"/>
          <w:color w:val="auto"/>
        </w:rPr>
        <w:t>PROPOSAL 2: RATIFICATION OF SELECTION OF INDEPENDENT REGISTERED PUBLIC ACCOUNTING FIRM</w:t>
      </w:r>
    </w:p>
    <w:p>
      <w:pPr>
        <w:spacing w:after="0" w:line="2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Audit Committee of our Board of Directors has selected Marcum LLP as our independent registered public accounting firm to examine our financial statements for the year ending December 31, 2022.</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Although ratification by stockholders is not required by our organizational documents or other applicable law, our Board of Directors has determined that requesting ratification by stockholders of the appointment of Marcum as our independent registered public accounting firm for the fiscal year ending December 31, 2022, is a matter of good corporate practice. If stockholders do not ratify the selection, the Audit Committee may reconsider whether or not to retain Marcum,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Marcum has served as our independent registered public accountants with respect to each fiscal year since the year ended December 31, 2013.</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not expected that a representative of Marcum will attend the meeting.</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is a summary of the fees billed to us by Marcum, our independent auditors, for professional services rendered for the fiscal years ended December 31, 2021 and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Fiscal 2021</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2020</w:t>
            </w:r>
          </w:p>
        </w:tc>
      </w:tr>
      <w:tr>
        <w:trPr>
          <w:trHeight w:val="245"/>
        </w:trPr>
        <w:tc>
          <w:tcPr>
            <w:tcW w:w="2700" w:type="dxa"/>
            <w:vAlign w:val="bottom"/>
          </w:tcPr>
          <w:p>
            <w:pPr>
              <w:spacing w:after="0"/>
              <w:rPr>
                <w:sz w:val="21"/>
                <w:szCs w:val="21"/>
                <w:color w:val="auto"/>
              </w:rPr>
            </w:pPr>
          </w:p>
        </w:tc>
        <w:tc>
          <w:tcPr>
            <w:tcW w:w="6080" w:type="dxa"/>
            <w:vAlign w:val="bottom"/>
            <w:gridSpan w:val="2"/>
          </w:tcPr>
          <w:p>
            <w:pPr>
              <w:jc w:val="right"/>
              <w:ind w:right="3896"/>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Fees</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5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241,535</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Tax Fees(2)</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Audit-Related Fees(3)</w:t>
            </w:r>
          </w:p>
        </w:tc>
        <w:tc>
          <w:tcPr>
            <w:tcW w:w="6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left="880" w:hanging="545"/>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 S-8, and services provided in connection with other statutory or regulatory filings.</w:t>
      </w:r>
    </w:p>
    <w:p>
      <w:pPr>
        <w:spacing w:after="0" w:line="17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tax services during the fiscal year.</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“Audit-Related” services during the fiscal year.</w:t>
      </w:r>
    </w:p>
    <w:p>
      <w:pPr>
        <w:spacing w:after="0" w:line="225" w:lineRule="exact"/>
        <w:rPr>
          <w:rFonts w:ascii="Times New Roman" w:cs="Times New Roman" w:eastAsia="Times New Roman" w:hAnsi="Times New Roman"/>
          <w:sz w:val="18"/>
          <w:szCs w:val="18"/>
          <w:color w:val="auto"/>
        </w:rPr>
      </w:pPr>
    </w:p>
    <w:p>
      <w:pPr>
        <w:ind w:left="880" w:hanging="545"/>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Marcum did not provide any other services during the fiscal year.</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3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The ratification of the selection of Marcum LLP as our independent registered public accounting firm for the fiscal year ending December 31, 2022, requires the affirmative vote of stockholders who hold a majority of the shares of common stock present in person or represented by proxy at the meeting and entitled to vote.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Recommendation</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The Board of Directors recommends a vote FOR the ratification of the selection of Marcum LLP as our independent registered public accounting firm for the fiscal year ending December 31, 2022.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3: ADVISORY VOTE ON THE COMPENSATION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COMPANY’S NAMED EXECUTIVE OFFICERS</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accordance with the rules of the SEC, we are providing our stockholders with the opportunity to cast a non-binding advisory vote on the compensation of our named executive officers as disclosed pursuant to Item 402(m) through (q) of Regulation S-K, including the compensation tables and narrative discussion in this proxy statement.</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compensation structure established by our Compensation Committee is designed to attract and retain motivated executives who substantially contribute to our long-term success and the creation of stockholder value, to reward executives when we perform financially or operationally well, to align the financial interests of our executives with the interests of our stockholders, and to be competitive within our industry. We believe that our philosophy and practices have resulted in executive compensation decisions that are appropriate and that have benefited us over time.</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We are requesting stockholder approval of the compensation of our executive officers as disclosed in this proxy statement. This proposal, commonly known as a “say-on-pay” proposal, gives our stockholders the opportunity to express their views on our executive officers’ compensation. Because the stockholder vote is advisory, it is not binding on us or our Board of Directors. However, our Board and the Compensation Committee, which is responsible for designing and administering our executive compensation program, value the opinions that our stockholders express in their votes. The Compensation Committee will review the results of the stockholder votes on this “say-on-pay” proposal and consider whether to recommend any changes or modifications to our executive compensation policies and practices as a result of such votes.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We are asking our stockholders to indicate their support for our named executive officer compensation through the following resolution: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RESOLVED</w:t>
      </w:r>
      <w:r>
        <w:rPr>
          <w:rFonts w:ascii="Times New Roman" w:cs="Times New Roman" w:eastAsia="Times New Roman" w:hAnsi="Times New Roman"/>
          <w:sz w:val="22"/>
          <w:szCs w:val="22"/>
          <w:color w:val="auto"/>
        </w:rPr>
        <w:t>, that the stockholders approve the compensation paid to our named executive officers, as disclosed pursuant to Item 402 of Regulation S-K, including the compensation tables and narrative discussion in this proxy statement.”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Vote Required</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The affirmative vote of the stockholders who hold a majority of our shares of common stock present in person or represented by proxy at the meeting and entitled to vote is required for approval of this proposal.</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Recommendation</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The Board of Directors recommends a vote FOR approval of the compensation of our named executive officers as disclosed in this proxy statement.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 PROPOSALS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March 3, 2023, for inclusion in our proxy statement and form of proxy relating to such meeting.</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The following requirements with respect to stockholder proposals and stockholder nominees to our Board of Directors are included in our By-Laws.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Stockholder Proposals</w:t>
      </w:r>
    </w:p>
    <w:p>
      <w:pPr>
        <w:spacing w:after="0" w:line="23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spacing w:after="0" w:line="219" w:lineRule="exact"/>
        <w:rPr>
          <w:sz w:val="20"/>
          <w:szCs w:val="20"/>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and the reasons for conducting such business at such meeting;</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proposing such business;</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our shares which are beneficially owned by such stockholder; and</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such stockholder in such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Stockholder Nominees</w:t>
      </w:r>
    </w:p>
    <w:p>
      <w:pPr>
        <w:spacing w:after="0" w:line="23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218"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on which the notice of the date of the meeting was made available to stockholders, or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on which such public disclosure of the meeting date was made.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stockholder sending the notice of nomination must describe various matters, including such information as:</w:t>
      </w:r>
    </w:p>
    <w:p>
      <w:pPr>
        <w:spacing w:after="0" w:line="242"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and residential addresses, occupation or employment and shares held by the nominee;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nominee required to be disclosed in a proxy statement;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number of shares held by the stockholder.</w:t>
      </w:r>
    </w:p>
    <w:p>
      <w:pPr>
        <w:spacing w:after="0" w:line="24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These requirements are separate from and in addition to the requirements a stockholder must meet to have a proposal included in our proxy statement.</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Any notice given pursuant to the foregoing requirements must be sent to our Corporate Secretary at 15 Joys Lane, Kingston, New York 12401. </w:t>
      </w:r>
      <w:r>
        <w:rPr>
          <w:rFonts w:ascii="Times New Roman" w:cs="Times New Roman" w:eastAsia="Times New Roman" w:hAnsi="Times New Roman"/>
          <w:sz w:val="22"/>
          <w:szCs w:val="22"/>
          <w:b w:val="1"/>
          <w:bCs w:val="1"/>
          <w:color w:val="auto"/>
        </w:rPr>
        <w:t>The foregoing is only a summary of the provisions of our By-Laws that relate to stockholder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proposals and stockholder nominations for director. Any stockholder desiring a copy of our By-Laws will be furnished one without charge upon receipt of a written request therefor.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BUSINESS</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While the accompanying Notice of Annual Meeting of Stockholders provides for the transaction of such other business as may properly come before the meeting, we have no knowledge of any matters to be presented at the meeting other than those listed as Proposals 1, 2, and 3 in the notice. However, the enclosed proxy gives discretionary authority in the event that any other matters should be presented.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This proxy statement is accompanied by a copy of our Annual Report on Form 10-K for the year ended December 31, 2021 (excluding exhibits). We may charge a fee equal to our reasonable expenses in furnishing the exhibits.</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Barry B. Goldstein</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Kingston,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 2022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41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41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04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86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7886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2)"/>
      <w:numFmt w:val="decimal"/>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lvl w:ilvl="1">
      <w:lvlJc w:val="left"/>
      <w:lvlText w:val=" "/>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2022-07-01T05:16:03Z</dcterms:created>
  <dcterms:modified xsi:type="dcterms:W3CDTF">2022-07-01T05:16:03Z</dcterms:modified>
</cp:coreProperties>
</file>