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429895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455930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5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5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39" w:lineRule="exact"/>
        <w:rPr>
          <w:sz w:val="24"/>
          <w:szCs w:val="24"/>
          <w:color w:val="auto"/>
        </w:rPr>
      </w:pPr>
    </w:p>
    <w:p>
      <w:pPr>
        <w:ind w:left="460" w:hanging="331"/>
        <w:spacing w:after="0"/>
        <w:tabs>
          <w:tab w:leader="none" w:pos="46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33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31, 2025</w:t>
      </w:r>
    </w:p>
    <w:p>
      <w:pPr>
        <w:spacing w:after="0" w:line="22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79" w:lineRule="exact"/>
        <w:rPr>
          <w:sz w:val="24"/>
          <w:szCs w:val="24"/>
          <w:color w:val="auto"/>
        </w:rPr>
      </w:pPr>
    </w:p>
    <w:p>
      <w:pPr>
        <w:ind w:left="460" w:hanging="316"/>
        <w:spacing w:after="0"/>
        <w:tabs>
          <w:tab w:leader="none" w:pos="460" w:val="left"/>
        </w:tabs>
        <w:numPr>
          <w:ilvl w:val="0"/>
          <w:numId w:val="2"/>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320" w:lineRule="exact"/>
        <w:rPr>
          <w:sz w:val="24"/>
          <w:szCs w:val="24"/>
          <w:color w:val="auto"/>
        </w:rPr>
      </w:pPr>
    </w:p>
    <w:p>
      <w:pPr>
        <w:ind w:left="3540"/>
        <w:spacing w:after="0"/>
        <w:rPr>
          <w:sz w:val="20"/>
          <w:szCs w:val="20"/>
          <w:color w:val="auto"/>
        </w:rPr>
      </w:pPr>
      <w:r>
        <w:rPr>
          <w:rFonts w:ascii="Times New Roman" w:cs="Times New Roman" w:eastAsia="Times New Roman" w:hAnsi="Times New Roman"/>
          <w:sz w:val="18"/>
          <w:szCs w:val="18"/>
          <w:b w:val="1"/>
          <w:bCs w:val="1"/>
          <w:color w:val="auto"/>
        </w:rPr>
        <w:t>For the transition period from _________to _________</w:t>
      </w:r>
    </w:p>
    <w:p>
      <w:pPr>
        <w:spacing w:after="0" w:line="22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Commission File Number 0-1665</w:t>
      </w:r>
    </w:p>
    <w:p>
      <w:pPr>
        <w:spacing w:after="0" w:line="22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KINGSTONE COMPANIES,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1050925</wp:posOffset>
            </wp:positionH>
            <wp:positionV relativeFrom="paragraph">
              <wp:posOffset>45085</wp:posOffset>
            </wp:positionV>
            <wp:extent cx="504063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040630" cy="8255"/>
                    </a:xfrm>
                    <a:prstGeom prst="rect">
                      <a:avLst/>
                    </a:prstGeom>
                    <a:noFill/>
                  </pic:spPr>
                </pic:pic>
              </a:graphicData>
            </a:graphic>
          </wp:anchor>
        </w:drawing>
      </w:r>
    </w:p>
    <w:p>
      <w:pPr>
        <w:spacing w:after="0" w:line="6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306" w:lineRule="exact"/>
        <w:rPr>
          <w:sz w:val="24"/>
          <w:szCs w:val="24"/>
          <w:color w:val="auto"/>
        </w:rPr>
      </w:pPr>
    </w:p>
    <w:tbl>
      <w:tblPr>
        <w:tblLayout w:type="fixed"/>
        <w:tblInd w:w="880" w:type="dxa"/>
        <w:tblCellMar>
          <w:top w:w="0" w:type="dxa"/>
          <w:left w:w="0" w:type="dxa"/>
          <w:bottom w:w="0" w:type="dxa"/>
          <w:right w:w="0" w:type="dxa"/>
        </w:tblCellMar>
      </w:tblPr>
      <w:tr>
        <w:trPr>
          <w:trHeight w:val="245"/>
        </w:trPr>
        <w:tc>
          <w:tcPr>
            <w:tcW w:w="4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47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36-2476480</w:t>
            </w:r>
          </w:p>
        </w:tc>
      </w:tr>
      <w:tr>
        <w:trPr>
          <w:trHeight w:val="175"/>
        </w:trPr>
        <w:tc>
          <w:tcPr>
            <w:tcW w:w="4680" w:type="dxa"/>
            <w:vAlign w:val="bottom"/>
            <w:tcBorders>
              <w:top w:val="single" w:sz="8" w:color="auto"/>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rPr>
              <w:t>(State or other jurisdiction of</w:t>
            </w:r>
          </w:p>
        </w:tc>
        <w:tc>
          <w:tcPr>
            <w:tcW w:w="100" w:type="dxa"/>
            <w:vAlign w:val="bottom"/>
          </w:tcPr>
          <w:p>
            <w:pPr>
              <w:spacing w:after="0"/>
              <w:rPr>
                <w:sz w:val="15"/>
                <w:szCs w:val="15"/>
                <w:color w:val="auto"/>
              </w:rPr>
            </w:pPr>
          </w:p>
        </w:tc>
        <w:tc>
          <w:tcPr>
            <w:tcW w:w="4720" w:type="dxa"/>
            <w:vAlign w:val="bottom"/>
            <w:tcBorders>
              <w:top w:val="single" w:sz="8" w:color="auto"/>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(I.R.S. Employer</w:t>
            </w:r>
          </w:p>
        </w:tc>
      </w:tr>
      <w:tr>
        <w:trPr>
          <w:trHeight w:val="234"/>
        </w:trPr>
        <w:tc>
          <w:tcPr>
            <w:tcW w:w="4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incorporation or organization)</w:t>
            </w:r>
          </w:p>
        </w:tc>
        <w:tc>
          <w:tcPr>
            <w:tcW w:w="4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Identification Number)</w:t>
            </w:r>
          </w:p>
        </w:tc>
      </w:tr>
    </w:tbl>
    <w:p>
      <w:pPr>
        <w:spacing w:after="0" w:line="25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120 Wood Road</w:t>
      </w:r>
    </w:p>
    <w:p>
      <w:pPr>
        <w:spacing w:after="0" w:line="3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u w:val="single" w:color="auto"/>
          <w:color w:val="auto"/>
        </w:rPr>
        <w:t>Kingston, NY 12401</w:t>
      </w:r>
    </w:p>
    <w:p>
      <w:pPr>
        <w:spacing w:after="0" w:line="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offices)</w:t>
      </w:r>
    </w:p>
    <w:p>
      <w:pPr>
        <w:spacing w:after="0" w:line="16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u w:val="single" w:color="auto"/>
          <w:color w:val="auto"/>
        </w:rPr>
        <w:t>(845) 802-7900</w:t>
      </w:r>
    </w:p>
    <w:p>
      <w:pPr>
        <w:spacing w:after="0" w:line="3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w:t>
      </w:r>
    </w:p>
    <w:p>
      <w:pPr>
        <w:spacing w:after="0" w:line="18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10" w:lineRule="exact"/>
        <w:rPr>
          <w:sz w:val="24"/>
          <w:szCs w:val="24"/>
          <w:color w:val="auto"/>
        </w:rPr>
      </w:pPr>
    </w:p>
    <w:tbl>
      <w:tblPr>
        <w:tblLayout w:type="fixed"/>
        <w:tblInd w:w="10" w:type="dxa"/>
        <w:tblCellMar>
          <w:top w:w="0" w:type="dxa"/>
          <w:left w:w="0" w:type="dxa"/>
          <w:bottom w:w="0" w:type="dxa"/>
          <w:right w:w="0" w:type="dxa"/>
        </w:tblCellMar>
      </w:tblPr>
      <w:tr>
        <w:trPr>
          <w:trHeight w:val="264"/>
        </w:trPr>
        <w:tc>
          <w:tcPr>
            <w:tcW w:w="37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37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37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50"/>
        </w:trPr>
        <w:tc>
          <w:tcPr>
            <w:tcW w:w="37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Stock, $0.01 par value per share</w:t>
            </w:r>
          </w:p>
        </w:tc>
        <w:tc>
          <w:tcPr>
            <w:tcW w:w="3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KINS</w:t>
            </w:r>
          </w:p>
        </w:tc>
        <w:tc>
          <w:tcPr>
            <w:tcW w:w="3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 Capital Market</w:t>
            </w:r>
          </w:p>
        </w:tc>
      </w:tr>
    </w:tbl>
    <w:p>
      <w:pPr>
        <w:spacing w:after="0" w:line="252" w:lineRule="exact"/>
        <w:rPr>
          <w:sz w:val="24"/>
          <w:szCs w:val="24"/>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o</w:t>
      </w:r>
    </w:p>
    <w:p>
      <w:pPr>
        <w:spacing w:after="0" w:line="176" w:lineRule="exact"/>
        <w:rPr>
          <w:sz w:val="24"/>
          <w:szCs w:val="24"/>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No o</w:t>
      </w:r>
    </w:p>
    <w:p>
      <w:pPr>
        <w:spacing w:after="0" w:line="176" w:lineRule="exact"/>
        <w:rPr>
          <w:sz w:val="24"/>
          <w:szCs w:val="24"/>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30" w:lineRule="exact"/>
        <w:rPr>
          <w:sz w:val="24"/>
          <w:szCs w:val="24"/>
          <w:color w:val="auto"/>
        </w:rPr>
      </w:pPr>
    </w:p>
    <w:tbl>
      <w:tblPr>
        <w:tblLayout w:type="fixed"/>
        <w:tblInd w:w="740" w:type="dxa"/>
        <w:tblCellMar>
          <w:top w:w="0" w:type="dxa"/>
          <w:left w:w="0" w:type="dxa"/>
          <w:bottom w:w="0" w:type="dxa"/>
          <w:right w:w="0" w:type="dxa"/>
        </w:tblCellMar>
      </w:tblPr>
      <w:tr>
        <w:trPr>
          <w:trHeight w:val="234"/>
        </w:trPr>
        <w:tc>
          <w:tcPr>
            <w:tcW w:w="220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1660" w:type="dxa"/>
            <w:vAlign w:val="bottom"/>
          </w:tcPr>
          <w:p>
            <w:pPr>
              <w:ind w:left="600"/>
              <w:spacing w:after="0"/>
              <w:rPr>
                <w:sz w:val="20"/>
                <w:szCs w:val="20"/>
                <w:color w:val="auto"/>
              </w:rPr>
            </w:pPr>
            <w:r>
              <w:rPr>
                <w:rFonts w:ascii="Wingdings" w:cs="Wingdings" w:eastAsia="Wingdings" w:hAnsi="Wingdings"/>
                <w:sz w:val="18"/>
                <w:szCs w:val="18"/>
                <w:b w:val="1"/>
                <w:bCs w:val="1"/>
                <w:color w:val="auto"/>
              </w:rPr>
              <w:t>o</w:t>
            </w:r>
          </w:p>
        </w:tc>
        <w:tc>
          <w:tcPr>
            <w:tcW w:w="326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Accelerated filer</w:t>
            </w:r>
          </w:p>
        </w:tc>
        <w:tc>
          <w:tcPr>
            <w:tcW w:w="600" w:type="dxa"/>
            <w:vAlign w:val="bottom"/>
          </w:tcPr>
          <w:p>
            <w:pPr>
              <w:ind w:left="420"/>
              <w:spacing w:after="0"/>
              <w:rPr>
                <w:sz w:val="20"/>
                <w:szCs w:val="20"/>
                <w:color w:val="auto"/>
              </w:rPr>
            </w:pPr>
            <w:r>
              <w:rPr>
                <w:rFonts w:ascii="Wingdings" w:cs="Wingdings" w:eastAsia="Wingdings" w:hAnsi="Wingdings"/>
                <w:sz w:val="18"/>
                <w:szCs w:val="18"/>
                <w:b w:val="1"/>
                <w:bCs w:val="1"/>
                <w:color w:val="auto"/>
                <w:w w:val="99"/>
              </w:rPr>
              <w:t>o</w:t>
            </w:r>
          </w:p>
        </w:tc>
      </w:tr>
      <w:tr>
        <w:trPr>
          <w:trHeight w:val="256"/>
        </w:trPr>
        <w:tc>
          <w:tcPr>
            <w:tcW w:w="220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1660" w:type="dxa"/>
            <w:vAlign w:val="bottom"/>
          </w:tcPr>
          <w:p>
            <w:pPr>
              <w:ind w:left="600"/>
              <w:spacing w:after="0"/>
              <w:rPr>
                <w:sz w:val="20"/>
                <w:szCs w:val="20"/>
                <w:color w:val="auto"/>
              </w:rPr>
            </w:pPr>
            <w:r>
              <w:rPr>
                <w:rFonts w:ascii="Wingdings" w:cs="Wingdings" w:eastAsia="Wingdings" w:hAnsi="Wingdings"/>
                <w:sz w:val="18"/>
                <w:szCs w:val="18"/>
                <w:b w:val="1"/>
                <w:bCs w:val="1"/>
                <w:color w:val="auto"/>
              </w:rPr>
              <w:t>x</w:t>
            </w:r>
          </w:p>
        </w:tc>
        <w:tc>
          <w:tcPr>
            <w:tcW w:w="326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600" w:type="dxa"/>
            <w:vAlign w:val="bottom"/>
          </w:tcPr>
          <w:p>
            <w:pPr>
              <w:ind w:left="420"/>
              <w:spacing w:after="0"/>
              <w:rPr>
                <w:sz w:val="20"/>
                <w:szCs w:val="20"/>
                <w:color w:val="auto"/>
              </w:rPr>
            </w:pPr>
            <w:r>
              <w:rPr>
                <w:rFonts w:ascii="Wingdings" w:cs="Wingdings" w:eastAsia="Wingdings" w:hAnsi="Wingdings"/>
                <w:sz w:val="18"/>
                <w:szCs w:val="18"/>
                <w:b w:val="1"/>
                <w:bCs w:val="1"/>
                <w:color w:val="auto"/>
                <w:w w:val="83"/>
              </w:rPr>
              <w:t>x</w:t>
            </w:r>
          </w:p>
        </w:tc>
      </w:tr>
      <w:tr>
        <w:trPr>
          <w:trHeight w:val="256"/>
        </w:trPr>
        <w:tc>
          <w:tcPr>
            <w:tcW w:w="220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326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Emerging growth company</w:t>
            </w:r>
          </w:p>
        </w:tc>
        <w:tc>
          <w:tcPr>
            <w:tcW w:w="600" w:type="dxa"/>
            <w:vAlign w:val="bottom"/>
          </w:tcPr>
          <w:p>
            <w:pPr>
              <w:ind w:left="420"/>
              <w:spacing w:after="0"/>
              <w:rPr>
                <w:sz w:val="20"/>
                <w:szCs w:val="20"/>
                <w:color w:val="auto"/>
              </w:rPr>
            </w:pPr>
            <w:r>
              <w:rPr>
                <w:rFonts w:ascii="Wingdings" w:cs="Wingdings" w:eastAsia="Wingdings" w:hAnsi="Wingdings"/>
                <w:sz w:val="18"/>
                <w:szCs w:val="18"/>
                <w:b w:val="1"/>
                <w:bCs w:val="1"/>
                <w:color w:val="auto"/>
                <w:w w:val="99"/>
              </w:rPr>
              <w:t>o</w:t>
            </w:r>
          </w:p>
        </w:tc>
      </w:tr>
    </w:tbl>
    <w:p>
      <w:pPr>
        <w:spacing w:after="0" w:line="306" w:lineRule="exact"/>
        <w:rPr>
          <w:sz w:val="24"/>
          <w:szCs w:val="24"/>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8"/>
          <w:szCs w:val="18"/>
          <w:b w:val="1"/>
          <w:bCs w:val="1"/>
          <w:color w:val="auto"/>
        </w:rPr>
        <w:t>o</w:t>
      </w:r>
    </w:p>
    <w:p>
      <w:pPr>
        <w:spacing w:after="0" w:line="16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Wingdings" w:cs="Wingdings" w:eastAsia="Wingdings" w:hAnsi="Wingdings"/>
          <w:sz w:val="18"/>
          <w:szCs w:val="18"/>
          <w:b w:val="1"/>
          <w:bCs w:val="1"/>
          <w:color w:val="auto"/>
        </w:rPr>
        <w:t>o</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x</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As of May 13, 2025, there were 14,005,797 shares of the registrant’s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844550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214630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60"/>
          </w:cols>
          <w:pgMar w:left="320" w:top="227" w:right="319" w:bottom="1001"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600" w:type="dxa"/>
            <w:vAlign w:val="bottom"/>
            <w:gridSpan w:val="7"/>
          </w:tcPr>
          <w:p>
            <w:pPr>
              <w:spacing w:after="0"/>
              <w:rPr>
                <w:sz w:val="20"/>
                <w:szCs w:val="20"/>
                <w:color w:val="auto"/>
              </w:rPr>
            </w:pPr>
            <w:r>
              <w:rPr>
                <w:rFonts w:ascii="Times New Roman" w:cs="Times New Roman" w:eastAsia="Times New Roman" w:hAnsi="Times New Roman"/>
                <w:sz w:val="18"/>
                <w:szCs w:val="18"/>
                <w:i w:val="1"/>
                <w:iCs w:val="1"/>
                <w:color w:val="0000FF"/>
              </w:rPr>
              <w:t>Table of Contents</w:t>
            </w: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08"/>
        </w:trPr>
        <w:tc>
          <w:tcPr>
            <w:tcW w:w="2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68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380" w:type="dxa"/>
            <w:vAlign w:val="bottom"/>
            <w:gridSpan w:val="9"/>
          </w:tcPr>
          <w:p>
            <w:pPr>
              <w:jc w:val="center"/>
              <w:ind w:right="2980"/>
              <w:spacing w:after="0"/>
              <w:rPr>
                <w:sz w:val="20"/>
                <w:szCs w:val="20"/>
                <w:color w:val="auto"/>
              </w:rPr>
            </w:pPr>
            <w:r>
              <w:rPr>
                <w:rFonts w:ascii="Times New Roman" w:cs="Times New Roman" w:eastAsia="Times New Roman" w:hAnsi="Times New Roman"/>
                <w:sz w:val="18"/>
                <w:szCs w:val="18"/>
                <w:b w:val="1"/>
                <w:bCs w:val="1"/>
                <w:color w:val="auto"/>
                <w:w w:val="99"/>
              </w:rPr>
              <w:t>KINGSTONE COMPANIES, INC.</w:t>
            </w: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820" w:type="dxa"/>
            <w:vAlign w:val="bottom"/>
            <w:gridSpan w:val="8"/>
          </w:tcPr>
          <w:p>
            <w:pPr>
              <w:jc w:val="center"/>
              <w:ind w:right="3520"/>
              <w:spacing w:after="0"/>
              <w:rPr>
                <w:sz w:val="20"/>
                <w:szCs w:val="20"/>
                <w:color w:val="auto"/>
              </w:rPr>
            </w:pPr>
            <w:r>
              <w:rPr>
                <w:rFonts w:ascii="Times New Roman" w:cs="Times New Roman" w:eastAsia="Times New Roman" w:hAnsi="Times New Roman"/>
                <w:sz w:val="18"/>
                <w:szCs w:val="18"/>
                <w:b w:val="1"/>
                <w:bCs w:val="1"/>
                <w:color w:val="auto"/>
                <w:w w:val="99"/>
              </w:rPr>
              <w:t>INDEX</w:t>
            </w: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3"/>
        </w:trPr>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10280" w:type="dxa"/>
            <w:vAlign w:val="bottom"/>
            <w:gridSpan w:val="27"/>
          </w:tcPr>
          <w:p>
            <w:pPr>
              <w:spacing w:after="0"/>
              <w:rPr>
                <w:sz w:val="20"/>
                <w:szCs w:val="20"/>
                <w:color w:val="auto"/>
              </w:rPr>
            </w:pPr>
            <w:r>
              <w:rPr>
                <w:rFonts w:ascii="Times New Roman" w:cs="Times New Roman" w:eastAsia="Times New Roman" w:hAnsi="Times New Roman"/>
                <w:sz w:val="18"/>
                <w:szCs w:val="18"/>
                <w:b w:val="1"/>
                <w:bCs w:val="1"/>
                <w:color w:val="0000FF"/>
              </w:rPr>
              <w:t>PART I — FINANCIAL INFORMATION</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340" w:type="dxa"/>
            <w:vAlign w:val="bottom"/>
            <w:gridSpan w:val="5"/>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0000FF"/>
              </w:rPr>
              <w:t>Item 1 —</w:t>
            </w:r>
          </w:p>
        </w:tc>
        <w:tc>
          <w:tcPr>
            <w:tcW w:w="8700" w:type="dxa"/>
            <w:vAlign w:val="bottom"/>
            <w:gridSpan w:val="21"/>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Financial Statements</w:t>
            </w:r>
          </w:p>
        </w:tc>
        <w:tc>
          <w:tcPr>
            <w:tcW w:w="92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4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54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700" w:type="dxa"/>
            <w:vAlign w:val="bottom"/>
            <w:gridSpan w:val="21"/>
          </w:tcPr>
          <w:p>
            <w:pPr>
              <w:spacing w:after="0" w:line="189" w:lineRule="exact"/>
              <w:rPr>
                <w:sz w:val="20"/>
                <w:szCs w:val="20"/>
                <w:color w:val="auto"/>
              </w:rPr>
            </w:pPr>
            <w:r>
              <w:rPr>
                <w:rFonts w:ascii="Times New Roman" w:cs="Times New Roman" w:eastAsia="Times New Roman" w:hAnsi="Times New Roman"/>
                <w:sz w:val="18"/>
                <w:szCs w:val="18"/>
                <w:color w:val="0000FF"/>
              </w:rPr>
              <w:t>Condensed Consolidated Balance Sheets at March 31, 2025 (Unaudited) and December 31, 202</w:t>
            </w:r>
            <w:r>
              <w:rPr>
                <w:rFonts w:ascii="Times New Roman" w:cs="Times New Roman" w:eastAsia="Times New Roman" w:hAnsi="Times New Roman"/>
                <w:sz w:val="18"/>
                <w:szCs w:val="18"/>
                <w:color w:val="000000"/>
              </w:rPr>
              <w:t>4</w:t>
            </w:r>
          </w:p>
        </w:tc>
        <w:tc>
          <w:tcPr>
            <w:tcW w:w="9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46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54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700" w:type="dxa"/>
            <w:vAlign w:val="bottom"/>
            <w:gridSpan w:val="21"/>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Condensed Consolidated Statements of Income and Comprehensive Income for the three months ended March 31,</w:t>
            </w: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4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68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200" w:type="dxa"/>
            <w:vAlign w:val="bottom"/>
            <w:tcBorders>
              <w:top w:val="single" w:sz="8" w:color="CCEEFF"/>
              <w:bottom w:val="single" w:sz="8" w:color="CCEEFF"/>
            </w:tcBorders>
            <w:shd w:val="clear" w:color="auto" w:fill="CCEEFF"/>
          </w:tcPr>
          <w:p>
            <w:pPr>
              <w:spacing w:after="0"/>
              <w:rPr>
                <w:sz w:val="16"/>
                <w:szCs w:val="16"/>
                <w:color w:val="auto"/>
              </w:rPr>
            </w:pPr>
          </w:p>
        </w:tc>
        <w:tc>
          <w:tcPr>
            <w:tcW w:w="320" w:type="dxa"/>
            <w:vAlign w:val="bottom"/>
            <w:tcBorders>
              <w:top w:val="single" w:sz="8" w:color="CCEEFF"/>
              <w:bottom w:val="single" w:sz="8" w:color="CCEEFF"/>
            </w:tcBorders>
            <w:shd w:val="clear" w:color="auto" w:fill="CCEEFF"/>
          </w:tcPr>
          <w:p>
            <w:pPr>
              <w:spacing w:after="0"/>
              <w:rPr>
                <w:sz w:val="16"/>
                <w:szCs w:val="16"/>
                <w:color w:val="auto"/>
              </w:rPr>
            </w:pPr>
          </w:p>
        </w:tc>
        <w:tc>
          <w:tcPr>
            <w:tcW w:w="2880" w:type="dxa"/>
            <w:vAlign w:val="bottom"/>
            <w:tcBorders>
              <w:top w:val="single" w:sz="8" w:color="0000FF"/>
              <w:bottom w:val="single" w:sz="8" w:color="0000FF"/>
            </w:tcBorders>
            <w:gridSpan w:val="13"/>
            <w:shd w:val="clear" w:color="auto" w:fill="CCEEFF"/>
          </w:tcPr>
          <w:p>
            <w:pPr>
              <w:spacing w:after="0" w:line="142" w:lineRule="exact"/>
              <w:rPr>
                <w:sz w:val="20"/>
                <w:szCs w:val="20"/>
                <w:color w:val="auto"/>
              </w:rPr>
            </w:pPr>
            <w:r>
              <w:rPr>
                <w:rFonts w:ascii="Times New Roman" w:cs="Times New Roman" w:eastAsia="Times New Roman" w:hAnsi="Times New Roman"/>
                <w:sz w:val="16"/>
                <w:szCs w:val="16"/>
                <w:color w:val="0000FF"/>
              </w:rPr>
              <w:t>2025 (Unaudited) and 2024 (Unaudited)</w:t>
            </w:r>
          </w:p>
        </w:tc>
        <w:tc>
          <w:tcPr>
            <w:tcW w:w="1460" w:type="dxa"/>
            <w:vAlign w:val="bottom"/>
            <w:tcBorders>
              <w:top w:val="single" w:sz="8" w:color="0000FF"/>
              <w:bottom w:val="single" w:sz="8" w:color="CCEEFF"/>
            </w:tcBorders>
            <w:shd w:val="clear" w:color="auto" w:fill="CCEEFF"/>
          </w:tcPr>
          <w:p>
            <w:pPr>
              <w:spacing w:after="0"/>
              <w:rPr>
                <w:sz w:val="16"/>
                <w:szCs w:val="16"/>
                <w:color w:val="auto"/>
              </w:rPr>
            </w:pPr>
          </w:p>
        </w:tc>
        <w:tc>
          <w:tcPr>
            <w:tcW w:w="560" w:type="dxa"/>
            <w:vAlign w:val="bottom"/>
            <w:tcBorders>
              <w:top w:val="single" w:sz="8" w:color="0000FF"/>
              <w:bottom w:val="single" w:sz="8" w:color="CCEEFF"/>
            </w:tcBorders>
            <w:shd w:val="clear" w:color="auto" w:fill="CCEEFF"/>
          </w:tcPr>
          <w:p>
            <w:pPr>
              <w:spacing w:after="0"/>
              <w:rPr>
                <w:sz w:val="16"/>
                <w:szCs w:val="16"/>
                <w:color w:val="auto"/>
              </w:rPr>
            </w:pPr>
          </w:p>
        </w:tc>
        <w:tc>
          <w:tcPr>
            <w:tcW w:w="1540" w:type="dxa"/>
            <w:vAlign w:val="bottom"/>
            <w:tcBorders>
              <w:top w:val="single" w:sz="8" w:color="0000FF"/>
              <w:bottom w:val="single" w:sz="8" w:color="CCEEFF"/>
            </w:tcBorders>
            <w:shd w:val="clear" w:color="auto" w:fill="CCEEFF"/>
          </w:tcPr>
          <w:p>
            <w:pPr>
              <w:spacing w:after="0"/>
              <w:rPr>
                <w:sz w:val="16"/>
                <w:szCs w:val="16"/>
                <w:color w:val="auto"/>
              </w:rPr>
            </w:pPr>
          </w:p>
        </w:tc>
        <w:tc>
          <w:tcPr>
            <w:tcW w:w="1780" w:type="dxa"/>
            <w:vAlign w:val="bottom"/>
            <w:tcBorders>
              <w:top w:val="single" w:sz="8" w:color="0000FF"/>
              <w:bottom w:val="single" w:sz="8" w:color="CCEEFF"/>
            </w:tcBorders>
            <w:gridSpan w:val="2"/>
            <w:shd w:val="clear" w:color="auto" w:fill="CCEEFF"/>
          </w:tcPr>
          <w:p>
            <w:pPr>
              <w:spacing w:after="0"/>
              <w:rPr>
                <w:sz w:val="16"/>
                <w:szCs w:val="16"/>
                <w:color w:val="auto"/>
              </w:rPr>
            </w:pPr>
          </w:p>
        </w:tc>
        <w:tc>
          <w:tcPr>
            <w:tcW w:w="240" w:type="dxa"/>
            <w:vAlign w:val="bottom"/>
            <w:tcBorders>
              <w:top w:val="single" w:sz="8" w:color="CCEEFF"/>
              <w:bottom w:val="single" w:sz="8" w:color="CCEEFF"/>
            </w:tcBorders>
            <w:shd w:val="clear" w:color="auto" w:fill="CCEEFF"/>
          </w:tcPr>
          <w:p>
            <w:pPr>
              <w:spacing w:after="0"/>
              <w:rPr>
                <w:sz w:val="16"/>
                <w:szCs w:val="16"/>
                <w:color w:val="auto"/>
              </w:rPr>
            </w:pPr>
          </w:p>
        </w:tc>
        <w:tc>
          <w:tcPr>
            <w:tcW w:w="40" w:type="dxa"/>
            <w:vAlign w:val="bottom"/>
            <w:tcBorders>
              <w:top w:val="single" w:sz="8" w:color="CCEEFF"/>
              <w:bottom w:val="single" w:sz="8" w:color="CCEEFF"/>
            </w:tcBorders>
            <w:shd w:val="clear" w:color="auto" w:fill="CCEEFF"/>
          </w:tcPr>
          <w:p>
            <w:pPr>
              <w:spacing w:after="0"/>
              <w:rPr>
                <w:sz w:val="16"/>
                <w:szCs w:val="16"/>
                <w:color w:val="auto"/>
              </w:rPr>
            </w:pPr>
          </w:p>
        </w:tc>
        <w:tc>
          <w:tcPr>
            <w:tcW w:w="200" w:type="dxa"/>
            <w:vAlign w:val="bottom"/>
            <w:tcBorders>
              <w:top w:val="single" w:sz="8" w:color="CCEEFF"/>
              <w:bottom w:val="single" w:sz="8" w:color="CCEEFF"/>
            </w:tcBorders>
            <w:shd w:val="clear" w:color="auto" w:fill="CCEEFF"/>
          </w:tcPr>
          <w:p>
            <w:pPr>
              <w:spacing w:after="0"/>
              <w:rPr>
                <w:sz w:val="16"/>
                <w:szCs w:val="16"/>
                <w:color w:val="auto"/>
              </w:rPr>
            </w:pPr>
          </w:p>
        </w:tc>
        <w:tc>
          <w:tcPr>
            <w:tcW w:w="920" w:type="dxa"/>
            <w:vAlign w:val="bottom"/>
            <w:tcBorders>
              <w:top w:val="single" w:sz="8" w:color="CCEEFF"/>
              <w:bottom w:val="single" w:sz="8" w:color="CCEEFF"/>
            </w:tcBorders>
            <w:vMerge w:val="continue"/>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Borders>
              <w:top w:val="single" w:sz="8" w:color="CCEEFF"/>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68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320" w:type="dxa"/>
            <w:vAlign w:val="bottom"/>
            <w:tcBorders>
              <w:top w:val="single" w:sz="8" w:color="CCEEFF"/>
            </w:tcBorders>
          </w:tcPr>
          <w:p>
            <w:pPr>
              <w:spacing w:after="0"/>
              <w:rPr>
                <w:sz w:val="16"/>
                <w:szCs w:val="16"/>
                <w:color w:val="auto"/>
              </w:rPr>
            </w:pPr>
          </w:p>
        </w:tc>
        <w:tc>
          <w:tcPr>
            <w:tcW w:w="8700" w:type="dxa"/>
            <w:vAlign w:val="bottom"/>
            <w:tcBorders>
              <w:top w:val="single" w:sz="8" w:color="CCEEFF"/>
            </w:tcBorders>
            <w:gridSpan w:val="21"/>
          </w:tcPr>
          <w:p>
            <w:pPr>
              <w:spacing w:after="0" w:line="189" w:lineRule="exact"/>
              <w:rPr>
                <w:sz w:val="20"/>
                <w:szCs w:val="20"/>
                <w:color w:val="auto"/>
              </w:rPr>
            </w:pPr>
            <w:r>
              <w:rPr>
                <w:rFonts w:ascii="Times New Roman" w:cs="Times New Roman" w:eastAsia="Times New Roman" w:hAnsi="Times New Roman"/>
                <w:sz w:val="18"/>
                <w:szCs w:val="18"/>
                <w:color w:val="0000FF"/>
              </w:rPr>
              <w:t>Condensed Consolidated Statements of Stockholders’ Equity for the three months ended March 31, 2025 (Unaudited)</w:t>
            </w:r>
          </w:p>
        </w:tc>
        <w:tc>
          <w:tcPr>
            <w:tcW w:w="920" w:type="dxa"/>
            <w:vAlign w:val="bottom"/>
            <w:tcBorders>
              <w:top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460" w:type="dxa"/>
            <w:vAlign w:val="bottom"/>
            <w:tcBorders>
              <w:top w:val="single" w:sz="8" w:color="0000FF"/>
            </w:tcBorders>
            <w:gridSpan w:val="19"/>
          </w:tcPr>
          <w:p>
            <w:pPr>
              <w:spacing w:after="0" w:line="142" w:lineRule="exact"/>
              <w:rPr>
                <w:sz w:val="20"/>
                <w:szCs w:val="20"/>
                <w:color w:val="auto"/>
              </w:rPr>
            </w:pPr>
            <w:r>
              <w:rPr>
                <w:rFonts w:ascii="Times New Roman" w:cs="Times New Roman" w:eastAsia="Times New Roman" w:hAnsi="Times New Roman"/>
                <w:sz w:val="16"/>
                <w:szCs w:val="16"/>
                <w:color w:val="0000FF"/>
              </w:rPr>
              <w:t>and 2024 (Unaudited)</w:t>
            </w: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Borders>
              <w:top w:val="single" w:sz="8" w:color="CCEEFF"/>
            </w:tcBorders>
            <w:vMerge w:val="continu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40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700" w:type="dxa"/>
            <w:vAlign w:val="bottom"/>
            <w:gridSpan w:val="21"/>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Condensed Consolidated Statements of Cash Flows for the three months ended March 31, 2025 (Unaudited) and 2024</w:t>
            </w: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4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68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200" w:type="dxa"/>
            <w:vAlign w:val="bottom"/>
            <w:tcBorders>
              <w:top w:val="single" w:sz="8" w:color="CCEEFF"/>
              <w:bottom w:val="single" w:sz="8" w:color="CCEEFF"/>
            </w:tcBorders>
            <w:shd w:val="clear" w:color="auto" w:fill="CCEEFF"/>
          </w:tcPr>
          <w:p>
            <w:pPr>
              <w:spacing w:after="0"/>
              <w:rPr>
                <w:sz w:val="16"/>
                <w:szCs w:val="16"/>
                <w:color w:val="auto"/>
              </w:rPr>
            </w:pPr>
          </w:p>
        </w:tc>
        <w:tc>
          <w:tcPr>
            <w:tcW w:w="320" w:type="dxa"/>
            <w:vAlign w:val="bottom"/>
            <w:tcBorders>
              <w:top w:val="single" w:sz="8" w:color="CCEEFF"/>
              <w:bottom w:val="single" w:sz="8" w:color="CCEEFF"/>
            </w:tcBorders>
            <w:shd w:val="clear" w:color="auto" w:fill="CCEEFF"/>
          </w:tcPr>
          <w:p>
            <w:pPr>
              <w:spacing w:after="0"/>
              <w:rPr>
                <w:sz w:val="16"/>
                <w:szCs w:val="16"/>
                <w:color w:val="auto"/>
              </w:rPr>
            </w:pPr>
          </w:p>
        </w:tc>
        <w:tc>
          <w:tcPr>
            <w:tcW w:w="860" w:type="dxa"/>
            <w:vAlign w:val="bottom"/>
            <w:tcBorders>
              <w:top w:val="single" w:sz="8" w:color="0000FF"/>
              <w:bottom w:val="single" w:sz="8" w:color="0000FF"/>
            </w:tcBorders>
            <w:gridSpan w:val="3"/>
            <w:shd w:val="clear" w:color="auto" w:fill="CCEEFF"/>
          </w:tcPr>
          <w:p>
            <w:pPr>
              <w:spacing w:after="0" w:line="142" w:lineRule="exact"/>
              <w:rPr>
                <w:sz w:val="20"/>
                <w:szCs w:val="20"/>
                <w:color w:val="auto"/>
              </w:rPr>
            </w:pPr>
            <w:r>
              <w:rPr>
                <w:rFonts w:ascii="Times New Roman" w:cs="Times New Roman" w:eastAsia="Times New Roman" w:hAnsi="Times New Roman"/>
                <w:sz w:val="16"/>
                <w:szCs w:val="16"/>
                <w:color w:val="0000FF"/>
              </w:rPr>
              <w:t>(Unaudited)</w:t>
            </w:r>
          </w:p>
        </w:tc>
        <w:tc>
          <w:tcPr>
            <w:tcW w:w="40" w:type="dxa"/>
            <w:vAlign w:val="bottom"/>
            <w:tcBorders>
              <w:top w:val="single" w:sz="8" w:color="0000FF"/>
              <w:bottom w:val="single" w:sz="8" w:color="CCEEFF"/>
            </w:tcBorders>
            <w:shd w:val="clear" w:color="auto" w:fill="CCEEFF"/>
          </w:tcPr>
          <w:p>
            <w:pPr>
              <w:spacing w:after="0"/>
              <w:rPr>
                <w:sz w:val="16"/>
                <w:szCs w:val="16"/>
                <w:color w:val="auto"/>
              </w:rPr>
            </w:pPr>
          </w:p>
        </w:tc>
        <w:tc>
          <w:tcPr>
            <w:tcW w:w="400" w:type="dxa"/>
            <w:vAlign w:val="bottom"/>
            <w:tcBorders>
              <w:top w:val="single" w:sz="8" w:color="0000FF"/>
              <w:bottom w:val="single" w:sz="8" w:color="CCEEFF"/>
            </w:tcBorders>
            <w:shd w:val="clear" w:color="auto" w:fill="CCEEFF"/>
          </w:tcPr>
          <w:p>
            <w:pPr>
              <w:spacing w:after="0"/>
              <w:rPr>
                <w:sz w:val="16"/>
                <w:szCs w:val="16"/>
                <w:color w:val="auto"/>
              </w:rPr>
            </w:pPr>
          </w:p>
        </w:tc>
        <w:tc>
          <w:tcPr>
            <w:tcW w:w="20" w:type="dxa"/>
            <w:vAlign w:val="bottom"/>
            <w:tcBorders>
              <w:top w:val="single" w:sz="8" w:color="0000FF"/>
              <w:bottom w:val="single" w:sz="8" w:color="CCEEFF"/>
            </w:tcBorders>
            <w:shd w:val="clear" w:color="auto" w:fill="CCEEFF"/>
          </w:tcPr>
          <w:p>
            <w:pPr>
              <w:spacing w:after="0"/>
              <w:rPr>
                <w:sz w:val="16"/>
                <w:szCs w:val="16"/>
                <w:color w:val="auto"/>
              </w:rPr>
            </w:pPr>
          </w:p>
        </w:tc>
        <w:tc>
          <w:tcPr>
            <w:tcW w:w="60" w:type="dxa"/>
            <w:vAlign w:val="bottom"/>
            <w:tcBorders>
              <w:top w:val="single" w:sz="8" w:color="0000FF"/>
              <w:bottom w:val="single" w:sz="8" w:color="CCEEFF"/>
            </w:tcBorders>
            <w:shd w:val="clear" w:color="auto" w:fill="CCEEFF"/>
          </w:tcPr>
          <w:p>
            <w:pPr>
              <w:spacing w:after="0"/>
              <w:rPr>
                <w:sz w:val="16"/>
                <w:szCs w:val="16"/>
                <w:color w:val="auto"/>
              </w:rPr>
            </w:pPr>
          </w:p>
        </w:tc>
        <w:tc>
          <w:tcPr>
            <w:tcW w:w="380" w:type="dxa"/>
            <w:vAlign w:val="bottom"/>
            <w:tcBorders>
              <w:top w:val="single" w:sz="8" w:color="0000FF"/>
              <w:bottom w:val="single" w:sz="8" w:color="CCEEFF"/>
            </w:tcBorders>
            <w:gridSpan w:val="4"/>
            <w:shd w:val="clear" w:color="auto" w:fill="CCEEFF"/>
          </w:tcPr>
          <w:p>
            <w:pPr>
              <w:spacing w:after="0"/>
              <w:rPr>
                <w:sz w:val="16"/>
                <w:szCs w:val="16"/>
                <w:color w:val="auto"/>
              </w:rPr>
            </w:pPr>
          </w:p>
        </w:tc>
        <w:tc>
          <w:tcPr>
            <w:tcW w:w="560" w:type="dxa"/>
            <w:vAlign w:val="bottom"/>
            <w:tcBorders>
              <w:top w:val="single" w:sz="8" w:color="0000FF"/>
              <w:bottom w:val="single" w:sz="8" w:color="CCEEFF"/>
            </w:tcBorders>
            <w:shd w:val="clear" w:color="auto" w:fill="CCEEFF"/>
          </w:tcPr>
          <w:p>
            <w:pPr>
              <w:spacing w:after="0"/>
              <w:rPr>
                <w:sz w:val="16"/>
                <w:szCs w:val="16"/>
                <w:color w:val="auto"/>
              </w:rPr>
            </w:pPr>
          </w:p>
        </w:tc>
        <w:tc>
          <w:tcPr>
            <w:tcW w:w="2020" w:type="dxa"/>
            <w:vAlign w:val="bottom"/>
            <w:tcBorders>
              <w:top w:val="single" w:sz="8" w:color="0000FF"/>
              <w:bottom w:val="single" w:sz="8" w:color="CCEEFF"/>
            </w:tcBorders>
            <w:gridSpan w:val="2"/>
            <w:shd w:val="clear" w:color="auto" w:fill="CCEEFF"/>
          </w:tcPr>
          <w:p>
            <w:pPr>
              <w:spacing w:after="0"/>
              <w:rPr>
                <w:sz w:val="16"/>
                <w:szCs w:val="16"/>
                <w:color w:val="auto"/>
              </w:rPr>
            </w:pPr>
          </w:p>
        </w:tc>
        <w:tc>
          <w:tcPr>
            <w:tcW w:w="560" w:type="dxa"/>
            <w:vAlign w:val="bottom"/>
            <w:tcBorders>
              <w:top w:val="single" w:sz="8" w:color="0000FF"/>
              <w:bottom w:val="single" w:sz="8" w:color="CCEEFF"/>
            </w:tcBorders>
            <w:shd w:val="clear" w:color="auto" w:fill="CCEEFF"/>
          </w:tcPr>
          <w:p>
            <w:pPr>
              <w:spacing w:after="0"/>
              <w:rPr>
                <w:sz w:val="16"/>
                <w:szCs w:val="16"/>
                <w:color w:val="auto"/>
              </w:rPr>
            </w:pPr>
          </w:p>
        </w:tc>
        <w:tc>
          <w:tcPr>
            <w:tcW w:w="1540" w:type="dxa"/>
            <w:vAlign w:val="bottom"/>
            <w:tcBorders>
              <w:top w:val="single" w:sz="8" w:color="0000FF"/>
              <w:bottom w:val="single" w:sz="8" w:color="CCEEFF"/>
            </w:tcBorders>
            <w:shd w:val="clear" w:color="auto" w:fill="CCEEFF"/>
          </w:tcPr>
          <w:p>
            <w:pPr>
              <w:spacing w:after="0"/>
              <w:rPr>
                <w:sz w:val="16"/>
                <w:szCs w:val="16"/>
                <w:color w:val="auto"/>
              </w:rPr>
            </w:pPr>
          </w:p>
        </w:tc>
        <w:tc>
          <w:tcPr>
            <w:tcW w:w="2060" w:type="dxa"/>
            <w:vAlign w:val="bottom"/>
            <w:tcBorders>
              <w:top w:val="single" w:sz="8" w:color="0000FF"/>
              <w:bottom w:val="single" w:sz="8" w:color="CCEEFF"/>
            </w:tcBorders>
            <w:gridSpan w:val="4"/>
            <w:shd w:val="clear" w:color="auto" w:fill="CCEEFF"/>
          </w:tcPr>
          <w:p>
            <w:pPr>
              <w:spacing w:after="0"/>
              <w:rPr>
                <w:sz w:val="16"/>
                <w:szCs w:val="16"/>
                <w:color w:val="auto"/>
              </w:rPr>
            </w:pPr>
          </w:p>
        </w:tc>
        <w:tc>
          <w:tcPr>
            <w:tcW w:w="200" w:type="dxa"/>
            <w:vAlign w:val="bottom"/>
            <w:tcBorders>
              <w:top w:val="single" w:sz="8" w:color="CCEEFF"/>
              <w:bottom w:val="single" w:sz="8" w:color="CCEEFF"/>
            </w:tcBorders>
            <w:shd w:val="clear" w:color="auto" w:fill="CCEEFF"/>
          </w:tcPr>
          <w:p>
            <w:pPr>
              <w:spacing w:after="0"/>
              <w:rPr>
                <w:sz w:val="16"/>
                <w:szCs w:val="16"/>
                <w:color w:val="auto"/>
              </w:rPr>
            </w:pPr>
          </w:p>
        </w:tc>
        <w:tc>
          <w:tcPr>
            <w:tcW w:w="920" w:type="dxa"/>
            <w:vAlign w:val="bottom"/>
            <w:tcBorders>
              <w:top w:val="single" w:sz="8" w:color="CCEEFF"/>
              <w:bottom w:val="single" w:sz="8" w:color="CCEEFF"/>
            </w:tcBorders>
            <w:vMerge w:val="continue"/>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Borders>
              <w:top w:val="single" w:sz="8" w:color="CCEEFF"/>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68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320" w:type="dxa"/>
            <w:vAlign w:val="bottom"/>
            <w:tcBorders>
              <w:top w:val="single" w:sz="8" w:color="CCEEFF"/>
            </w:tcBorders>
          </w:tcPr>
          <w:p>
            <w:pPr>
              <w:spacing w:after="0"/>
              <w:rPr>
                <w:sz w:val="16"/>
                <w:szCs w:val="16"/>
                <w:color w:val="auto"/>
              </w:rPr>
            </w:pPr>
          </w:p>
        </w:tc>
        <w:tc>
          <w:tcPr>
            <w:tcW w:w="8700" w:type="dxa"/>
            <w:vAlign w:val="bottom"/>
            <w:tcBorders>
              <w:top w:val="single" w:sz="8" w:color="CCEEFF"/>
            </w:tcBorders>
            <w:gridSpan w:val="21"/>
          </w:tcPr>
          <w:p>
            <w:pPr>
              <w:spacing w:after="0" w:line="189" w:lineRule="exact"/>
              <w:rPr>
                <w:sz w:val="20"/>
                <w:szCs w:val="20"/>
                <w:color w:val="auto"/>
              </w:rPr>
            </w:pPr>
            <w:r>
              <w:rPr>
                <w:rFonts w:ascii="Times New Roman" w:cs="Times New Roman" w:eastAsia="Times New Roman" w:hAnsi="Times New Roman"/>
                <w:sz w:val="18"/>
                <w:szCs w:val="18"/>
                <w:color w:val="0000FF"/>
              </w:rPr>
              <w:t>Notes to Condensed Consolidated Financial Statements (Unaudited)</w:t>
            </w:r>
          </w:p>
        </w:tc>
        <w:tc>
          <w:tcPr>
            <w:tcW w:w="920" w:type="dxa"/>
            <w:vAlign w:val="bottom"/>
            <w:tcBorders>
              <w:top w:val="single" w:sz="8" w:color="CCEEFF"/>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46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340" w:type="dxa"/>
            <w:vAlign w:val="bottom"/>
            <w:gridSpan w:val="5"/>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0000FF"/>
              </w:rPr>
              <w:t>Item 2 —</w:t>
            </w:r>
          </w:p>
        </w:tc>
        <w:tc>
          <w:tcPr>
            <w:tcW w:w="8700" w:type="dxa"/>
            <w:vAlign w:val="bottom"/>
            <w:gridSpan w:val="21"/>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92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46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146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154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gridSpan w:val="5"/>
          </w:tcPr>
          <w:p>
            <w:pPr>
              <w:ind w:left="20"/>
              <w:spacing w:after="0" w:line="189" w:lineRule="exact"/>
              <w:rPr>
                <w:sz w:val="20"/>
                <w:szCs w:val="20"/>
                <w:color w:val="auto"/>
              </w:rPr>
            </w:pPr>
            <w:r>
              <w:rPr>
                <w:rFonts w:ascii="Times New Roman" w:cs="Times New Roman" w:eastAsia="Times New Roman" w:hAnsi="Times New Roman"/>
                <w:sz w:val="18"/>
                <w:szCs w:val="18"/>
                <w:color w:val="0000FF"/>
              </w:rPr>
              <w:t>Item 3 —</w:t>
            </w:r>
          </w:p>
        </w:tc>
        <w:tc>
          <w:tcPr>
            <w:tcW w:w="8700" w:type="dxa"/>
            <w:vAlign w:val="bottom"/>
            <w:gridSpan w:val="21"/>
          </w:tcPr>
          <w:p>
            <w:pPr>
              <w:spacing w:after="0" w:line="189" w:lineRule="exact"/>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9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81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Borders>
              <w:top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460" w:type="dxa"/>
            <w:vAlign w:val="bottom"/>
            <w:tcBorders>
              <w:top w:val="single" w:sz="8" w:color="0000FF"/>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340" w:type="dxa"/>
            <w:vAlign w:val="bottom"/>
            <w:gridSpan w:val="5"/>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0000FF"/>
              </w:rPr>
              <w:t>Item 4 —</w:t>
            </w:r>
          </w:p>
        </w:tc>
        <w:tc>
          <w:tcPr>
            <w:tcW w:w="8700" w:type="dxa"/>
            <w:vAlign w:val="bottom"/>
            <w:gridSpan w:val="21"/>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Controls and Procedures</w:t>
            </w:r>
          </w:p>
        </w:tc>
        <w:tc>
          <w:tcPr>
            <w:tcW w:w="92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81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4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54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1"/>
        </w:trPr>
        <w:tc>
          <w:tcPr>
            <w:tcW w:w="20" w:type="dxa"/>
            <w:vAlign w:val="bottom"/>
          </w:tcPr>
          <w:p>
            <w:pPr>
              <w:spacing w:after="0"/>
              <w:rPr>
                <w:sz w:val="24"/>
                <w:szCs w:val="24"/>
                <w:color w:val="auto"/>
              </w:rPr>
            </w:pPr>
          </w:p>
        </w:tc>
        <w:tc>
          <w:tcPr>
            <w:tcW w:w="10280" w:type="dxa"/>
            <w:vAlign w:val="bottom"/>
            <w:gridSpan w:val="27"/>
          </w:tcPr>
          <w:p>
            <w:pPr>
              <w:spacing w:after="0"/>
              <w:rPr>
                <w:sz w:val="20"/>
                <w:szCs w:val="20"/>
                <w:color w:val="auto"/>
              </w:rPr>
            </w:pPr>
            <w:r>
              <w:rPr>
                <w:rFonts w:ascii="Times New Roman" w:cs="Times New Roman" w:eastAsia="Times New Roman" w:hAnsi="Times New Roman"/>
                <w:sz w:val="18"/>
                <w:szCs w:val="18"/>
                <w:b w:val="1"/>
                <w:bCs w:val="1"/>
                <w:color w:val="0000FF"/>
              </w:rPr>
              <w:t>PART II — OTHER INFORMATION</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0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8"/>
              </w:rPr>
              <w:t>Item 1 —</w:t>
            </w:r>
          </w:p>
        </w:tc>
        <w:tc>
          <w:tcPr>
            <w:tcW w:w="640" w:type="dxa"/>
            <w:vAlign w:val="bottom"/>
            <w:gridSpan w:val="3"/>
            <w:shd w:val="clear" w:color="auto" w:fill="CCEEFF"/>
          </w:tcPr>
          <w:p>
            <w:pPr>
              <w:spacing w:after="0"/>
              <w:rPr>
                <w:sz w:val="16"/>
                <w:szCs w:val="16"/>
                <w:color w:val="auto"/>
              </w:rPr>
            </w:pPr>
          </w:p>
        </w:tc>
        <w:tc>
          <w:tcPr>
            <w:tcW w:w="8700" w:type="dxa"/>
            <w:vAlign w:val="bottom"/>
            <w:gridSpan w:val="21"/>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Legal Proceedings</w:t>
            </w:r>
          </w:p>
        </w:tc>
        <w:tc>
          <w:tcPr>
            <w:tcW w:w="92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83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68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4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54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gridSpan w:val="5"/>
          </w:tcPr>
          <w:p>
            <w:pPr>
              <w:spacing w:after="0" w:line="189" w:lineRule="exact"/>
              <w:rPr>
                <w:sz w:val="20"/>
                <w:szCs w:val="20"/>
                <w:color w:val="auto"/>
              </w:rPr>
            </w:pPr>
            <w:r>
              <w:rPr>
                <w:rFonts w:ascii="Times New Roman" w:cs="Times New Roman" w:eastAsia="Times New Roman" w:hAnsi="Times New Roman"/>
                <w:sz w:val="18"/>
                <w:szCs w:val="18"/>
                <w:color w:val="0000FF"/>
              </w:rPr>
              <w:t>Item 1A —</w:t>
            </w:r>
          </w:p>
        </w:tc>
        <w:tc>
          <w:tcPr>
            <w:tcW w:w="8700" w:type="dxa"/>
            <w:vAlign w:val="bottom"/>
            <w:gridSpan w:val="21"/>
          </w:tcPr>
          <w:p>
            <w:pPr>
              <w:spacing w:after="0" w:line="189" w:lineRule="exact"/>
              <w:rPr>
                <w:sz w:val="20"/>
                <w:szCs w:val="20"/>
                <w:color w:val="auto"/>
              </w:rPr>
            </w:pPr>
            <w:r>
              <w:rPr>
                <w:rFonts w:ascii="Times New Roman" w:cs="Times New Roman" w:eastAsia="Times New Roman" w:hAnsi="Times New Roman"/>
                <w:sz w:val="18"/>
                <w:szCs w:val="18"/>
                <w:color w:val="0000FF"/>
              </w:rPr>
              <w:t>Risk Factors</w:t>
            </w:r>
          </w:p>
        </w:tc>
        <w:tc>
          <w:tcPr>
            <w:tcW w:w="9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83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0000FF"/>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8"/>
              </w:rPr>
              <w:t>Item 2 —</w:t>
            </w:r>
          </w:p>
        </w:tc>
        <w:tc>
          <w:tcPr>
            <w:tcW w:w="640" w:type="dxa"/>
            <w:vAlign w:val="bottom"/>
            <w:tcBorders>
              <w:bottom w:val="single" w:sz="8" w:color="CCEEFF"/>
            </w:tcBorders>
            <w:gridSpan w:val="3"/>
            <w:shd w:val="clear" w:color="auto" w:fill="CCEEFF"/>
          </w:tcPr>
          <w:p>
            <w:pPr>
              <w:spacing w:after="0"/>
              <w:rPr>
                <w:sz w:val="18"/>
                <w:szCs w:val="18"/>
                <w:color w:val="auto"/>
              </w:rPr>
            </w:pPr>
          </w:p>
        </w:tc>
        <w:tc>
          <w:tcPr>
            <w:tcW w:w="4340" w:type="dxa"/>
            <w:vAlign w:val="bottom"/>
            <w:tcBorders>
              <w:bottom w:val="single" w:sz="8" w:color="0000FF"/>
            </w:tcBorders>
            <w:gridSpan w:val="14"/>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9"/>
              </w:rPr>
              <w:t>Unregistered Sales of Equity Securities and Use of Proceeds</w:t>
            </w:r>
          </w:p>
        </w:tc>
        <w:tc>
          <w:tcPr>
            <w:tcW w:w="4360" w:type="dxa"/>
            <w:vAlign w:val="bottom"/>
            <w:tcBorders>
              <w:bottom w:val="single" w:sz="8" w:color="CCEEFF"/>
            </w:tcBorders>
            <w:gridSpan w:val="7"/>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83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gridSpan w:val="5"/>
          </w:tcPr>
          <w:p>
            <w:pPr>
              <w:spacing w:after="0" w:line="189" w:lineRule="exact"/>
              <w:rPr>
                <w:sz w:val="20"/>
                <w:szCs w:val="20"/>
                <w:color w:val="auto"/>
              </w:rPr>
            </w:pPr>
            <w:r>
              <w:rPr>
                <w:rFonts w:ascii="Times New Roman" w:cs="Times New Roman" w:eastAsia="Times New Roman" w:hAnsi="Times New Roman"/>
                <w:sz w:val="18"/>
                <w:szCs w:val="18"/>
                <w:color w:val="0000FF"/>
              </w:rPr>
              <w:t>Item 3 —</w:t>
            </w:r>
          </w:p>
        </w:tc>
        <w:tc>
          <w:tcPr>
            <w:tcW w:w="8700" w:type="dxa"/>
            <w:vAlign w:val="bottom"/>
            <w:gridSpan w:val="21"/>
          </w:tcPr>
          <w:p>
            <w:pPr>
              <w:spacing w:after="0" w:line="189" w:lineRule="exact"/>
              <w:rPr>
                <w:sz w:val="20"/>
                <w:szCs w:val="20"/>
                <w:color w:val="auto"/>
              </w:rPr>
            </w:pPr>
            <w:r>
              <w:rPr>
                <w:rFonts w:ascii="Times New Roman" w:cs="Times New Roman" w:eastAsia="Times New Roman" w:hAnsi="Times New Roman"/>
                <w:sz w:val="18"/>
                <w:szCs w:val="18"/>
                <w:color w:val="0000FF"/>
              </w:rPr>
              <w:t>Defaults Upon Senior Securities</w:t>
            </w:r>
          </w:p>
        </w:tc>
        <w:tc>
          <w:tcPr>
            <w:tcW w:w="9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83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80" w:type="dxa"/>
            <w:vAlign w:val="bottom"/>
            <w:tcBorders>
              <w:top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8"/>
              </w:rPr>
              <w:t>Item 4 —</w:t>
            </w:r>
          </w:p>
        </w:tc>
        <w:tc>
          <w:tcPr>
            <w:tcW w:w="640" w:type="dxa"/>
            <w:vAlign w:val="bottom"/>
            <w:gridSpan w:val="3"/>
            <w:shd w:val="clear" w:color="auto" w:fill="CCEEFF"/>
          </w:tcPr>
          <w:p>
            <w:pPr>
              <w:spacing w:after="0"/>
              <w:rPr>
                <w:sz w:val="18"/>
                <w:szCs w:val="18"/>
                <w:color w:val="auto"/>
              </w:rPr>
            </w:pPr>
          </w:p>
        </w:tc>
        <w:tc>
          <w:tcPr>
            <w:tcW w:w="8700" w:type="dxa"/>
            <w:vAlign w:val="bottom"/>
            <w:gridSpan w:val="21"/>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Mine Safety Disclosures</w:t>
            </w:r>
          </w:p>
        </w:tc>
        <w:tc>
          <w:tcPr>
            <w:tcW w:w="92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83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 w:type="dxa"/>
            <w:vAlign w:val="bottom"/>
            <w:tcBorders>
              <w:top w:val="single" w:sz="8" w:color="CCEEFF"/>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700" w:type="dxa"/>
            <w:vAlign w:val="bottom"/>
            <w:tcBorders>
              <w:top w:val="single" w:sz="8" w:color="0000FF"/>
            </w:tcBorders>
            <w:gridSpan w:val="2"/>
          </w:tcPr>
          <w:p>
            <w:pPr>
              <w:spacing w:after="0" w:line="189" w:lineRule="exact"/>
              <w:rPr>
                <w:sz w:val="20"/>
                <w:szCs w:val="20"/>
                <w:color w:val="auto"/>
              </w:rPr>
            </w:pPr>
            <w:r>
              <w:rPr>
                <w:rFonts w:ascii="Times New Roman" w:cs="Times New Roman" w:eastAsia="Times New Roman" w:hAnsi="Times New Roman"/>
                <w:sz w:val="18"/>
                <w:szCs w:val="18"/>
                <w:color w:val="0000FF"/>
                <w:w w:val="98"/>
              </w:rPr>
              <w:t>Item 5 —</w:t>
            </w:r>
          </w:p>
        </w:tc>
        <w:tc>
          <w:tcPr>
            <w:tcW w:w="640" w:type="dxa"/>
            <w:vAlign w:val="bottom"/>
            <w:tcBorders>
              <w:top w:val="single" w:sz="8" w:color="CCEEFF"/>
            </w:tcBorders>
            <w:gridSpan w:val="3"/>
          </w:tcPr>
          <w:p>
            <w:pPr>
              <w:spacing w:after="0"/>
              <w:rPr>
                <w:sz w:val="16"/>
                <w:szCs w:val="16"/>
                <w:color w:val="auto"/>
              </w:rPr>
            </w:pPr>
          </w:p>
        </w:tc>
        <w:tc>
          <w:tcPr>
            <w:tcW w:w="1760" w:type="dxa"/>
            <w:vAlign w:val="bottom"/>
            <w:tcBorders>
              <w:top w:val="single" w:sz="8" w:color="0000FF"/>
            </w:tcBorders>
            <w:gridSpan w:val="11"/>
          </w:tcPr>
          <w:p>
            <w:pPr>
              <w:spacing w:after="0" w:line="189" w:lineRule="exact"/>
              <w:rPr>
                <w:sz w:val="20"/>
                <w:szCs w:val="20"/>
                <w:color w:val="auto"/>
              </w:rPr>
            </w:pPr>
            <w:r>
              <w:rPr>
                <w:rFonts w:ascii="Times New Roman" w:cs="Times New Roman" w:eastAsia="Times New Roman" w:hAnsi="Times New Roman"/>
                <w:sz w:val="18"/>
                <w:szCs w:val="18"/>
                <w:color w:val="0000FF"/>
              </w:rPr>
              <w:t>Other Information</w:t>
            </w:r>
          </w:p>
        </w:tc>
        <w:tc>
          <w:tcPr>
            <w:tcW w:w="6940" w:type="dxa"/>
            <w:vAlign w:val="bottom"/>
            <w:tcBorders>
              <w:top w:val="single" w:sz="8" w:color="CCEEFF"/>
            </w:tcBorders>
            <w:gridSpan w:val="10"/>
          </w:tcPr>
          <w:p>
            <w:pPr>
              <w:spacing w:after="0"/>
              <w:rPr>
                <w:sz w:val="16"/>
                <w:szCs w:val="16"/>
                <w:color w:val="auto"/>
              </w:rPr>
            </w:pPr>
          </w:p>
        </w:tc>
        <w:tc>
          <w:tcPr>
            <w:tcW w:w="920" w:type="dxa"/>
            <w:vAlign w:val="bottom"/>
            <w:tcBorders>
              <w:top w:val="single" w:sz="8" w:color="CCEEFF"/>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83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80" w:type="dxa"/>
            <w:vAlign w:val="bottom"/>
            <w:tcBorders>
              <w:top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0000FF"/>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8"/>
              </w:rPr>
              <w:t>Item 6 —</w:t>
            </w:r>
          </w:p>
        </w:tc>
        <w:tc>
          <w:tcPr>
            <w:tcW w:w="640" w:type="dxa"/>
            <w:vAlign w:val="bottom"/>
            <w:tcBorders>
              <w:bottom w:val="single" w:sz="8" w:color="CCEEFF"/>
            </w:tcBorders>
            <w:gridSpan w:val="3"/>
            <w:shd w:val="clear" w:color="auto" w:fill="CCEEFF"/>
          </w:tcPr>
          <w:p>
            <w:pPr>
              <w:spacing w:after="0"/>
              <w:rPr>
                <w:sz w:val="18"/>
                <w:szCs w:val="18"/>
                <w:color w:val="auto"/>
              </w:rPr>
            </w:pPr>
          </w:p>
        </w:tc>
        <w:tc>
          <w:tcPr>
            <w:tcW w:w="600" w:type="dxa"/>
            <w:vAlign w:val="bottom"/>
            <w:tcBorders>
              <w:bottom w:val="single" w:sz="8" w:color="0000FF"/>
            </w:tcBorders>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6"/>
              </w:rPr>
              <w:t>Exhibits</w:t>
            </w:r>
          </w:p>
        </w:tc>
        <w:tc>
          <w:tcPr>
            <w:tcW w:w="8100" w:type="dxa"/>
            <w:vAlign w:val="bottom"/>
            <w:tcBorders>
              <w:bottom w:val="single" w:sz="8" w:color="CCEEFF"/>
            </w:tcBorders>
            <w:gridSpan w:val="20"/>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84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60" w:type="dxa"/>
            <w:vAlign w:val="bottom"/>
            <w:tcBorders>
              <w:bottom w:val="single" w:sz="8" w:color="0000FF"/>
            </w:tcBorders>
            <w:gridSpan w:val="2"/>
          </w:tcPr>
          <w:p>
            <w:pPr>
              <w:spacing w:after="0" w:line="189" w:lineRule="exact"/>
              <w:rPr>
                <w:sz w:val="20"/>
                <w:szCs w:val="20"/>
                <w:color w:val="auto"/>
              </w:rPr>
            </w:pPr>
            <w:r>
              <w:rPr>
                <w:rFonts w:ascii="Times New Roman" w:cs="Times New Roman" w:eastAsia="Times New Roman" w:hAnsi="Times New Roman"/>
                <w:sz w:val="18"/>
                <w:szCs w:val="18"/>
                <w:color w:val="0000FF"/>
                <w:w w:val="97"/>
              </w:rPr>
              <w:t>Signatures</w:t>
            </w:r>
          </w:p>
        </w:tc>
        <w:tc>
          <w:tcPr>
            <w:tcW w:w="7940" w:type="dxa"/>
            <w:vAlign w:val="bottom"/>
            <w:gridSpan w:val="19"/>
          </w:tcPr>
          <w:p>
            <w:pPr>
              <w:spacing w:after="0"/>
              <w:rPr>
                <w:sz w:val="16"/>
                <w:szCs w:val="16"/>
                <w:color w:val="auto"/>
              </w:rPr>
            </w:pPr>
          </w:p>
        </w:tc>
        <w:tc>
          <w:tcPr>
            <w:tcW w:w="9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85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25"/>
        </w:trPr>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340" w:type="dxa"/>
            <w:vAlign w:val="bottom"/>
            <w:gridSpan w:val="14"/>
          </w:tcPr>
          <w:p>
            <w:pPr>
              <w:jc w:val="center"/>
              <w:ind w:left="3612"/>
              <w:spacing w:after="0"/>
              <w:rPr>
                <w:sz w:val="20"/>
                <w:szCs w:val="20"/>
                <w:color w:val="auto"/>
              </w:rPr>
            </w:pPr>
            <w:r>
              <w:rPr>
                <w:rFonts w:ascii="Times New Roman" w:cs="Times New Roman" w:eastAsia="Times New Roman" w:hAnsi="Times New Roman"/>
                <w:sz w:val="18"/>
                <w:szCs w:val="18"/>
                <w:color w:val="auto"/>
                <w:w w:val="88"/>
              </w:rPr>
              <w:t>2</w:t>
            </w:r>
          </w:p>
        </w:tc>
        <w:tc>
          <w:tcPr>
            <w:tcW w:w="5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146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154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Forward-Looking Statements</w:t>
      </w:r>
    </w:p>
    <w:p>
      <w:pPr>
        <w:spacing w:after="0" w:line="188" w:lineRule="exact"/>
        <w:rPr>
          <w:sz w:val="20"/>
          <w:szCs w:val="20"/>
          <w:color w:val="auto"/>
        </w:rPr>
      </w:pPr>
    </w:p>
    <w:p>
      <w:pPr>
        <w:jc w:val="both"/>
        <w:spacing w:after="0" w:line="222" w:lineRule="exact"/>
        <w:rPr>
          <w:sz w:val="20"/>
          <w:szCs w:val="20"/>
          <w:color w:val="auto"/>
        </w:rPr>
      </w:pPr>
      <w:r>
        <w:rPr>
          <w:rFonts w:ascii="Times New Roman" w:cs="Times New Roman" w:eastAsia="Times New Roman" w:hAnsi="Times New Roman"/>
          <w:sz w:val="18"/>
          <w:szCs w:val="18"/>
          <w:color w:val="auto"/>
        </w:rPr>
        <w:t>This Quarterly Report contains forward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looking statements within the meaning of the Private Securities Litigation Reform Act of 1995. The events described in forward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looking statements contained in this Quarterly Report may not occur. Generally, these statements relate to business plans or strategies, projected or anticipated results or other consequences of our plans or strategies, projected or anticipated results from acquisitions to be made by us, or projections involving anticipated revenues, earnings, costs or other aspects of our operating results. The words “may,” “will,” “expect,” “believe,” “anticipate,” “project,” “plan,” “intend,” “estimate,” and “continue,” and their opposites and similar expressions are intended to identify forward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looking statements. We caution you that these statements are not guarantees of future performance or events and are subject to a number of uncertainties, risks and other influences, many of which are beyond our control, which may influence the accuracy of the statements and the projections upon which the statements are based. Factors which may cause actual results and outcomes to differ materially from those contained in the forward-looking statements include, but are not limited to the risks and uncertainties discussed in Part I, Item 1A (“Risk Factors”) of our Annual Report on Form 10-K for the year ended December 31, 2024, Part I, Item 2 of this Quarterly Report and Part II, Item 1A of this Quarterly Report.</w:t>
      </w:r>
    </w:p>
    <w:p>
      <w:pPr>
        <w:spacing w:after="0" w:line="160" w:lineRule="exact"/>
        <w:rPr>
          <w:sz w:val="20"/>
          <w:szCs w:val="20"/>
          <w:color w:val="auto"/>
        </w:rPr>
      </w:pPr>
    </w:p>
    <w:p>
      <w:pPr>
        <w:jc w:val="both"/>
        <w:spacing w:after="0" w:line="231" w:lineRule="exact"/>
        <w:rPr>
          <w:sz w:val="20"/>
          <w:szCs w:val="20"/>
          <w:color w:val="auto"/>
        </w:rPr>
      </w:pPr>
      <w:r>
        <w:rPr>
          <w:rFonts w:ascii="Times New Roman" w:cs="Times New Roman" w:eastAsia="Times New Roman" w:hAnsi="Times New Roman"/>
          <w:sz w:val="18"/>
          <w:szCs w:val="18"/>
          <w:color w:val="auto"/>
        </w:rPr>
        <w:t>Any one or more of these uncertainties, risks and other influences could materially affect our results of operations and whether forward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looking statements made by us ultimately prove to be accurate. Our actual results, performance and achievements could differ materially from those expressed or implied in these forward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looking statements. We undertake no obligation to publicly update or revise any forward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looking statements, whether from new information, future events or otherwise except as required by law.</w:t>
      </w: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PART I. </w:t>
      </w:r>
      <w:r>
        <w:rPr>
          <w:rFonts w:ascii="Times New Roman" w:cs="Times New Roman" w:eastAsia="Times New Roman" w:hAnsi="Times New Roman"/>
          <w:sz w:val="18"/>
          <w:szCs w:val="18"/>
          <w:b w:val="1"/>
          <w:bCs w:val="1"/>
          <w:u w:val="single" w:color="auto"/>
          <w:color w:val="auto"/>
        </w:rPr>
        <w:t>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 </w:t>
      </w:r>
      <w:r>
        <w:rPr>
          <w:rFonts w:ascii="Times New Roman" w:cs="Times New Roman" w:eastAsia="Times New Roman" w:hAnsi="Times New Roman"/>
          <w:sz w:val="18"/>
          <w:szCs w:val="18"/>
          <w:b w:val="1"/>
          <w:bCs w:val="1"/>
          <w:u w:val="single" w:color="auto"/>
          <w:color w:val="auto"/>
        </w:rPr>
        <w:t>Financial Statements</w:t>
      </w:r>
      <w:r>
        <w:rPr>
          <w:rFonts w:ascii="Times New Roman" w:cs="Times New Roman" w:eastAsia="Times New Roman" w:hAnsi="Times New Roman"/>
          <w:sz w:val="18"/>
          <w:szCs w:val="18"/>
          <w:color w:val="auto"/>
        </w:rPr>
        <w:t>.</w:t>
      </w:r>
    </w:p>
    <w:p>
      <w:pPr>
        <w:spacing w:after="0" w:line="279"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b w:val="1"/>
          <w:bCs w:val="1"/>
          <w:color w:val="auto"/>
        </w:rPr>
        <w:t>KINGSTONE COMPANIES, INC. AND SUBSIDIARIES</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60" w:type="dxa"/>
            <w:vAlign w:val="bottom"/>
          </w:tcPr>
          <w:p>
            <w:pPr>
              <w:spacing w:after="0"/>
              <w:rPr>
                <w:sz w:val="17"/>
                <w:szCs w:val="17"/>
                <w:color w:val="auto"/>
              </w:rPr>
            </w:pPr>
          </w:p>
        </w:tc>
        <w:tc>
          <w:tcPr>
            <w:tcW w:w="13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59"/>
        </w:trPr>
        <w:tc>
          <w:tcPr>
            <w:tcW w:w="818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0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43"/>
        </w:trPr>
        <w:tc>
          <w:tcPr>
            <w:tcW w:w="8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(unaudited)</w:t>
            </w: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8"/>
        </w:trPr>
        <w:tc>
          <w:tcPr>
            <w:tcW w:w="8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Fixed-maturity securities, held-to-maturity, at amortized cost (fair value of $5,976,487 at March 31, 2025 and</w:t>
            </w: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8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$5,959,265 at December 31, 2024)</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7,046,023</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7,047,342</w:t>
            </w:r>
          </w:p>
        </w:tc>
        <w:tc>
          <w:tcPr>
            <w:tcW w:w="0" w:type="dxa"/>
            <w:vAlign w:val="bottom"/>
          </w:tcPr>
          <w:p>
            <w:pPr>
              <w:spacing w:after="0"/>
              <w:rPr>
                <w:sz w:val="1"/>
                <w:szCs w:val="1"/>
                <w:color w:val="auto"/>
              </w:rPr>
            </w:pPr>
          </w:p>
        </w:tc>
      </w:tr>
      <w:tr>
        <w:trPr>
          <w:trHeight w:val="211"/>
        </w:trPr>
        <w:tc>
          <w:tcPr>
            <w:tcW w:w="8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Fixed-maturity securities, available-for-sale, at fair value (amortized cost of $216,882,931 at March 31, 2025</w:t>
            </w: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8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and $202,308,158 at December 31, 2024)</w:t>
            </w:r>
          </w:p>
        </w:tc>
        <w:tc>
          <w:tcPr>
            <w:tcW w:w="2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204,282,369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186,893,438</w:t>
            </w:r>
          </w:p>
        </w:tc>
        <w:tc>
          <w:tcPr>
            <w:tcW w:w="0" w:type="dxa"/>
            <w:vAlign w:val="bottom"/>
          </w:tcPr>
          <w:p>
            <w:pPr>
              <w:spacing w:after="0"/>
              <w:rPr>
                <w:sz w:val="1"/>
                <w:szCs w:val="1"/>
                <w:color w:val="auto"/>
              </w:rPr>
            </w:pPr>
          </w:p>
        </w:tc>
      </w:tr>
      <w:tr>
        <w:trPr>
          <w:trHeight w:val="218"/>
        </w:trPr>
        <w:tc>
          <w:tcPr>
            <w:tcW w:w="8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Equity securities, at fair value (cost of $13,527,554 at March 31, 2025 and $13,527,554 at December 31,</w:t>
            </w: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8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2024)</w:t>
            </w:r>
          </w:p>
        </w:tc>
        <w:tc>
          <w:tcPr>
            <w:tcW w:w="20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10,103,175</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10,296,505</w:t>
            </w:r>
          </w:p>
        </w:tc>
        <w:tc>
          <w:tcPr>
            <w:tcW w:w="0" w:type="dxa"/>
            <w:vAlign w:val="bottom"/>
          </w:tcPr>
          <w:p>
            <w:pPr>
              <w:spacing w:after="0"/>
              <w:rPr>
                <w:sz w:val="1"/>
                <w:szCs w:val="1"/>
                <w:color w:val="auto"/>
              </w:rPr>
            </w:pPr>
          </w:p>
        </w:tc>
      </w:tr>
      <w:tr>
        <w:trPr>
          <w:trHeight w:val="250"/>
        </w:trPr>
        <w:tc>
          <w:tcPr>
            <w:tcW w:w="81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Other investments</w:t>
            </w:r>
          </w:p>
        </w:tc>
        <w:tc>
          <w:tcPr>
            <w:tcW w:w="2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4,437,733</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4,380,656</w:t>
            </w:r>
          </w:p>
        </w:tc>
        <w:tc>
          <w:tcPr>
            <w:tcW w:w="0" w:type="dxa"/>
            <w:vAlign w:val="bottom"/>
          </w:tcPr>
          <w:p>
            <w:pPr>
              <w:spacing w:after="0"/>
              <w:rPr>
                <w:sz w:val="1"/>
                <w:szCs w:val="1"/>
                <w:color w:val="auto"/>
              </w:rPr>
            </w:pPr>
          </w:p>
        </w:tc>
      </w:tr>
      <w:tr>
        <w:trPr>
          <w:trHeight w:val="257"/>
        </w:trPr>
        <w:tc>
          <w:tcPr>
            <w:tcW w:w="81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Total investments</w:t>
            </w: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225,869,300</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208,617,941</w:t>
            </w:r>
          </w:p>
        </w:tc>
        <w:tc>
          <w:tcPr>
            <w:tcW w:w="0" w:type="dxa"/>
            <w:vAlign w:val="bottom"/>
          </w:tcPr>
          <w:p>
            <w:pPr>
              <w:spacing w:after="0"/>
              <w:rPr>
                <w:sz w:val="1"/>
                <w:szCs w:val="1"/>
                <w:color w:val="auto"/>
              </w:rPr>
            </w:pPr>
          </w:p>
        </w:tc>
      </w:tr>
      <w:tr>
        <w:trPr>
          <w:trHeight w:val="250"/>
        </w:trPr>
        <w:tc>
          <w:tcPr>
            <w:tcW w:w="81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37,490,182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28,669,441</w:t>
            </w:r>
          </w:p>
        </w:tc>
        <w:tc>
          <w:tcPr>
            <w:tcW w:w="0" w:type="dxa"/>
            <w:vAlign w:val="bottom"/>
          </w:tcPr>
          <w:p>
            <w:pPr>
              <w:spacing w:after="0"/>
              <w:rPr>
                <w:sz w:val="1"/>
                <w:szCs w:val="1"/>
                <w:color w:val="auto"/>
              </w:rPr>
            </w:pPr>
          </w:p>
        </w:tc>
      </w:tr>
      <w:tr>
        <w:trPr>
          <w:trHeight w:val="218"/>
        </w:trPr>
        <w:tc>
          <w:tcPr>
            <w:tcW w:w="8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Premiums receivable, net of allowance for credit losses of $439,928 at March 31, 2025 and $402,290 at</w:t>
            </w: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8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December 31, 2024</w:t>
            </w:r>
          </w:p>
        </w:tc>
        <w:tc>
          <w:tcPr>
            <w:tcW w:w="20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17,012,840</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21,766,988</w:t>
            </w:r>
          </w:p>
        </w:tc>
        <w:tc>
          <w:tcPr>
            <w:tcW w:w="0" w:type="dxa"/>
            <w:vAlign w:val="bottom"/>
          </w:tcPr>
          <w:p>
            <w:pPr>
              <w:spacing w:after="0"/>
              <w:rPr>
                <w:sz w:val="1"/>
                <w:szCs w:val="1"/>
                <w:color w:val="auto"/>
              </w:rPr>
            </w:pPr>
          </w:p>
        </w:tc>
      </w:tr>
      <w:tr>
        <w:trPr>
          <w:trHeight w:val="250"/>
        </w:trPr>
        <w:tc>
          <w:tcPr>
            <w:tcW w:w="8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Reinsurance receivables, net</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60,818,148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69,322,436</w:t>
            </w:r>
          </w:p>
        </w:tc>
        <w:tc>
          <w:tcPr>
            <w:tcW w:w="0" w:type="dxa"/>
            <w:vAlign w:val="bottom"/>
          </w:tcPr>
          <w:p>
            <w:pPr>
              <w:spacing w:after="0"/>
              <w:rPr>
                <w:sz w:val="1"/>
                <w:szCs w:val="1"/>
                <w:color w:val="auto"/>
              </w:rPr>
            </w:pPr>
          </w:p>
        </w:tc>
      </w:tr>
      <w:tr>
        <w:trPr>
          <w:trHeight w:val="263"/>
        </w:trPr>
        <w:tc>
          <w:tcPr>
            <w:tcW w:w="8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Deferred policy acquisition costs</w:t>
            </w: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24,400,992</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24,732,371</w:t>
            </w:r>
          </w:p>
        </w:tc>
        <w:tc>
          <w:tcPr>
            <w:tcW w:w="0" w:type="dxa"/>
            <w:vAlign w:val="bottom"/>
          </w:tcPr>
          <w:p>
            <w:pPr>
              <w:spacing w:after="0"/>
              <w:rPr>
                <w:sz w:val="1"/>
                <w:szCs w:val="1"/>
                <w:color w:val="auto"/>
              </w:rPr>
            </w:pPr>
          </w:p>
        </w:tc>
      </w:tr>
      <w:tr>
        <w:trPr>
          <w:trHeight w:val="250"/>
        </w:trPr>
        <w:tc>
          <w:tcPr>
            <w:tcW w:w="8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Intangible assets</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0" w:type="dxa"/>
            <w:vAlign w:val="bottom"/>
          </w:tcPr>
          <w:p>
            <w:pPr>
              <w:spacing w:after="0"/>
              <w:rPr>
                <w:sz w:val="1"/>
                <w:szCs w:val="1"/>
                <w:color w:val="auto"/>
              </w:rPr>
            </w:pPr>
          </w:p>
        </w:tc>
      </w:tr>
      <w:tr>
        <w:trPr>
          <w:trHeight w:val="263"/>
        </w:trPr>
        <w:tc>
          <w:tcPr>
            <w:tcW w:w="8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7,889,564</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9,283,970</w:t>
            </w:r>
          </w:p>
        </w:tc>
        <w:tc>
          <w:tcPr>
            <w:tcW w:w="0" w:type="dxa"/>
            <w:vAlign w:val="bottom"/>
          </w:tcPr>
          <w:p>
            <w:pPr>
              <w:spacing w:after="0"/>
              <w:rPr>
                <w:sz w:val="1"/>
                <w:szCs w:val="1"/>
                <w:color w:val="auto"/>
              </w:rPr>
            </w:pPr>
          </w:p>
        </w:tc>
      </w:tr>
      <w:tr>
        <w:trPr>
          <w:trHeight w:val="250"/>
        </w:trPr>
        <w:tc>
          <w:tcPr>
            <w:tcW w:w="8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Deferred income taxes, net</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5,132,770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5,597,920</w:t>
            </w:r>
          </w:p>
        </w:tc>
        <w:tc>
          <w:tcPr>
            <w:tcW w:w="0" w:type="dxa"/>
            <w:vAlign w:val="bottom"/>
          </w:tcPr>
          <w:p>
            <w:pPr>
              <w:spacing w:after="0"/>
              <w:rPr>
                <w:sz w:val="1"/>
                <w:szCs w:val="1"/>
                <w:color w:val="auto"/>
              </w:rPr>
            </w:pPr>
          </w:p>
        </w:tc>
      </w:tr>
      <w:tr>
        <w:trPr>
          <w:trHeight w:val="263"/>
        </w:trPr>
        <w:tc>
          <w:tcPr>
            <w:tcW w:w="8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assets</w:t>
            </w:r>
          </w:p>
        </w:tc>
        <w:tc>
          <w:tcPr>
            <w:tcW w:w="20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6,325,444</w:t>
            </w:r>
          </w:p>
        </w:tc>
        <w:tc>
          <w:tcPr>
            <w:tcW w:w="10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6,424,776</w:t>
            </w:r>
          </w:p>
        </w:tc>
        <w:tc>
          <w:tcPr>
            <w:tcW w:w="0" w:type="dxa"/>
            <w:vAlign w:val="bottom"/>
          </w:tcPr>
          <w:p>
            <w:pPr>
              <w:spacing w:after="0"/>
              <w:rPr>
                <w:sz w:val="1"/>
                <w:szCs w:val="1"/>
                <w:color w:val="auto"/>
              </w:rPr>
            </w:pP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385,439,240</w:t>
            </w:r>
          </w:p>
        </w:tc>
        <w:tc>
          <w:tcPr>
            <w:tcW w:w="10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374,915,843</w:t>
            </w:r>
          </w:p>
        </w:tc>
        <w:tc>
          <w:tcPr>
            <w:tcW w:w="0" w:type="dxa"/>
            <w:vAlign w:val="bottom"/>
          </w:tcPr>
          <w:p>
            <w:pPr>
              <w:spacing w:after="0"/>
              <w:rPr>
                <w:sz w:val="1"/>
                <w:szCs w:val="1"/>
                <w:color w:val="auto"/>
              </w:rPr>
            </w:pPr>
          </w:p>
        </w:tc>
      </w:tr>
      <w:tr>
        <w:trPr>
          <w:trHeight w:val="27"/>
        </w:trPr>
        <w:tc>
          <w:tcPr>
            <w:tcW w:w="818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00"/>
        </w:trPr>
        <w:tc>
          <w:tcPr>
            <w:tcW w:w="818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8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Loss and loss adjustment expense reserves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135,334,723</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126,210,428</w:t>
            </w:r>
          </w:p>
        </w:tc>
        <w:tc>
          <w:tcPr>
            <w:tcW w:w="0" w:type="dxa"/>
            <w:vAlign w:val="bottom"/>
          </w:tcPr>
          <w:p>
            <w:pPr>
              <w:spacing w:after="0"/>
              <w:rPr>
                <w:sz w:val="1"/>
                <w:szCs w:val="1"/>
                <w:color w:val="auto"/>
              </w:rPr>
            </w:pPr>
          </w:p>
        </w:tc>
      </w:tr>
      <w:tr>
        <w:trPr>
          <w:trHeight w:val="250"/>
        </w:trPr>
        <w:tc>
          <w:tcPr>
            <w:tcW w:w="8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Unearned premiums</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132,231,352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134,701,733</w:t>
            </w:r>
          </w:p>
        </w:tc>
        <w:tc>
          <w:tcPr>
            <w:tcW w:w="0" w:type="dxa"/>
            <w:vAlign w:val="bottom"/>
          </w:tcPr>
          <w:p>
            <w:pPr>
              <w:spacing w:after="0"/>
              <w:rPr>
                <w:sz w:val="1"/>
                <w:szCs w:val="1"/>
                <w:color w:val="auto"/>
              </w:rPr>
            </w:pPr>
          </w:p>
        </w:tc>
      </w:tr>
      <w:tr>
        <w:trPr>
          <w:trHeight w:val="263"/>
        </w:trPr>
        <w:tc>
          <w:tcPr>
            <w:tcW w:w="8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Advance premiums</w:t>
            </w: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4,079,775</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3,503,063</w:t>
            </w:r>
          </w:p>
        </w:tc>
        <w:tc>
          <w:tcPr>
            <w:tcW w:w="0" w:type="dxa"/>
            <w:vAlign w:val="bottom"/>
          </w:tcPr>
          <w:p>
            <w:pPr>
              <w:spacing w:after="0"/>
              <w:rPr>
                <w:sz w:val="1"/>
                <w:szCs w:val="1"/>
                <w:color w:val="auto"/>
              </w:rPr>
            </w:pPr>
          </w:p>
        </w:tc>
      </w:tr>
      <w:tr>
        <w:trPr>
          <w:trHeight w:val="250"/>
        </w:trPr>
        <w:tc>
          <w:tcPr>
            <w:tcW w:w="8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Reinsurance balances payable</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5,815,948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10,509,121</w:t>
            </w:r>
          </w:p>
        </w:tc>
        <w:tc>
          <w:tcPr>
            <w:tcW w:w="0" w:type="dxa"/>
            <w:vAlign w:val="bottom"/>
          </w:tcPr>
          <w:p>
            <w:pPr>
              <w:spacing w:after="0"/>
              <w:rPr>
                <w:sz w:val="1"/>
                <w:szCs w:val="1"/>
                <w:color w:val="auto"/>
              </w:rPr>
            </w:pPr>
          </w:p>
        </w:tc>
      </w:tr>
      <w:tr>
        <w:trPr>
          <w:trHeight w:val="263"/>
        </w:trPr>
        <w:tc>
          <w:tcPr>
            <w:tcW w:w="8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Deferred ceding commission revenue</w:t>
            </w: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7,085,047</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11,541,239</w:t>
            </w:r>
          </w:p>
        </w:tc>
        <w:tc>
          <w:tcPr>
            <w:tcW w:w="0" w:type="dxa"/>
            <w:vAlign w:val="bottom"/>
          </w:tcPr>
          <w:p>
            <w:pPr>
              <w:spacing w:after="0"/>
              <w:rPr>
                <w:sz w:val="1"/>
                <w:szCs w:val="1"/>
                <w:color w:val="auto"/>
              </w:rPr>
            </w:pPr>
          </w:p>
        </w:tc>
      </w:tr>
      <w:tr>
        <w:trPr>
          <w:trHeight w:val="250"/>
        </w:trPr>
        <w:tc>
          <w:tcPr>
            <w:tcW w:w="8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Accounts payable, accrued expenses and other liabilities</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11,967,825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10,570,388</w:t>
            </w:r>
          </w:p>
        </w:tc>
        <w:tc>
          <w:tcPr>
            <w:tcW w:w="0" w:type="dxa"/>
            <w:vAlign w:val="bottom"/>
          </w:tcPr>
          <w:p>
            <w:pPr>
              <w:spacing w:after="0"/>
              <w:rPr>
                <w:sz w:val="1"/>
                <w:szCs w:val="1"/>
                <w:color w:val="auto"/>
              </w:rPr>
            </w:pPr>
          </w:p>
        </w:tc>
      </w:tr>
      <w:tr>
        <w:trPr>
          <w:trHeight w:val="263"/>
        </w:trPr>
        <w:tc>
          <w:tcPr>
            <w:tcW w:w="8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Income taxes payable</w:t>
            </w: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1,350,342</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1"/>
        </w:trPr>
        <w:tc>
          <w:tcPr>
            <w:tcW w:w="8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Debt, net (current $1,241,294 and long-term $4,122,971 at March 31,</w:t>
            </w: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81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2025, current $6,849,257 and long-term $4,322,163 at December 31, 2024)</w:t>
            </w:r>
          </w:p>
        </w:tc>
        <w:tc>
          <w:tcPr>
            <w:tcW w:w="2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5,364,265</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11,171,420</w:t>
            </w:r>
          </w:p>
        </w:tc>
        <w:tc>
          <w:tcPr>
            <w:tcW w:w="0" w:type="dxa"/>
            <w:vAlign w:val="bottom"/>
          </w:tcPr>
          <w:p>
            <w:pPr>
              <w:spacing w:after="0"/>
              <w:rPr>
                <w:sz w:val="1"/>
                <w:szCs w:val="1"/>
                <w:color w:val="auto"/>
              </w:rPr>
            </w:pPr>
          </w:p>
        </w:tc>
      </w:tr>
      <w:tr>
        <w:trPr>
          <w:trHeight w:val="25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20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303,229,277</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308,207,392</w:t>
            </w:r>
          </w:p>
        </w:tc>
        <w:tc>
          <w:tcPr>
            <w:tcW w:w="0" w:type="dxa"/>
            <w:vAlign w:val="bottom"/>
          </w:tcPr>
          <w:p>
            <w:pPr>
              <w:spacing w:after="0"/>
              <w:rPr>
                <w:sz w:val="1"/>
                <w:szCs w:val="1"/>
                <w:color w:val="auto"/>
              </w:rPr>
            </w:pPr>
          </w:p>
        </w:tc>
      </w:tr>
      <w:tr>
        <w:trPr>
          <w:trHeight w:val="257"/>
        </w:trPr>
        <w:tc>
          <w:tcPr>
            <w:tcW w:w="81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Commitments and Contingencies (Note 11)</w:t>
            </w: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81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8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Preferred stock, $0.01 par value; authorized 2,500,000 shares</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8"/>
        </w:trPr>
        <w:tc>
          <w:tcPr>
            <w:tcW w:w="8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Common stock, $0.01 par value; authorized 20,000,000 shares; issued 15,283,417 shares at March 31, 2025</w:t>
            </w: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180" w:type="dxa"/>
            <w:vAlign w:val="bottom"/>
            <w:shd w:val="clear" w:color="auto" w:fill="CCEEFF"/>
          </w:tcPr>
          <w:p>
            <w:pPr>
              <w:ind w:left="220"/>
              <w:spacing w:after="0" w:line="202" w:lineRule="exact"/>
              <w:rPr>
                <w:sz w:val="20"/>
                <w:szCs w:val="20"/>
                <w:color w:val="auto"/>
              </w:rPr>
            </w:pPr>
            <w:r>
              <w:rPr>
                <w:rFonts w:ascii="Times New Roman" w:cs="Times New Roman" w:eastAsia="Times New Roman" w:hAnsi="Times New Roman"/>
                <w:sz w:val="18"/>
                <w:szCs w:val="18"/>
                <w:color w:val="auto"/>
              </w:rPr>
              <w:t>and 14,448,205 shares at December 31, 2024 ; outstanding 13,759,292 shares at March 31, 2025 and</w:t>
            </w:r>
          </w:p>
        </w:tc>
        <w:tc>
          <w:tcPr>
            <w:tcW w:w="2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1"/>
        </w:trPr>
        <w:tc>
          <w:tcPr>
            <w:tcW w:w="8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12,924,080 shares at December 31, 2024</w:t>
            </w: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152,834</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144,482</w:t>
            </w:r>
          </w:p>
        </w:tc>
        <w:tc>
          <w:tcPr>
            <w:tcW w:w="0" w:type="dxa"/>
            <w:vAlign w:val="bottom"/>
          </w:tcPr>
          <w:p>
            <w:pPr>
              <w:spacing w:after="0"/>
              <w:rPr>
                <w:sz w:val="1"/>
                <w:szCs w:val="1"/>
                <w:color w:val="auto"/>
              </w:rPr>
            </w:pPr>
          </w:p>
        </w:tc>
      </w:tr>
      <w:tr>
        <w:trPr>
          <w:trHeight w:val="250"/>
        </w:trPr>
        <w:tc>
          <w:tcPr>
            <w:tcW w:w="8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Capital in excess of par</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98,450,640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89,063,326</w:t>
            </w:r>
          </w:p>
        </w:tc>
        <w:tc>
          <w:tcPr>
            <w:tcW w:w="0" w:type="dxa"/>
            <w:vAlign w:val="bottom"/>
          </w:tcPr>
          <w:p>
            <w:pPr>
              <w:spacing w:after="0"/>
              <w:rPr>
                <w:sz w:val="1"/>
                <w:szCs w:val="1"/>
                <w:color w:val="auto"/>
              </w:rPr>
            </w:pPr>
          </w:p>
        </w:tc>
      </w:tr>
      <w:tr>
        <w:trPr>
          <w:trHeight w:val="263"/>
        </w:trPr>
        <w:tc>
          <w:tcPr>
            <w:tcW w:w="8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(9,952,290)</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(12,175,476)</w:t>
            </w:r>
          </w:p>
        </w:tc>
        <w:tc>
          <w:tcPr>
            <w:tcW w:w="0" w:type="dxa"/>
            <w:vAlign w:val="bottom"/>
          </w:tcPr>
          <w:p>
            <w:pPr>
              <w:spacing w:after="0"/>
              <w:rPr>
                <w:sz w:val="1"/>
                <w:szCs w:val="1"/>
                <w:color w:val="auto"/>
              </w:rPr>
            </w:pPr>
          </w:p>
        </w:tc>
      </w:tr>
      <w:tr>
        <w:trPr>
          <w:trHeight w:val="250"/>
        </w:trPr>
        <w:tc>
          <w:tcPr>
            <w:tcW w:w="8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Accumulated deficit</w:t>
            </w:r>
          </w:p>
        </w:tc>
        <w:tc>
          <w:tcPr>
            <w:tcW w:w="2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(873,214)</w:t>
            </w:r>
          </w:p>
        </w:tc>
        <w:tc>
          <w:tcPr>
            <w:tcW w:w="1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(4,755,874)</w:t>
            </w:r>
          </w:p>
        </w:tc>
        <w:tc>
          <w:tcPr>
            <w:tcW w:w="0" w:type="dxa"/>
            <w:vAlign w:val="bottom"/>
          </w:tcPr>
          <w:p>
            <w:pPr>
              <w:spacing w:after="0"/>
              <w:rPr>
                <w:sz w:val="1"/>
                <w:szCs w:val="1"/>
                <w:color w:val="auto"/>
              </w:rPr>
            </w:pPr>
          </w:p>
        </w:tc>
      </w:tr>
      <w:tr>
        <w:trPr>
          <w:trHeight w:val="250"/>
        </w:trPr>
        <w:tc>
          <w:tcPr>
            <w:tcW w:w="818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Stockholders' Equity before treasury stock</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87,777,970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72,276,458</w:t>
            </w:r>
          </w:p>
        </w:tc>
        <w:tc>
          <w:tcPr>
            <w:tcW w:w="0" w:type="dxa"/>
            <w:vAlign w:val="bottom"/>
          </w:tcPr>
          <w:p>
            <w:pPr>
              <w:spacing w:after="0"/>
              <w:rPr>
                <w:sz w:val="1"/>
                <w:szCs w:val="1"/>
                <w:color w:val="auto"/>
              </w:rPr>
            </w:pPr>
          </w:p>
        </w:tc>
      </w:tr>
      <w:tr>
        <w:trPr>
          <w:trHeight w:val="263"/>
        </w:trPr>
        <w:tc>
          <w:tcPr>
            <w:tcW w:w="8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Treasury stock, at cost, 1,524,125 shares at March 31, 2025 and 1,524,125 at December 31, 2024</w:t>
            </w:r>
          </w:p>
        </w:tc>
        <w:tc>
          <w:tcPr>
            <w:tcW w:w="20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(5,568,007)</w:t>
            </w:r>
          </w:p>
        </w:tc>
        <w:tc>
          <w:tcPr>
            <w:tcW w:w="10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(5,568,007)</w:t>
            </w:r>
          </w:p>
        </w:tc>
        <w:tc>
          <w:tcPr>
            <w:tcW w:w="0" w:type="dxa"/>
            <w:vAlign w:val="bottom"/>
          </w:tcPr>
          <w:p>
            <w:pPr>
              <w:spacing w:after="0"/>
              <w:rPr>
                <w:sz w:val="1"/>
                <w:szCs w:val="1"/>
                <w:color w:val="auto"/>
              </w:rPr>
            </w:pPr>
          </w:p>
        </w:tc>
      </w:tr>
      <w:tr>
        <w:trPr>
          <w:trHeight w:val="243"/>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stockholders' equity</w:t>
            </w:r>
          </w:p>
        </w:tc>
        <w:tc>
          <w:tcPr>
            <w:tcW w:w="2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82,209,963</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66,708,451</w:t>
            </w:r>
          </w:p>
        </w:tc>
        <w:tc>
          <w:tcPr>
            <w:tcW w:w="0" w:type="dxa"/>
            <w:vAlign w:val="bottom"/>
          </w:tcPr>
          <w:p>
            <w:pPr>
              <w:spacing w:after="0"/>
              <w:rPr>
                <w:sz w:val="1"/>
                <w:szCs w:val="1"/>
                <w:color w:val="auto"/>
              </w:rPr>
            </w:pPr>
          </w:p>
        </w:tc>
      </w:tr>
      <w:tr>
        <w:trPr>
          <w:trHeight w:val="257"/>
        </w:trPr>
        <w:tc>
          <w:tcPr>
            <w:tcW w:w="81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385,439,240</w:t>
            </w:r>
          </w:p>
        </w:tc>
        <w:tc>
          <w:tcPr>
            <w:tcW w:w="10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374,915,843</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w:t>
      </w:r>
    </w:p>
    <w:p>
      <w:pPr>
        <w:sectPr>
          <w:pgSz w:w="11900" w:h="16838" w:orient="portrait"/>
          <w:cols w:equalWidth="0" w:num="1">
            <w:col w:w="11240"/>
          </w:cols>
          <w:pgMar w:left="320" w:top="119" w:right="3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355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35560"/>
                    </a:xfrm>
                    <a:prstGeom prst="rect">
                      <a:avLst/>
                    </a:prstGeom>
                    <a:noFill/>
                  </pic:spPr>
                </pic:pic>
              </a:graphicData>
            </a:graphic>
          </wp:anchor>
        </w:drawing>
      </w:r>
    </w:p>
    <w:p>
      <w:pPr>
        <w:sectPr>
          <w:pgSz w:w="11900" w:h="16838" w:orient="portrait"/>
          <w:cols w:equalWidth="0" w:num="1">
            <w:col w:w="11240"/>
          </w:cols>
          <w:pgMar w:left="320" w:top="119" w:right="339" w:bottom="0" w:gutter="0" w:footer="0" w:header="0"/>
          <w:type w:val="continuous"/>
        </w:sectPr>
      </w:pPr>
    </w:p>
    <w:bookmarkStart w:id="4" w:name="page5"/>
    <w:bookmarkEnd w:id="4"/>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KINGSTONE COMPANIES, INC. AND SUBSIDIARIES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Income and Comprehensive Income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173990</wp:posOffset>
            </wp:positionV>
            <wp:extent cx="676338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763385" cy="8255"/>
                    </a:xfrm>
                    <a:prstGeom prst="rect">
                      <a:avLst/>
                    </a:prstGeom>
                    <a:noFill/>
                  </pic:spPr>
                </pic:pic>
              </a:graphicData>
            </a:graphic>
          </wp:anchor>
        </w:drawing>
      </w:r>
    </w:p>
    <w:p>
      <w:pPr>
        <w:spacing w:after="0" w:line="273" w:lineRule="exact"/>
        <w:rPr>
          <w:sz w:val="20"/>
          <w:szCs w:val="20"/>
          <w:color w:val="auto"/>
        </w:rPr>
      </w:pPr>
    </w:p>
    <w:p>
      <w:pPr>
        <w:jc w:val="center"/>
        <w:ind w:left="758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p>
      <w:pPr>
        <w:spacing w:after="0" w:line="20" w:lineRule="exact"/>
        <w:rPr>
          <w:sz w:val="20"/>
          <w:szCs w:val="20"/>
          <w:color w:val="auto"/>
        </w:rPr>
      </w:pPr>
    </w:p>
    <w:p>
      <w:pPr>
        <w:jc w:val="center"/>
        <w:ind w:left="758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5011420</wp:posOffset>
            </wp:positionH>
            <wp:positionV relativeFrom="paragraph">
              <wp:posOffset>13335</wp:posOffset>
            </wp:positionV>
            <wp:extent cx="194627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946275" cy="8255"/>
                    </a:xfrm>
                    <a:prstGeom prst="rect">
                      <a:avLst/>
                    </a:prstGeom>
                    <a:noFill/>
                  </pic:spPr>
                </pic:pic>
              </a:graphicData>
            </a:graphic>
          </wp:anchor>
        </w:drawing>
      </w:r>
    </w:p>
    <w:p>
      <w:pPr>
        <w:spacing w:after="0" w:line="19" w:lineRule="exact"/>
        <w:rPr>
          <w:sz w:val="20"/>
          <w:szCs w:val="20"/>
          <w:color w:val="auto"/>
        </w:rPr>
      </w:pPr>
    </w:p>
    <w:tbl>
      <w:tblPr>
        <w:tblLayout w:type="fixed"/>
        <w:tblInd w:w="300" w:type="dxa"/>
        <w:tblCellMar>
          <w:top w:w="0" w:type="dxa"/>
          <w:left w:w="0" w:type="dxa"/>
          <w:bottom w:w="0" w:type="dxa"/>
          <w:right w:w="0" w:type="dxa"/>
        </w:tblCellMar>
      </w:tblPr>
      <w:tr>
        <w:trPr>
          <w:trHeight w:val="245"/>
        </w:trPr>
        <w:tc>
          <w:tcPr>
            <w:tcW w:w="760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36"/>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7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premiums earned</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43,523,063</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28,819,902</w:t>
            </w:r>
          </w:p>
        </w:tc>
        <w:tc>
          <w:tcPr>
            <w:tcW w:w="0" w:type="dxa"/>
            <w:vAlign w:val="bottom"/>
          </w:tcPr>
          <w:p>
            <w:pPr>
              <w:spacing w:after="0"/>
              <w:rPr>
                <w:sz w:val="1"/>
                <w:szCs w:val="1"/>
                <w:color w:val="auto"/>
              </w:rPr>
            </w:pPr>
          </w:p>
        </w:tc>
      </w:tr>
      <w:tr>
        <w:trPr>
          <w:trHeight w:val="250"/>
        </w:trPr>
        <w:tc>
          <w:tcPr>
            <w:tcW w:w="7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Ceding commission revenue</w:t>
            </w: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2,958,691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4,567,111</w:t>
            </w:r>
          </w:p>
        </w:tc>
        <w:tc>
          <w:tcPr>
            <w:tcW w:w="0" w:type="dxa"/>
            <w:vAlign w:val="bottom"/>
          </w:tcPr>
          <w:p>
            <w:pPr>
              <w:spacing w:after="0"/>
              <w:rPr>
                <w:sz w:val="1"/>
                <w:szCs w:val="1"/>
                <w:color w:val="auto"/>
              </w:rPr>
            </w:pPr>
          </w:p>
        </w:tc>
      </w:tr>
      <w:tr>
        <w:trPr>
          <w:trHeight w:val="263"/>
        </w:trPr>
        <w:tc>
          <w:tcPr>
            <w:tcW w:w="7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investment income</w:t>
            </w: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2,048,596</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1,502,860</w:t>
            </w:r>
          </w:p>
        </w:tc>
        <w:tc>
          <w:tcPr>
            <w:tcW w:w="0" w:type="dxa"/>
            <w:vAlign w:val="bottom"/>
          </w:tcPr>
          <w:p>
            <w:pPr>
              <w:spacing w:after="0"/>
              <w:rPr>
                <w:sz w:val="1"/>
                <w:szCs w:val="1"/>
                <w:color w:val="auto"/>
              </w:rPr>
            </w:pPr>
          </w:p>
        </w:tc>
      </w:tr>
      <w:tr>
        <w:trPr>
          <w:trHeight w:val="250"/>
        </w:trPr>
        <w:tc>
          <w:tcPr>
            <w:tcW w:w="7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(losses) gains on investments</w:t>
            </w: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(137,979)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726,391</w:t>
            </w:r>
          </w:p>
        </w:tc>
        <w:tc>
          <w:tcPr>
            <w:tcW w:w="0" w:type="dxa"/>
            <w:vAlign w:val="bottom"/>
          </w:tcPr>
          <w:p>
            <w:pPr>
              <w:spacing w:after="0"/>
              <w:rPr>
                <w:sz w:val="1"/>
                <w:szCs w:val="1"/>
                <w:color w:val="auto"/>
              </w:rPr>
            </w:pPr>
          </w:p>
        </w:tc>
      </w:tr>
      <w:tr>
        <w:trPr>
          <w:trHeight w:val="263"/>
        </w:trPr>
        <w:tc>
          <w:tcPr>
            <w:tcW w:w="7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Realized gain on sale of real estate</w:t>
            </w: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1,965,989</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76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Other income</w:t>
            </w:r>
          </w:p>
        </w:tc>
        <w:tc>
          <w:tcPr>
            <w:tcW w:w="3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140,415</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148,913</w:t>
            </w:r>
          </w:p>
        </w:tc>
        <w:tc>
          <w:tcPr>
            <w:tcW w:w="0" w:type="dxa"/>
            <w:vAlign w:val="bottom"/>
          </w:tcPr>
          <w:p>
            <w:pPr>
              <w:spacing w:after="0"/>
              <w:rPr>
                <w:sz w:val="1"/>
                <w:szCs w:val="1"/>
                <w:color w:val="auto"/>
              </w:rPr>
            </w:pPr>
          </w:p>
        </w:tc>
      </w:tr>
      <w:tr>
        <w:trPr>
          <w:trHeight w:val="250"/>
        </w:trPr>
        <w:tc>
          <w:tcPr>
            <w:tcW w:w="76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Total revenues</w:t>
            </w:r>
          </w:p>
        </w:tc>
        <w:tc>
          <w:tcPr>
            <w:tcW w:w="32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50,498,775</w:t>
            </w:r>
          </w:p>
        </w:tc>
        <w:tc>
          <w:tcPr>
            <w:tcW w:w="10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35,765,177</w:t>
            </w:r>
          </w:p>
        </w:tc>
        <w:tc>
          <w:tcPr>
            <w:tcW w:w="0" w:type="dxa"/>
            <w:vAlign w:val="bottom"/>
          </w:tcPr>
          <w:p>
            <w:pPr>
              <w:spacing w:after="0"/>
              <w:rPr>
                <w:sz w:val="1"/>
                <w:szCs w:val="1"/>
                <w:color w:val="auto"/>
              </w:rPr>
            </w:pPr>
          </w:p>
        </w:tc>
      </w:tr>
      <w:tr>
        <w:trPr>
          <w:trHeight w:val="203"/>
        </w:trPr>
        <w:tc>
          <w:tcPr>
            <w:tcW w:w="7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7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Loss and loss adjustment expenses</w:t>
            </w: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27,175,078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17,859,587</w:t>
            </w:r>
          </w:p>
        </w:tc>
        <w:tc>
          <w:tcPr>
            <w:tcW w:w="0" w:type="dxa"/>
            <w:vAlign w:val="bottom"/>
          </w:tcPr>
          <w:p>
            <w:pPr>
              <w:spacing w:after="0"/>
              <w:rPr>
                <w:sz w:val="1"/>
                <w:szCs w:val="1"/>
                <w:color w:val="auto"/>
              </w:rPr>
            </w:pPr>
          </w:p>
        </w:tc>
      </w:tr>
      <w:tr>
        <w:trPr>
          <w:trHeight w:val="263"/>
        </w:trPr>
        <w:tc>
          <w:tcPr>
            <w:tcW w:w="7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Commission expense</w:t>
            </w: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9,312,880</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7,851,812</w:t>
            </w:r>
          </w:p>
        </w:tc>
        <w:tc>
          <w:tcPr>
            <w:tcW w:w="0" w:type="dxa"/>
            <w:vAlign w:val="bottom"/>
          </w:tcPr>
          <w:p>
            <w:pPr>
              <w:spacing w:after="0"/>
              <w:rPr>
                <w:sz w:val="1"/>
                <w:szCs w:val="1"/>
                <w:color w:val="auto"/>
              </w:rPr>
            </w:pPr>
          </w:p>
        </w:tc>
      </w:tr>
      <w:tr>
        <w:trPr>
          <w:trHeight w:val="250"/>
        </w:trPr>
        <w:tc>
          <w:tcPr>
            <w:tcW w:w="7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 underwriting expenses</w:t>
            </w: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7,405,422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5,880,605</w:t>
            </w:r>
          </w:p>
        </w:tc>
        <w:tc>
          <w:tcPr>
            <w:tcW w:w="0" w:type="dxa"/>
            <w:vAlign w:val="bottom"/>
          </w:tcPr>
          <w:p>
            <w:pPr>
              <w:spacing w:after="0"/>
              <w:rPr>
                <w:sz w:val="1"/>
                <w:szCs w:val="1"/>
                <w:color w:val="auto"/>
              </w:rPr>
            </w:pPr>
          </w:p>
        </w:tc>
      </w:tr>
      <w:tr>
        <w:trPr>
          <w:trHeight w:val="263"/>
        </w:trPr>
        <w:tc>
          <w:tcPr>
            <w:tcW w:w="7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operating expenses</w:t>
            </w: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1,035,737</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778,082</w:t>
            </w:r>
          </w:p>
        </w:tc>
        <w:tc>
          <w:tcPr>
            <w:tcW w:w="0" w:type="dxa"/>
            <w:vAlign w:val="bottom"/>
          </w:tcPr>
          <w:p>
            <w:pPr>
              <w:spacing w:after="0"/>
              <w:rPr>
                <w:sz w:val="1"/>
                <w:szCs w:val="1"/>
                <w:color w:val="auto"/>
              </w:rPr>
            </w:pPr>
          </w:p>
        </w:tc>
      </w:tr>
      <w:tr>
        <w:trPr>
          <w:trHeight w:val="250"/>
        </w:trPr>
        <w:tc>
          <w:tcPr>
            <w:tcW w:w="7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623,863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596,513</w:t>
            </w:r>
          </w:p>
        </w:tc>
        <w:tc>
          <w:tcPr>
            <w:tcW w:w="0" w:type="dxa"/>
            <w:vAlign w:val="bottom"/>
          </w:tcPr>
          <w:p>
            <w:pPr>
              <w:spacing w:after="0"/>
              <w:rPr>
                <w:sz w:val="1"/>
                <w:szCs w:val="1"/>
                <w:color w:val="auto"/>
              </w:rPr>
            </w:pPr>
          </w:p>
        </w:tc>
      </w:tr>
      <w:tr>
        <w:trPr>
          <w:trHeight w:val="263"/>
        </w:trPr>
        <w:tc>
          <w:tcPr>
            <w:tcW w:w="7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expense</w:t>
            </w:r>
          </w:p>
        </w:tc>
        <w:tc>
          <w:tcPr>
            <w:tcW w:w="32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227,454</w:t>
            </w:r>
          </w:p>
        </w:tc>
        <w:tc>
          <w:tcPr>
            <w:tcW w:w="10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993,875</w:t>
            </w:r>
          </w:p>
        </w:tc>
        <w:tc>
          <w:tcPr>
            <w:tcW w:w="0" w:type="dxa"/>
            <w:vAlign w:val="bottom"/>
          </w:tcPr>
          <w:p>
            <w:pPr>
              <w:spacing w:after="0"/>
              <w:rPr>
                <w:sz w:val="1"/>
                <w:szCs w:val="1"/>
                <w:color w:val="auto"/>
              </w:rPr>
            </w:pPr>
          </w:p>
        </w:tc>
      </w:tr>
      <w:tr>
        <w:trPr>
          <w:trHeight w:val="244"/>
        </w:trPr>
        <w:tc>
          <w:tcPr>
            <w:tcW w:w="7600" w:type="dxa"/>
            <w:vAlign w:val="bottom"/>
            <w:tcBorders>
              <w:bottom w:val="single" w:sz="8" w:color="CCEEFF"/>
            </w:tcBorders>
          </w:tcPr>
          <w:p>
            <w:pPr>
              <w:ind w:left="420"/>
              <w:spacing w:after="0"/>
              <w:rPr>
                <w:sz w:val="20"/>
                <w:szCs w:val="20"/>
                <w:color w:val="auto"/>
              </w:rPr>
            </w:pPr>
            <w:r>
              <w:rPr>
                <w:rFonts w:ascii="Times New Roman" w:cs="Times New Roman" w:eastAsia="Times New Roman" w:hAnsi="Times New Roman"/>
                <w:sz w:val="18"/>
                <w:szCs w:val="18"/>
                <w:color w:val="auto"/>
              </w:rPr>
              <w:t>Total expenses</w:t>
            </w:r>
          </w:p>
        </w:tc>
        <w:tc>
          <w:tcPr>
            <w:tcW w:w="3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45,780,434</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33,960,474</w:t>
            </w:r>
          </w:p>
        </w:tc>
        <w:tc>
          <w:tcPr>
            <w:tcW w:w="0" w:type="dxa"/>
            <w:vAlign w:val="bottom"/>
          </w:tcPr>
          <w:p>
            <w:pPr>
              <w:spacing w:after="0"/>
              <w:rPr>
                <w:sz w:val="1"/>
                <w:szCs w:val="1"/>
                <w:color w:val="auto"/>
              </w:rPr>
            </w:pPr>
          </w:p>
        </w:tc>
      </w:tr>
      <w:tr>
        <w:trPr>
          <w:trHeight w:val="203"/>
        </w:trPr>
        <w:tc>
          <w:tcPr>
            <w:tcW w:w="76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7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Income from operations before taxes</w:t>
            </w: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4,718,341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1,804,703</w:t>
            </w:r>
          </w:p>
        </w:tc>
        <w:tc>
          <w:tcPr>
            <w:tcW w:w="0" w:type="dxa"/>
            <w:vAlign w:val="bottom"/>
          </w:tcPr>
          <w:p>
            <w:pPr>
              <w:spacing w:after="0"/>
              <w:rPr>
                <w:sz w:val="1"/>
                <w:szCs w:val="1"/>
                <w:color w:val="auto"/>
              </w:rPr>
            </w:pPr>
          </w:p>
        </w:tc>
      </w:tr>
      <w:tr>
        <w:trPr>
          <w:trHeight w:val="263"/>
        </w:trPr>
        <w:tc>
          <w:tcPr>
            <w:tcW w:w="7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Income tax expense</w:t>
            </w:r>
          </w:p>
        </w:tc>
        <w:tc>
          <w:tcPr>
            <w:tcW w:w="32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835,681</w:t>
            </w:r>
          </w:p>
        </w:tc>
        <w:tc>
          <w:tcPr>
            <w:tcW w:w="10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378,024</w:t>
            </w:r>
          </w:p>
        </w:tc>
        <w:tc>
          <w:tcPr>
            <w:tcW w:w="0" w:type="dxa"/>
            <w:vAlign w:val="bottom"/>
          </w:tcPr>
          <w:p>
            <w:pPr>
              <w:spacing w:after="0"/>
              <w:rPr>
                <w:sz w:val="1"/>
                <w:szCs w:val="1"/>
                <w:color w:val="auto"/>
              </w:rPr>
            </w:pPr>
          </w:p>
        </w:tc>
      </w:tr>
      <w:tr>
        <w:trPr>
          <w:trHeight w:val="243"/>
        </w:trPr>
        <w:tc>
          <w:tcPr>
            <w:tcW w:w="7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3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3,882,660</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1,426,679</w:t>
            </w:r>
          </w:p>
        </w:tc>
        <w:tc>
          <w:tcPr>
            <w:tcW w:w="0" w:type="dxa"/>
            <w:vAlign w:val="bottom"/>
          </w:tcPr>
          <w:p>
            <w:pPr>
              <w:spacing w:after="0"/>
              <w:rPr>
                <w:sz w:val="1"/>
                <w:szCs w:val="1"/>
                <w:color w:val="auto"/>
              </w:rPr>
            </w:pPr>
          </w:p>
        </w:tc>
      </w:tr>
      <w:tr>
        <w:trPr>
          <w:trHeight w:val="203"/>
        </w:trPr>
        <w:tc>
          <w:tcPr>
            <w:tcW w:w="76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comprehensive income (loss), net of tax</w:t>
            </w: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7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Gross decrease (increase) in unrealized losses on available-for-sale-securities</w:t>
            </w: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2,812,432</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(560,347)</w:t>
            </w:r>
          </w:p>
        </w:tc>
        <w:tc>
          <w:tcPr>
            <w:tcW w:w="0" w:type="dxa"/>
            <w:vAlign w:val="bottom"/>
          </w:tcPr>
          <w:p>
            <w:pPr>
              <w:spacing w:after="0"/>
              <w:rPr>
                <w:sz w:val="1"/>
                <w:szCs w:val="1"/>
                <w:color w:val="auto"/>
              </w:rPr>
            </w:pPr>
          </w:p>
        </w:tc>
      </w:tr>
      <w:tr>
        <w:trPr>
          <w:trHeight w:val="216"/>
        </w:trPr>
        <w:tc>
          <w:tcPr>
            <w:tcW w:w="7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7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Reclassification adjustment for realized losses included in net income</w:t>
            </w:r>
          </w:p>
        </w:tc>
        <w:tc>
          <w:tcPr>
            <w:tcW w:w="32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1,726</w:t>
            </w:r>
          </w:p>
        </w:tc>
        <w:tc>
          <w:tcPr>
            <w:tcW w:w="10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2,867</w:t>
            </w:r>
          </w:p>
        </w:tc>
        <w:tc>
          <w:tcPr>
            <w:tcW w:w="0" w:type="dxa"/>
            <w:vAlign w:val="bottom"/>
          </w:tcPr>
          <w:p>
            <w:pPr>
              <w:spacing w:after="0"/>
              <w:rPr>
                <w:sz w:val="1"/>
                <w:szCs w:val="1"/>
                <w:color w:val="auto"/>
              </w:rPr>
            </w:pPr>
          </w:p>
        </w:tc>
      </w:tr>
      <w:tr>
        <w:trPr>
          <w:trHeight w:val="243"/>
        </w:trPr>
        <w:tc>
          <w:tcPr>
            <w:tcW w:w="7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decrease (increase) in unrealized losses</w:t>
            </w: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2,814,158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(557,480)</w:t>
            </w:r>
          </w:p>
        </w:tc>
        <w:tc>
          <w:tcPr>
            <w:tcW w:w="0" w:type="dxa"/>
            <w:vAlign w:val="bottom"/>
          </w:tcPr>
          <w:p>
            <w:pPr>
              <w:spacing w:after="0"/>
              <w:rPr>
                <w:sz w:val="1"/>
                <w:szCs w:val="1"/>
                <w:color w:val="auto"/>
              </w:rPr>
            </w:pPr>
          </w:p>
        </w:tc>
      </w:tr>
      <w:tr>
        <w:trPr>
          <w:trHeight w:val="263"/>
        </w:trPr>
        <w:tc>
          <w:tcPr>
            <w:tcW w:w="7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Income tax (expense) benefit related to items of other comprehensive income (loss)</w:t>
            </w:r>
          </w:p>
        </w:tc>
        <w:tc>
          <w:tcPr>
            <w:tcW w:w="32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(590,972)</w:t>
            </w:r>
          </w:p>
        </w:tc>
        <w:tc>
          <w:tcPr>
            <w:tcW w:w="10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117,072</w:t>
            </w:r>
          </w:p>
        </w:tc>
        <w:tc>
          <w:tcPr>
            <w:tcW w:w="0" w:type="dxa"/>
            <w:vAlign w:val="bottom"/>
          </w:tcPr>
          <w:p>
            <w:pPr>
              <w:spacing w:after="0"/>
              <w:rPr>
                <w:sz w:val="1"/>
                <w:szCs w:val="1"/>
                <w:color w:val="auto"/>
              </w:rPr>
            </w:pPr>
          </w:p>
        </w:tc>
      </w:tr>
      <w:tr>
        <w:trPr>
          <w:trHeight w:val="244"/>
        </w:trPr>
        <w:tc>
          <w:tcPr>
            <w:tcW w:w="7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Other comprehensive income (loss), net of tax</w:t>
            </w:r>
          </w:p>
        </w:tc>
        <w:tc>
          <w:tcPr>
            <w:tcW w:w="3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2,223,186</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(440,408)</w:t>
            </w:r>
          </w:p>
        </w:tc>
        <w:tc>
          <w:tcPr>
            <w:tcW w:w="0" w:type="dxa"/>
            <w:vAlign w:val="bottom"/>
          </w:tcPr>
          <w:p>
            <w:pPr>
              <w:spacing w:after="0"/>
              <w:rPr>
                <w:sz w:val="1"/>
                <w:szCs w:val="1"/>
                <w:color w:val="auto"/>
              </w:rPr>
            </w:pPr>
          </w:p>
        </w:tc>
      </w:tr>
      <w:tr>
        <w:trPr>
          <w:trHeight w:val="203"/>
        </w:trPr>
        <w:tc>
          <w:tcPr>
            <w:tcW w:w="76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income</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6,105,846</w:t>
            </w:r>
          </w:p>
        </w:tc>
        <w:tc>
          <w:tcPr>
            <w:tcW w:w="100" w:type="dxa"/>
            <w:vAlign w:val="bottom"/>
          </w:tcPr>
          <w:p>
            <w:pPr>
              <w:spacing w:after="0"/>
              <w:rPr>
                <w:sz w:val="21"/>
                <w:szCs w:val="21"/>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986,271</w:t>
            </w:r>
          </w:p>
        </w:tc>
        <w:tc>
          <w:tcPr>
            <w:tcW w:w="0" w:type="dxa"/>
            <w:vAlign w:val="bottom"/>
          </w:tcPr>
          <w:p>
            <w:pPr>
              <w:spacing w:after="0"/>
              <w:rPr>
                <w:sz w:val="1"/>
                <w:szCs w:val="1"/>
                <w:color w:val="auto"/>
              </w:rPr>
            </w:pPr>
          </w:p>
        </w:tc>
      </w:tr>
      <w:tr>
        <w:trPr>
          <w:trHeight w:val="20"/>
        </w:trPr>
        <w:tc>
          <w:tcPr>
            <w:tcW w:w="76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76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Earnings per common share:</w:t>
            </w: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76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Basic</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0.29</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0.13</w:t>
            </w:r>
          </w:p>
        </w:tc>
        <w:tc>
          <w:tcPr>
            <w:tcW w:w="0" w:type="dxa"/>
            <w:vAlign w:val="bottom"/>
          </w:tcPr>
          <w:p>
            <w:pPr>
              <w:spacing w:after="0"/>
              <w:rPr>
                <w:sz w:val="1"/>
                <w:szCs w:val="1"/>
                <w:color w:val="auto"/>
              </w:rPr>
            </w:pPr>
          </w:p>
        </w:tc>
      </w:tr>
      <w:tr>
        <w:trPr>
          <w:trHeight w:val="20"/>
        </w:trPr>
        <w:tc>
          <w:tcPr>
            <w:tcW w:w="7600" w:type="dxa"/>
            <w:vAlign w:val="bottom"/>
            <w:tcBorders>
              <w:top w:val="single" w:sz="8" w:color="CCEEFF"/>
              <w:bottom w:val="single" w:sz="8" w:color="CCEEFF"/>
            </w:tcBorders>
            <w:vMerge w:val="restart"/>
          </w:tcPr>
          <w:p>
            <w:pPr>
              <w:ind w:left="220"/>
              <w:spacing w:after="0"/>
              <w:rPr>
                <w:sz w:val="20"/>
                <w:szCs w:val="20"/>
                <w:color w:val="auto"/>
              </w:rPr>
            </w:pPr>
            <w:r>
              <w:rPr>
                <w:rFonts w:ascii="Times New Roman" w:cs="Times New Roman" w:eastAsia="Times New Roman" w:hAnsi="Times New Roman"/>
                <w:sz w:val="18"/>
                <w:szCs w:val="18"/>
                <w:color w:val="auto"/>
              </w:rPr>
              <w:t>Diluted</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600" w:type="dxa"/>
            <w:vAlign w:val="bottom"/>
            <w:vMerge w:val="continue"/>
          </w:tcPr>
          <w:p>
            <w:pPr>
              <w:spacing w:after="0"/>
              <w:rPr>
                <w:sz w:val="20"/>
                <w:szCs w:val="20"/>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0.27</w:t>
            </w:r>
          </w:p>
        </w:tc>
        <w:tc>
          <w:tcPr>
            <w:tcW w:w="100" w:type="dxa"/>
            <w:vAlign w:val="bottom"/>
          </w:tcPr>
          <w:p>
            <w:pPr>
              <w:spacing w:after="0"/>
              <w:rPr>
                <w:sz w:val="20"/>
                <w:szCs w:val="20"/>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0.12</w:t>
            </w:r>
          </w:p>
        </w:tc>
        <w:tc>
          <w:tcPr>
            <w:tcW w:w="0" w:type="dxa"/>
            <w:vAlign w:val="bottom"/>
          </w:tcPr>
          <w:p>
            <w:pPr>
              <w:spacing w:after="0"/>
              <w:rPr>
                <w:sz w:val="1"/>
                <w:szCs w:val="1"/>
                <w:color w:val="auto"/>
              </w:rPr>
            </w:pPr>
          </w:p>
        </w:tc>
      </w:tr>
      <w:tr>
        <w:trPr>
          <w:trHeight w:val="21"/>
        </w:trPr>
        <w:tc>
          <w:tcPr>
            <w:tcW w:w="76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76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Weighted average common shares outstanding</w:t>
            </w: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76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Basic</w:t>
            </w:r>
          </w:p>
        </w:tc>
        <w:tc>
          <w:tcPr>
            <w:tcW w:w="320" w:type="dxa"/>
            <w:vAlign w:val="bottom"/>
            <w:tcBorders>
              <w:bottom w:val="single" w:sz="8" w:color="auto"/>
            </w:tcBorders>
            <w:shd w:val="clear" w:color="auto" w:fill="CCEEFF"/>
          </w:tcPr>
          <w:p>
            <w:pPr>
              <w:spacing w:after="0"/>
              <w:rPr>
                <w:sz w:val="24"/>
                <w:szCs w:val="24"/>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13,472,404</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spacing w:after="0"/>
              <w:rPr>
                <w:sz w:val="24"/>
                <w:szCs w:val="24"/>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10,999,662</w:t>
            </w:r>
          </w:p>
        </w:tc>
        <w:tc>
          <w:tcPr>
            <w:tcW w:w="0" w:type="dxa"/>
            <w:vAlign w:val="bottom"/>
          </w:tcPr>
          <w:p>
            <w:pPr>
              <w:spacing w:after="0"/>
              <w:rPr>
                <w:sz w:val="1"/>
                <w:szCs w:val="1"/>
                <w:color w:val="auto"/>
              </w:rPr>
            </w:pPr>
          </w:p>
        </w:tc>
      </w:tr>
      <w:tr>
        <w:trPr>
          <w:trHeight w:val="20"/>
        </w:trPr>
        <w:tc>
          <w:tcPr>
            <w:tcW w:w="7600" w:type="dxa"/>
            <w:vAlign w:val="bottom"/>
            <w:tcBorders>
              <w:top w:val="single" w:sz="8" w:color="CCEEFF"/>
              <w:bottom w:val="single" w:sz="8" w:color="CCEEFF"/>
            </w:tcBorders>
            <w:vMerge w:val="restart"/>
          </w:tcPr>
          <w:p>
            <w:pPr>
              <w:ind w:left="220"/>
              <w:spacing w:after="0"/>
              <w:rPr>
                <w:sz w:val="20"/>
                <w:szCs w:val="20"/>
                <w:color w:val="auto"/>
              </w:rPr>
            </w:pPr>
            <w:r>
              <w:rPr>
                <w:rFonts w:ascii="Times New Roman" w:cs="Times New Roman" w:eastAsia="Times New Roman" w:hAnsi="Times New Roman"/>
                <w:sz w:val="18"/>
                <w:szCs w:val="18"/>
                <w:color w:val="auto"/>
              </w:rPr>
              <w:t>Diluted</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600" w:type="dxa"/>
            <w:vAlign w:val="bottom"/>
            <w:vMerge w:val="continue"/>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14,272,502</w:t>
            </w: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11,791,520</w:t>
            </w:r>
          </w:p>
        </w:tc>
        <w:tc>
          <w:tcPr>
            <w:tcW w:w="0" w:type="dxa"/>
            <w:vAlign w:val="bottom"/>
          </w:tcPr>
          <w:p>
            <w:pPr>
              <w:spacing w:after="0"/>
              <w:rPr>
                <w:sz w:val="1"/>
                <w:szCs w:val="1"/>
                <w:color w:val="auto"/>
              </w:rPr>
            </w:pPr>
          </w:p>
        </w:tc>
      </w:tr>
      <w:tr>
        <w:trPr>
          <w:trHeight w:val="27"/>
        </w:trPr>
        <w:tc>
          <w:tcPr>
            <w:tcW w:w="76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w:t>
      </w:r>
    </w:p>
    <w:p>
      <w:pPr>
        <w:sectPr>
          <w:pgSz w:w="11900" w:h="16838" w:orient="portrait"/>
          <w:cols w:equalWidth="0" w:num="1">
            <w:col w:w="11240"/>
          </w:cols>
          <w:pgMar w:left="320" w:top="11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5" w:name="page6"/>
    <w:bookmarkEnd w:id="5"/>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KINGSTONE COMPANIES, INC. AND SUBSIDIARIES</w:t>
      </w:r>
    </w:p>
    <w:p>
      <w:pPr>
        <w:spacing w:after="0" w:line="27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Three months ended March 31, 2025 and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8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color w:val="auto"/>
              </w:rPr>
              <w:t>Accumulated</w:t>
            </w: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880" w:type="dxa"/>
            <w:vAlign w:val="bottom"/>
          </w:tcPr>
          <w:p>
            <w:pPr>
              <w:spacing w:after="0"/>
              <w:rPr>
                <w:sz w:val="16"/>
                <w:szCs w:val="16"/>
                <w:color w:val="auto"/>
              </w:rPr>
            </w:pPr>
          </w:p>
        </w:tc>
        <w:tc>
          <w:tcPr>
            <w:tcW w:w="1600" w:type="dxa"/>
            <w:vAlign w:val="bottom"/>
            <w:gridSpan w:val="6"/>
            <w:vMerge w:val="restart"/>
          </w:tcPr>
          <w:p>
            <w:pPr>
              <w:ind w:left="240"/>
              <w:spacing w:after="0"/>
              <w:rPr>
                <w:sz w:val="20"/>
                <w:szCs w:val="20"/>
                <w:color w:val="auto"/>
              </w:rPr>
            </w:pPr>
            <w:r>
              <w:rPr>
                <w:rFonts w:ascii="Times New Roman" w:cs="Times New Roman" w:eastAsia="Times New Roman" w:hAnsi="Times New Roman"/>
                <w:sz w:val="16"/>
                <w:szCs w:val="16"/>
                <w:color w:val="auto"/>
              </w:rPr>
              <w:t>Preferred Stock</w:t>
            </w:r>
          </w:p>
        </w:tc>
        <w:tc>
          <w:tcPr>
            <w:tcW w:w="1760" w:type="dxa"/>
            <w:vAlign w:val="bottom"/>
            <w:gridSpan w:val="4"/>
            <w:vMerge w:val="restart"/>
          </w:tcPr>
          <w:p>
            <w:pPr>
              <w:ind w:left="320"/>
              <w:spacing w:after="0"/>
              <w:rPr>
                <w:sz w:val="20"/>
                <w:szCs w:val="20"/>
                <w:color w:val="auto"/>
              </w:rPr>
            </w:pPr>
            <w:r>
              <w:rPr>
                <w:rFonts w:ascii="Times New Roman" w:cs="Times New Roman" w:eastAsia="Times New Roman" w:hAnsi="Times New Roman"/>
                <w:sz w:val="16"/>
                <w:szCs w:val="16"/>
                <w:color w:val="auto"/>
              </w:rPr>
              <w:t>Common Stock</w:t>
            </w:r>
          </w:p>
        </w:tc>
        <w:tc>
          <w:tcPr>
            <w:tcW w:w="10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color w:val="auto"/>
                <w:w w:val="99"/>
              </w:rPr>
              <w:t>Capital</w:t>
            </w:r>
          </w:p>
        </w:tc>
        <w:tc>
          <w:tcPr>
            <w:tcW w:w="100" w:type="dxa"/>
            <w:vAlign w:val="bottom"/>
          </w:tcPr>
          <w:p>
            <w:pPr>
              <w:spacing w:after="0"/>
              <w:rPr>
                <w:sz w:val="16"/>
                <w:szCs w:val="16"/>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color w:val="auto"/>
                <w:w w:val="98"/>
              </w:rPr>
              <w:t>Other</w:t>
            </w: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0" w:type="dxa"/>
            <w:vAlign w:val="bottom"/>
            <w:gridSpan w:val="4"/>
            <w:vMerge w:val="restart"/>
          </w:tcPr>
          <w:p>
            <w:pPr>
              <w:ind w:left="360"/>
              <w:spacing w:after="0"/>
              <w:rPr>
                <w:sz w:val="20"/>
                <w:szCs w:val="20"/>
                <w:color w:val="auto"/>
              </w:rPr>
            </w:pPr>
            <w:r>
              <w:rPr>
                <w:rFonts w:ascii="Times New Roman" w:cs="Times New Roman" w:eastAsia="Times New Roman" w:hAnsi="Times New Roman"/>
                <w:sz w:val="16"/>
                <w:szCs w:val="16"/>
                <w:color w:val="auto"/>
              </w:rPr>
              <w:t>Treasury Stock</w:t>
            </w: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1880" w:type="dxa"/>
            <w:vAlign w:val="bottom"/>
          </w:tcPr>
          <w:p>
            <w:pPr>
              <w:spacing w:after="0"/>
              <w:rPr>
                <w:sz w:val="11"/>
                <w:szCs w:val="11"/>
                <w:color w:val="auto"/>
              </w:rPr>
            </w:pPr>
          </w:p>
        </w:tc>
        <w:tc>
          <w:tcPr>
            <w:tcW w:w="1600" w:type="dxa"/>
            <w:vAlign w:val="bottom"/>
            <w:gridSpan w:val="6"/>
            <w:vMerge w:val="continue"/>
          </w:tcPr>
          <w:p>
            <w:pPr>
              <w:spacing w:after="0"/>
              <w:rPr>
                <w:sz w:val="11"/>
                <w:szCs w:val="11"/>
                <w:color w:val="auto"/>
              </w:rPr>
            </w:pPr>
          </w:p>
        </w:tc>
        <w:tc>
          <w:tcPr>
            <w:tcW w:w="1760" w:type="dxa"/>
            <w:vAlign w:val="bottom"/>
            <w:gridSpan w:val="4"/>
            <w:vMerge w:val="continue"/>
          </w:tcPr>
          <w:p>
            <w:pPr>
              <w:spacing w:after="0"/>
              <w:rPr>
                <w:sz w:val="11"/>
                <w:szCs w:val="11"/>
                <w:color w:val="auto"/>
              </w:rPr>
            </w:pPr>
          </w:p>
        </w:tc>
        <w:tc>
          <w:tcPr>
            <w:tcW w:w="1000" w:type="dxa"/>
            <w:vAlign w:val="bottom"/>
            <w:gridSpan w:val="2"/>
            <w:vMerge w:val="restart"/>
          </w:tcPr>
          <w:p>
            <w:pPr>
              <w:jc w:val="center"/>
              <w:ind w:right="140"/>
              <w:spacing w:after="0" w:line="142" w:lineRule="exact"/>
              <w:rPr>
                <w:sz w:val="20"/>
                <w:szCs w:val="20"/>
                <w:color w:val="auto"/>
              </w:rPr>
            </w:pPr>
            <w:r>
              <w:rPr>
                <w:rFonts w:ascii="Times New Roman" w:cs="Times New Roman" w:eastAsia="Times New Roman" w:hAnsi="Times New Roman"/>
                <w:sz w:val="16"/>
                <w:szCs w:val="16"/>
                <w:color w:val="auto"/>
              </w:rPr>
              <w:t>in Excess</w:t>
            </w:r>
          </w:p>
        </w:tc>
        <w:tc>
          <w:tcPr>
            <w:tcW w:w="1220" w:type="dxa"/>
            <w:vAlign w:val="bottom"/>
            <w:gridSpan w:val="3"/>
            <w:vMerge w:val="restart"/>
          </w:tcPr>
          <w:p>
            <w:pPr>
              <w:jc w:val="right"/>
              <w:ind w:right="140"/>
              <w:spacing w:after="0" w:line="142" w:lineRule="exact"/>
              <w:rPr>
                <w:sz w:val="20"/>
                <w:szCs w:val="20"/>
                <w:color w:val="auto"/>
              </w:rPr>
            </w:pPr>
            <w:r>
              <w:rPr>
                <w:rFonts w:ascii="Times New Roman" w:cs="Times New Roman" w:eastAsia="Times New Roman" w:hAnsi="Times New Roman"/>
                <w:sz w:val="16"/>
                <w:szCs w:val="16"/>
                <w:color w:val="auto"/>
              </w:rPr>
              <w:t>Comprehensive</w:t>
            </w:r>
          </w:p>
        </w:tc>
        <w:tc>
          <w:tcPr>
            <w:tcW w:w="1060" w:type="dxa"/>
            <w:vAlign w:val="bottom"/>
            <w:gridSpan w:val="2"/>
            <w:vMerge w:val="restart"/>
          </w:tcPr>
          <w:p>
            <w:pPr>
              <w:ind w:left="40"/>
              <w:spacing w:after="0" w:line="142" w:lineRule="exact"/>
              <w:rPr>
                <w:sz w:val="20"/>
                <w:szCs w:val="20"/>
                <w:color w:val="auto"/>
              </w:rPr>
            </w:pPr>
            <w:r>
              <w:rPr>
                <w:rFonts w:ascii="Times New Roman" w:cs="Times New Roman" w:eastAsia="Times New Roman" w:hAnsi="Times New Roman"/>
                <w:sz w:val="16"/>
                <w:szCs w:val="16"/>
                <w:color w:val="auto"/>
              </w:rPr>
              <w:t>Accumulated</w:t>
            </w:r>
          </w:p>
        </w:tc>
        <w:tc>
          <w:tcPr>
            <w:tcW w:w="1800" w:type="dxa"/>
            <w:vAlign w:val="bottom"/>
            <w:gridSpan w:val="4"/>
            <w:vMerge w:val="continue"/>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3"/>
        </w:trPr>
        <w:tc>
          <w:tcPr>
            <w:tcW w:w="188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gridSpan w:val="2"/>
            <w:vMerge w:val="continue"/>
          </w:tcPr>
          <w:p>
            <w:pPr>
              <w:spacing w:after="0"/>
              <w:rPr>
                <w:sz w:val="2"/>
                <w:szCs w:val="2"/>
                <w:color w:val="auto"/>
              </w:rPr>
            </w:pPr>
          </w:p>
        </w:tc>
        <w:tc>
          <w:tcPr>
            <w:tcW w:w="1220" w:type="dxa"/>
            <w:vAlign w:val="bottom"/>
            <w:gridSpan w:val="3"/>
            <w:vMerge w:val="continue"/>
          </w:tcPr>
          <w:p>
            <w:pPr>
              <w:spacing w:after="0"/>
              <w:rPr>
                <w:sz w:val="2"/>
                <w:szCs w:val="2"/>
                <w:color w:val="auto"/>
              </w:rPr>
            </w:pPr>
          </w:p>
        </w:tc>
        <w:tc>
          <w:tcPr>
            <w:tcW w:w="1060" w:type="dxa"/>
            <w:vAlign w:val="bottom"/>
            <w:gridSpan w:val="2"/>
            <w:vMerge w:val="continue"/>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1880" w:type="dxa"/>
            <w:vAlign w:val="bottom"/>
          </w:tcPr>
          <w:p>
            <w:pPr>
              <w:spacing w:after="0"/>
              <w:rPr>
                <w:sz w:val="20"/>
                <w:szCs w:val="20"/>
                <w:color w:val="auto"/>
              </w:rPr>
            </w:pPr>
          </w:p>
        </w:tc>
        <w:tc>
          <w:tcPr>
            <w:tcW w:w="6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Shares</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Amount</w:t>
            </w:r>
          </w:p>
        </w:tc>
        <w:tc>
          <w:tcPr>
            <w:tcW w:w="80" w:type="dxa"/>
            <w:vAlign w:val="bottom"/>
          </w:tcPr>
          <w:p>
            <w:pPr>
              <w:spacing w:after="0"/>
              <w:rPr>
                <w:sz w:val="20"/>
                <w:szCs w:val="20"/>
                <w:color w:val="auto"/>
              </w:rPr>
            </w:pPr>
          </w:p>
        </w:tc>
        <w:tc>
          <w:tcPr>
            <w:tcW w:w="92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Shares</w:t>
            </w:r>
          </w:p>
        </w:tc>
        <w:tc>
          <w:tcPr>
            <w:tcW w:w="7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Amount</w:t>
            </w:r>
          </w:p>
        </w:tc>
        <w:tc>
          <w:tcPr>
            <w:tcW w:w="80" w:type="dxa"/>
            <w:vAlign w:val="bottom"/>
          </w:tcPr>
          <w:p>
            <w:pPr>
              <w:spacing w:after="0"/>
              <w:rPr>
                <w:sz w:val="20"/>
                <w:szCs w:val="20"/>
                <w:color w:val="auto"/>
              </w:rPr>
            </w:pPr>
          </w:p>
        </w:tc>
        <w:tc>
          <w:tcPr>
            <w:tcW w:w="1000" w:type="dxa"/>
            <w:vAlign w:val="bottom"/>
            <w:gridSpan w:val="2"/>
          </w:tcPr>
          <w:p>
            <w:pPr>
              <w:ind w:left="260"/>
              <w:spacing w:after="0"/>
              <w:rPr>
                <w:sz w:val="20"/>
                <w:szCs w:val="20"/>
                <w:color w:val="auto"/>
              </w:rPr>
            </w:pPr>
            <w:r>
              <w:rPr>
                <w:rFonts w:ascii="Times New Roman" w:cs="Times New Roman" w:eastAsia="Times New Roman" w:hAnsi="Times New Roman"/>
                <w:sz w:val="16"/>
                <w:szCs w:val="16"/>
                <w:color w:val="auto"/>
              </w:rPr>
              <w:t>of Par</w:t>
            </w:r>
          </w:p>
        </w:tc>
        <w:tc>
          <w:tcPr>
            <w:tcW w:w="100" w:type="dxa"/>
            <w:vAlign w:val="bottom"/>
          </w:tcPr>
          <w:p>
            <w:pPr>
              <w:spacing w:after="0"/>
              <w:rPr>
                <w:sz w:val="20"/>
                <w:szCs w:val="20"/>
                <w:color w:val="auto"/>
              </w:rPr>
            </w:pPr>
          </w:p>
        </w:tc>
        <w:tc>
          <w:tcPr>
            <w:tcW w:w="112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Loss</w:t>
            </w:r>
          </w:p>
        </w:tc>
        <w:tc>
          <w:tcPr>
            <w:tcW w:w="1060" w:type="dxa"/>
            <w:vAlign w:val="bottom"/>
            <w:gridSpan w:val="2"/>
          </w:tcPr>
          <w:p>
            <w:pPr>
              <w:ind w:left="260"/>
              <w:spacing w:after="0"/>
              <w:rPr>
                <w:sz w:val="20"/>
                <w:szCs w:val="20"/>
                <w:color w:val="auto"/>
              </w:rPr>
            </w:pPr>
            <w:r>
              <w:rPr>
                <w:rFonts w:ascii="Times New Roman" w:cs="Times New Roman" w:eastAsia="Times New Roman" w:hAnsi="Times New Roman"/>
                <w:sz w:val="16"/>
                <w:szCs w:val="16"/>
                <w:color w:val="auto"/>
              </w:rPr>
              <w:t>Deficit</w:t>
            </w:r>
          </w:p>
        </w:tc>
        <w:tc>
          <w:tcPr>
            <w:tcW w:w="82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Shares</w:t>
            </w:r>
          </w:p>
        </w:tc>
        <w:tc>
          <w:tcPr>
            <w:tcW w:w="90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Amount</w:t>
            </w:r>
          </w:p>
        </w:tc>
        <w:tc>
          <w:tcPr>
            <w:tcW w:w="80" w:type="dxa"/>
            <w:vAlign w:val="bottom"/>
          </w:tcPr>
          <w:p>
            <w:pPr>
              <w:spacing w:after="0"/>
              <w:rPr>
                <w:sz w:val="20"/>
                <w:szCs w:val="20"/>
                <w:color w:val="auto"/>
              </w:rPr>
            </w:pPr>
          </w:p>
        </w:tc>
        <w:tc>
          <w:tcPr>
            <w:tcW w:w="92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Total</w:t>
            </w:r>
          </w:p>
        </w:tc>
        <w:tc>
          <w:tcPr>
            <w:tcW w:w="0" w:type="dxa"/>
            <w:vAlign w:val="bottom"/>
          </w:tcPr>
          <w:p>
            <w:pPr>
              <w:spacing w:after="0"/>
              <w:rPr>
                <w:sz w:val="1"/>
                <w:szCs w:val="1"/>
                <w:color w:val="auto"/>
              </w:rPr>
            </w:pPr>
          </w:p>
        </w:tc>
      </w:tr>
      <w:tr>
        <w:trPr>
          <w:trHeight w:val="223"/>
        </w:trPr>
        <w:tc>
          <w:tcPr>
            <w:tcW w:w="18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January 1, 2024</w:t>
            </w:r>
          </w:p>
        </w:tc>
        <w:tc>
          <w:tcPr>
            <w:tcW w:w="600" w:type="dxa"/>
            <w:vAlign w:val="bottom"/>
            <w:tcBorders>
              <w:top w:val="single" w:sz="8" w:color="auto"/>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8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12,248,313</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7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$ 122,483</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9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7"/>
              </w:rPr>
              <w:t>$ 75,338,010</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(12,274,563)</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9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$(23,114,310)</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7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1,471,406</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9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$(5,567,481)</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9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$ 34,504,139</w:t>
            </w:r>
          </w:p>
        </w:tc>
        <w:tc>
          <w:tcPr>
            <w:tcW w:w="0" w:type="dxa"/>
            <w:vAlign w:val="bottom"/>
          </w:tcPr>
          <w:p>
            <w:pPr>
              <w:spacing w:after="0"/>
              <w:rPr>
                <w:sz w:val="1"/>
                <w:szCs w:val="1"/>
                <w:color w:val="auto"/>
              </w:rPr>
            </w:pPr>
          </w:p>
        </w:tc>
      </w:tr>
      <w:tr>
        <w:trPr>
          <w:trHeight w:val="212"/>
        </w:trPr>
        <w:tc>
          <w:tcPr>
            <w:tcW w:w="24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Stock-based compensation</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265,789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265,789</w:t>
            </w:r>
          </w:p>
        </w:tc>
        <w:tc>
          <w:tcPr>
            <w:tcW w:w="0" w:type="dxa"/>
            <w:vAlign w:val="bottom"/>
          </w:tcPr>
          <w:p>
            <w:pPr>
              <w:spacing w:after="0"/>
              <w:rPr>
                <w:sz w:val="1"/>
                <w:szCs w:val="1"/>
                <w:color w:val="auto"/>
              </w:rPr>
            </w:pPr>
          </w:p>
        </w:tc>
      </w:tr>
      <w:tr>
        <w:trPr>
          <w:trHeight w:val="31"/>
        </w:trPr>
        <w:tc>
          <w:tcPr>
            <w:tcW w:w="18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Vesting of restricted stock</w:t>
            </w: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6"/>
                <w:szCs w:val="16"/>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233,627</w:t>
            </w:r>
          </w:p>
        </w:tc>
        <w:tc>
          <w:tcPr>
            <w:tcW w:w="80" w:type="dxa"/>
            <w:vAlign w:val="bottom"/>
            <w:shd w:val="clear" w:color="auto" w:fill="CCEEFF"/>
          </w:tcPr>
          <w:p>
            <w:pPr>
              <w:spacing w:after="0"/>
              <w:rPr>
                <w:sz w:val="16"/>
                <w:szCs w:val="16"/>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2,336</w:t>
            </w:r>
          </w:p>
        </w:tc>
        <w:tc>
          <w:tcPr>
            <w:tcW w:w="80" w:type="dxa"/>
            <w:vAlign w:val="bottom"/>
            <w:shd w:val="clear" w:color="auto" w:fill="CCEEFF"/>
          </w:tcPr>
          <w:p>
            <w:pPr>
              <w:spacing w:after="0"/>
              <w:rPr>
                <w:sz w:val="16"/>
                <w:szCs w:val="16"/>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(2,336)</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6"/>
                <w:szCs w:val="16"/>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6"/>
                <w:szCs w:val="16"/>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6"/>
                <w:szCs w:val="16"/>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6"/>
                <w:szCs w:val="16"/>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0"/>
        </w:trPr>
        <w:tc>
          <w:tcPr>
            <w:tcW w:w="2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awards</w:t>
            </w:r>
          </w:p>
        </w:tc>
        <w:tc>
          <w:tcPr>
            <w:tcW w:w="10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6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4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24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Shares deducted from</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4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restricted stock awards for</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480" w:type="dxa"/>
            <w:vAlign w:val="bottom"/>
            <w:gridSpan w:val="2"/>
          </w:tcPr>
          <w:p>
            <w:pPr>
              <w:ind w:left="20"/>
              <w:spacing w:after="0" w:line="175" w:lineRule="exact"/>
              <w:rPr>
                <w:sz w:val="20"/>
                <w:szCs w:val="20"/>
                <w:color w:val="auto"/>
              </w:rPr>
            </w:pPr>
            <w:r>
              <w:rPr>
                <w:rFonts w:ascii="Times New Roman" w:cs="Times New Roman" w:eastAsia="Times New Roman" w:hAnsi="Times New Roman"/>
                <w:sz w:val="16"/>
                <w:szCs w:val="16"/>
                <w:color w:val="auto"/>
              </w:rPr>
              <w:t>payment of withholding</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4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taxes</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(2,518)</w:t>
            </w: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(6,367)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(6,392)</w:t>
            </w:r>
          </w:p>
        </w:tc>
        <w:tc>
          <w:tcPr>
            <w:tcW w:w="0" w:type="dxa"/>
            <w:vAlign w:val="bottom"/>
          </w:tcPr>
          <w:p>
            <w:pPr>
              <w:spacing w:after="0"/>
              <w:rPr>
                <w:sz w:val="1"/>
                <w:szCs w:val="1"/>
                <w:color w:val="auto"/>
              </w:rPr>
            </w:pPr>
          </w:p>
        </w:tc>
      </w:tr>
      <w:tr>
        <w:trPr>
          <w:trHeight w:val="33"/>
        </w:trPr>
        <w:tc>
          <w:tcPr>
            <w:tcW w:w="18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4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1,426,679</w:t>
            </w:r>
          </w:p>
        </w:tc>
        <w:tc>
          <w:tcPr>
            <w:tcW w:w="8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1,426,679</w:t>
            </w:r>
          </w:p>
        </w:tc>
        <w:tc>
          <w:tcPr>
            <w:tcW w:w="0" w:type="dxa"/>
            <w:vAlign w:val="bottom"/>
          </w:tcPr>
          <w:p>
            <w:pPr>
              <w:spacing w:after="0"/>
              <w:rPr>
                <w:sz w:val="1"/>
                <w:szCs w:val="1"/>
                <w:color w:val="auto"/>
              </w:rPr>
            </w:pPr>
          </w:p>
        </w:tc>
      </w:tr>
      <w:tr>
        <w:trPr>
          <w:trHeight w:val="189"/>
        </w:trPr>
        <w:tc>
          <w:tcPr>
            <w:tcW w:w="24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Increase in unrealized</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4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losses on available-for-sale</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6"/>
                <w:szCs w:val="16"/>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6"/>
                <w:szCs w:val="16"/>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6"/>
                <w:szCs w:val="16"/>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(440,408)</w:t>
            </w:r>
          </w:p>
        </w:tc>
        <w:tc>
          <w:tcPr>
            <w:tcW w:w="80" w:type="dxa"/>
            <w:vAlign w:val="bottom"/>
          </w:tcPr>
          <w:p>
            <w:pPr>
              <w:spacing w:after="0"/>
              <w:rPr>
                <w:sz w:val="16"/>
                <w:szCs w:val="16"/>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6"/>
                <w:szCs w:val="16"/>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6"/>
                <w:szCs w:val="16"/>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6"/>
                <w:szCs w:val="16"/>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(440,408)</w:t>
            </w:r>
          </w:p>
        </w:tc>
        <w:tc>
          <w:tcPr>
            <w:tcW w:w="0" w:type="dxa"/>
            <w:vAlign w:val="bottom"/>
          </w:tcPr>
          <w:p>
            <w:pPr>
              <w:spacing w:after="0"/>
              <w:rPr>
                <w:sz w:val="1"/>
                <w:szCs w:val="1"/>
                <w:color w:val="auto"/>
              </w:rPr>
            </w:pPr>
          </w:p>
        </w:tc>
      </w:tr>
      <w:tr>
        <w:trPr>
          <w:trHeight w:val="223"/>
        </w:trPr>
        <w:tc>
          <w:tcPr>
            <w:tcW w:w="24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securities, net of tax</w:t>
            </w:r>
          </w:p>
        </w:tc>
        <w:tc>
          <w:tcPr>
            <w:tcW w:w="1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68"/>
        </w:trPr>
        <w:tc>
          <w:tcPr>
            <w:tcW w:w="18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March 31, 2024</w:t>
            </w:r>
          </w:p>
        </w:tc>
        <w:tc>
          <w:tcPr>
            <w:tcW w:w="600" w:type="dxa"/>
            <w:vAlign w:val="bottom"/>
            <w:tcBorders>
              <w:top w:val="single" w:sz="8" w:color="auto"/>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8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12,479,422</w:t>
            </w: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7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$ 124,794</w:t>
            </w: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9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7"/>
              </w:rPr>
              <w:t>$ 75,595,096</w:t>
            </w: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(12,714,971)</w:t>
            </w: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9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$(21,687,631)</w:t>
            </w: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7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1,471,406</w:t>
            </w: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9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$(5,567,481)</w:t>
            </w: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9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$ 35,749,807</w:t>
            </w:r>
          </w:p>
        </w:tc>
        <w:tc>
          <w:tcPr>
            <w:tcW w:w="0" w:type="dxa"/>
            <w:vAlign w:val="bottom"/>
          </w:tcPr>
          <w:p>
            <w:pPr>
              <w:spacing w:after="0"/>
              <w:rPr>
                <w:sz w:val="1"/>
                <w:szCs w:val="1"/>
                <w:color w:val="auto"/>
              </w:rPr>
            </w:pPr>
          </w:p>
        </w:tc>
      </w:tr>
      <w:tr>
        <w:trPr>
          <w:trHeight w:val="20"/>
        </w:trPr>
        <w:tc>
          <w:tcPr>
            <w:tcW w:w="18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8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color w:val="auto"/>
              </w:rPr>
              <w:t>Accumulated</w:t>
            </w: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880" w:type="dxa"/>
            <w:vAlign w:val="bottom"/>
          </w:tcPr>
          <w:p>
            <w:pPr>
              <w:spacing w:after="0"/>
              <w:rPr>
                <w:sz w:val="16"/>
                <w:szCs w:val="16"/>
                <w:color w:val="auto"/>
              </w:rPr>
            </w:pPr>
          </w:p>
        </w:tc>
        <w:tc>
          <w:tcPr>
            <w:tcW w:w="1600" w:type="dxa"/>
            <w:vAlign w:val="bottom"/>
            <w:gridSpan w:val="6"/>
            <w:vMerge w:val="restart"/>
          </w:tcPr>
          <w:p>
            <w:pPr>
              <w:ind w:left="240"/>
              <w:spacing w:after="0"/>
              <w:rPr>
                <w:sz w:val="20"/>
                <w:szCs w:val="20"/>
                <w:color w:val="auto"/>
              </w:rPr>
            </w:pPr>
            <w:r>
              <w:rPr>
                <w:rFonts w:ascii="Times New Roman" w:cs="Times New Roman" w:eastAsia="Times New Roman" w:hAnsi="Times New Roman"/>
                <w:sz w:val="16"/>
                <w:szCs w:val="16"/>
                <w:color w:val="auto"/>
              </w:rPr>
              <w:t>Preferred Stock</w:t>
            </w:r>
          </w:p>
        </w:tc>
        <w:tc>
          <w:tcPr>
            <w:tcW w:w="1760" w:type="dxa"/>
            <w:vAlign w:val="bottom"/>
            <w:gridSpan w:val="4"/>
            <w:vMerge w:val="restart"/>
          </w:tcPr>
          <w:p>
            <w:pPr>
              <w:ind w:left="320"/>
              <w:spacing w:after="0"/>
              <w:rPr>
                <w:sz w:val="20"/>
                <w:szCs w:val="20"/>
                <w:color w:val="auto"/>
              </w:rPr>
            </w:pPr>
            <w:r>
              <w:rPr>
                <w:rFonts w:ascii="Times New Roman" w:cs="Times New Roman" w:eastAsia="Times New Roman" w:hAnsi="Times New Roman"/>
                <w:sz w:val="16"/>
                <w:szCs w:val="16"/>
                <w:color w:val="auto"/>
              </w:rPr>
              <w:t>Common Stock</w:t>
            </w:r>
          </w:p>
        </w:tc>
        <w:tc>
          <w:tcPr>
            <w:tcW w:w="10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color w:val="auto"/>
                <w:w w:val="99"/>
              </w:rPr>
              <w:t>Capital</w:t>
            </w:r>
          </w:p>
        </w:tc>
        <w:tc>
          <w:tcPr>
            <w:tcW w:w="100" w:type="dxa"/>
            <w:vAlign w:val="bottom"/>
          </w:tcPr>
          <w:p>
            <w:pPr>
              <w:spacing w:after="0"/>
              <w:rPr>
                <w:sz w:val="16"/>
                <w:szCs w:val="16"/>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color w:val="auto"/>
                <w:w w:val="98"/>
              </w:rPr>
              <w:t>Other</w:t>
            </w: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0" w:type="dxa"/>
            <w:vAlign w:val="bottom"/>
            <w:gridSpan w:val="4"/>
            <w:vMerge w:val="restart"/>
          </w:tcPr>
          <w:p>
            <w:pPr>
              <w:ind w:left="360"/>
              <w:spacing w:after="0"/>
              <w:rPr>
                <w:sz w:val="20"/>
                <w:szCs w:val="20"/>
                <w:color w:val="auto"/>
              </w:rPr>
            </w:pPr>
            <w:r>
              <w:rPr>
                <w:rFonts w:ascii="Times New Roman" w:cs="Times New Roman" w:eastAsia="Times New Roman" w:hAnsi="Times New Roman"/>
                <w:sz w:val="16"/>
                <w:szCs w:val="16"/>
                <w:color w:val="auto"/>
              </w:rPr>
              <w:t>Treasury Stock</w:t>
            </w: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1880" w:type="dxa"/>
            <w:vAlign w:val="bottom"/>
          </w:tcPr>
          <w:p>
            <w:pPr>
              <w:spacing w:after="0"/>
              <w:rPr>
                <w:sz w:val="11"/>
                <w:szCs w:val="11"/>
                <w:color w:val="auto"/>
              </w:rPr>
            </w:pPr>
          </w:p>
        </w:tc>
        <w:tc>
          <w:tcPr>
            <w:tcW w:w="1600" w:type="dxa"/>
            <w:vAlign w:val="bottom"/>
            <w:gridSpan w:val="6"/>
            <w:vMerge w:val="continue"/>
          </w:tcPr>
          <w:p>
            <w:pPr>
              <w:spacing w:after="0"/>
              <w:rPr>
                <w:sz w:val="11"/>
                <w:szCs w:val="11"/>
                <w:color w:val="auto"/>
              </w:rPr>
            </w:pPr>
          </w:p>
        </w:tc>
        <w:tc>
          <w:tcPr>
            <w:tcW w:w="1760" w:type="dxa"/>
            <w:vAlign w:val="bottom"/>
            <w:gridSpan w:val="4"/>
            <w:vMerge w:val="continue"/>
          </w:tcPr>
          <w:p>
            <w:pPr>
              <w:spacing w:after="0"/>
              <w:rPr>
                <w:sz w:val="11"/>
                <w:szCs w:val="11"/>
                <w:color w:val="auto"/>
              </w:rPr>
            </w:pPr>
          </w:p>
        </w:tc>
        <w:tc>
          <w:tcPr>
            <w:tcW w:w="1000" w:type="dxa"/>
            <w:vAlign w:val="bottom"/>
            <w:gridSpan w:val="2"/>
            <w:vMerge w:val="restart"/>
          </w:tcPr>
          <w:p>
            <w:pPr>
              <w:jc w:val="center"/>
              <w:ind w:right="140"/>
              <w:spacing w:after="0" w:line="142" w:lineRule="exact"/>
              <w:rPr>
                <w:sz w:val="20"/>
                <w:szCs w:val="20"/>
                <w:color w:val="auto"/>
              </w:rPr>
            </w:pPr>
            <w:r>
              <w:rPr>
                <w:rFonts w:ascii="Times New Roman" w:cs="Times New Roman" w:eastAsia="Times New Roman" w:hAnsi="Times New Roman"/>
                <w:sz w:val="16"/>
                <w:szCs w:val="16"/>
                <w:color w:val="auto"/>
              </w:rPr>
              <w:t>in Excess</w:t>
            </w:r>
          </w:p>
        </w:tc>
        <w:tc>
          <w:tcPr>
            <w:tcW w:w="1220" w:type="dxa"/>
            <w:vAlign w:val="bottom"/>
            <w:gridSpan w:val="3"/>
            <w:vMerge w:val="restart"/>
          </w:tcPr>
          <w:p>
            <w:pPr>
              <w:ind w:left="60"/>
              <w:spacing w:after="0" w:line="142" w:lineRule="exact"/>
              <w:rPr>
                <w:sz w:val="20"/>
                <w:szCs w:val="20"/>
                <w:color w:val="auto"/>
              </w:rPr>
            </w:pPr>
            <w:r>
              <w:rPr>
                <w:rFonts w:ascii="Times New Roman" w:cs="Times New Roman" w:eastAsia="Times New Roman" w:hAnsi="Times New Roman"/>
                <w:sz w:val="16"/>
                <w:szCs w:val="16"/>
                <w:color w:val="auto"/>
              </w:rPr>
              <w:t>Comprehensive</w:t>
            </w:r>
          </w:p>
        </w:tc>
        <w:tc>
          <w:tcPr>
            <w:tcW w:w="1060" w:type="dxa"/>
            <w:vAlign w:val="bottom"/>
            <w:gridSpan w:val="3"/>
            <w:vMerge w:val="restart"/>
          </w:tcPr>
          <w:p>
            <w:pPr>
              <w:ind w:left="40"/>
              <w:spacing w:after="0" w:line="142" w:lineRule="exact"/>
              <w:rPr>
                <w:sz w:val="20"/>
                <w:szCs w:val="20"/>
                <w:color w:val="auto"/>
              </w:rPr>
            </w:pPr>
            <w:r>
              <w:rPr>
                <w:rFonts w:ascii="Times New Roman" w:cs="Times New Roman" w:eastAsia="Times New Roman" w:hAnsi="Times New Roman"/>
                <w:sz w:val="16"/>
                <w:szCs w:val="16"/>
                <w:color w:val="auto"/>
              </w:rPr>
              <w:t>Accumulated</w:t>
            </w:r>
          </w:p>
        </w:tc>
        <w:tc>
          <w:tcPr>
            <w:tcW w:w="1800" w:type="dxa"/>
            <w:vAlign w:val="bottom"/>
            <w:gridSpan w:val="4"/>
            <w:vMerge w:val="continue"/>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3"/>
        </w:trPr>
        <w:tc>
          <w:tcPr>
            <w:tcW w:w="188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gridSpan w:val="2"/>
            <w:vMerge w:val="continue"/>
          </w:tcPr>
          <w:p>
            <w:pPr>
              <w:spacing w:after="0"/>
              <w:rPr>
                <w:sz w:val="2"/>
                <w:szCs w:val="2"/>
                <w:color w:val="auto"/>
              </w:rPr>
            </w:pPr>
          </w:p>
        </w:tc>
        <w:tc>
          <w:tcPr>
            <w:tcW w:w="1220" w:type="dxa"/>
            <w:vAlign w:val="bottom"/>
            <w:gridSpan w:val="3"/>
            <w:vMerge w:val="continue"/>
          </w:tcPr>
          <w:p>
            <w:pPr>
              <w:spacing w:after="0"/>
              <w:rPr>
                <w:sz w:val="2"/>
                <w:szCs w:val="2"/>
                <w:color w:val="auto"/>
              </w:rPr>
            </w:pPr>
          </w:p>
        </w:tc>
        <w:tc>
          <w:tcPr>
            <w:tcW w:w="1060" w:type="dxa"/>
            <w:vAlign w:val="bottom"/>
            <w:gridSpan w:val="3"/>
            <w:vMerge w:val="continue"/>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1880" w:type="dxa"/>
            <w:vAlign w:val="bottom"/>
          </w:tcPr>
          <w:p>
            <w:pPr>
              <w:spacing w:after="0"/>
              <w:rPr>
                <w:sz w:val="20"/>
                <w:szCs w:val="20"/>
                <w:color w:val="auto"/>
              </w:rPr>
            </w:pPr>
          </w:p>
        </w:tc>
        <w:tc>
          <w:tcPr>
            <w:tcW w:w="6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Shares</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Amount</w:t>
            </w:r>
          </w:p>
        </w:tc>
        <w:tc>
          <w:tcPr>
            <w:tcW w:w="80" w:type="dxa"/>
            <w:vAlign w:val="bottom"/>
          </w:tcPr>
          <w:p>
            <w:pPr>
              <w:spacing w:after="0"/>
              <w:rPr>
                <w:sz w:val="20"/>
                <w:szCs w:val="20"/>
                <w:color w:val="auto"/>
              </w:rPr>
            </w:pPr>
          </w:p>
        </w:tc>
        <w:tc>
          <w:tcPr>
            <w:tcW w:w="92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Shares</w:t>
            </w:r>
          </w:p>
        </w:tc>
        <w:tc>
          <w:tcPr>
            <w:tcW w:w="7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Amount</w:t>
            </w:r>
          </w:p>
        </w:tc>
        <w:tc>
          <w:tcPr>
            <w:tcW w:w="80" w:type="dxa"/>
            <w:vAlign w:val="bottom"/>
          </w:tcPr>
          <w:p>
            <w:pPr>
              <w:spacing w:after="0"/>
              <w:rPr>
                <w:sz w:val="20"/>
                <w:szCs w:val="20"/>
                <w:color w:val="auto"/>
              </w:rPr>
            </w:pPr>
          </w:p>
        </w:tc>
        <w:tc>
          <w:tcPr>
            <w:tcW w:w="1000" w:type="dxa"/>
            <w:vAlign w:val="bottom"/>
            <w:gridSpan w:val="2"/>
          </w:tcPr>
          <w:p>
            <w:pPr>
              <w:ind w:left="260"/>
              <w:spacing w:after="0"/>
              <w:rPr>
                <w:sz w:val="20"/>
                <w:szCs w:val="20"/>
                <w:color w:val="auto"/>
              </w:rPr>
            </w:pPr>
            <w:r>
              <w:rPr>
                <w:rFonts w:ascii="Times New Roman" w:cs="Times New Roman" w:eastAsia="Times New Roman" w:hAnsi="Times New Roman"/>
                <w:sz w:val="16"/>
                <w:szCs w:val="16"/>
                <w:color w:val="auto"/>
              </w:rPr>
              <w:t>of Par</w:t>
            </w:r>
          </w:p>
        </w:tc>
        <w:tc>
          <w:tcPr>
            <w:tcW w:w="100" w:type="dxa"/>
            <w:vAlign w:val="bottom"/>
          </w:tcPr>
          <w:p>
            <w:pPr>
              <w:spacing w:after="0"/>
              <w:rPr>
                <w:sz w:val="20"/>
                <w:szCs w:val="20"/>
                <w:color w:val="auto"/>
              </w:rPr>
            </w:pPr>
          </w:p>
        </w:tc>
        <w:tc>
          <w:tcPr>
            <w:tcW w:w="112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Loss</w:t>
            </w:r>
          </w:p>
        </w:tc>
        <w:tc>
          <w:tcPr>
            <w:tcW w:w="140" w:type="dxa"/>
            <w:vAlign w:val="bottom"/>
          </w:tcPr>
          <w:p>
            <w:pPr>
              <w:spacing w:after="0"/>
              <w:rPr>
                <w:sz w:val="20"/>
                <w:szCs w:val="20"/>
                <w:color w:val="auto"/>
              </w:rPr>
            </w:pP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Deficit</w:t>
            </w:r>
          </w:p>
        </w:tc>
        <w:tc>
          <w:tcPr>
            <w:tcW w:w="82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Shares</w:t>
            </w:r>
          </w:p>
        </w:tc>
        <w:tc>
          <w:tcPr>
            <w:tcW w:w="90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Amount</w:t>
            </w:r>
          </w:p>
        </w:tc>
        <w:tc>
          <w:tcPr>
            <w:tcW w:w="80" w:type="dxa"/>
            <w:vAlign w:val="bottom"/>
          </w:tcPr>
          <w:p>
            <w:pPr>
              <w:spacing w:after="0"/>
              <w:rPr>
                <w:sz w:val="20"/>
                <w:szCs w:val="20"/>
                <w:color w:val="auto"/>
              </w:rPr>
            </w:pPr>
          </w:p>
        </w:tc>
        <w:tc>
          <w:tcPr>
            <w:tcW w:w="92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Total</w:t>
            </w:r>
          </w:p>
        </w:tc>
        <w:tc>
          <w:tcPr>
            <w:tcW w:w="0" w:type="dxa"/>
            <w:vAlign w:val="bottom"/>
          </w:tcPr>
          <w:p>
            <w:pPr>
              <w:spacing w:after="0"/>
              <w:rPr>
                <w:sz w:val="1"/>
                <w:szCs w:val="1"/>
                <w:color w:val="auto"/>
              </w:rPr>
            </w:pPr>
          </w:p>
        </w:tc>
      </w:tr>
      <w:tr>
        <w:trPr>
          <w:trHeight w:val="223"/>
        </w:trPr>
        <w:tc>
          <w:tcPr>
            <w:tcW w:w="18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January 1, 2025</w:t>
            </w:r>
          </w:p>
        </w:tc>
        <w:tc>
          <w:tcPr>
            <w:tcW w:w="600" w:type="dxa"/>
            <w:vAlign w:val="bottom"/>
            <w:tcBorders>
              <w:top w:val="single" w:sz="8" w:color="auto"/>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8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14,448,205</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7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$ 144,482</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9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7"/>
              </w:rPr>
              <w:t>$ 89,063,326</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(12,175,476)</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(4,755,874)</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7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1,524,125</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9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$(5,568,007)</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9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$66,708,451</w:t>
            </w:r>
          </w:p>
        </w:tc>
        <w:tc>
          <w:tcPr>
            <w:tcW w:w="0" w:type="dxa"/>
            <w:vAlign w:val="bottom"/>
          </w:tcPr>
          <w:p>
            <w:pPr>
              <w:spacing w:after="0"/>
              <w:rPr>
                <w:sz w:val="1"/>
                <w:szCs w:val="1"/>
                <w:color w:val="auto"/>
              </w:rPr>
            </w:pPr>
          </w:p>
        </w:tc>
      </w:tr>
      <w:tr>
        <w:trPr>
          <w:trHeight w:val="210"/>
        </w:trPr>
        <w:tc>
          <w:tcPr>
            <w:tcW w:w="24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Stock-based compensation</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339,010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339,010</w:t>
            </w:r>
          </w:p>
        </w:tc>
        <w:tc>
          <w:tcPr>
            <w:tcW w:w="0" w:type="dxa"/>
            <w:vAlign w:val="bottom"/>
          </w:tcPr>
          <w:p>
            <w:pPr>
              <w:spacing w:after="0"/>
              <w:rPr>
                <w:sz w:val="1"/>
                <w:szCs w:val="1"/>
                <w:color w:val="auto"/>
              </w:rPr>
            </w:pPr>
          </w:p>
        </w:tc>
      </w:tr>
      <w:tr>
        <w:trPr>
          <w:trHeight w:val="33"/>
        </w:trPr>
        <w:tc>
          <w:tcPr>
            <w:tcW w:w="18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Vesting of restricted stock</w:t>
            </w: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6"/>
                <w:szCs w:val="16"/>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212,892</w:t>
            </w:r>
          </w:p>
        </w:tc>
        <w:tc>
          <w:tcPr>
            <w:tcW w:w="80" w:type="dxa"/>
            <w:vAlign w:val="bottom"/>
            <w:shd w:val="clear" w:color="auto" w:fill="CCEEFF"/>
          </w:tcPr>
          <w:p>
            <w:pPr>
              <w:spacing w:after="0"/>
              <w:rPr>
                <w:sz w:val="16"/>
                <w:szCs w:val="16"/>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2,129</w:t>
            </w:r>
          </w:p>
        </w:tc>
        <w:tc>
          <w:tcPr>
            <w:tcW w:w="80" w:type="dxa"/>
            <w:vAlign w:val="bottom"/>
            <w:shd w:val="clear" w:color="auto" w:fill="CCEEFF"/>
          </w:tcPr>
          <w:p>
            <w:pPr>
              <w:spacing w:after="0"/>
              <w:rPr>
                <w:sz w:val="16"/>
                <w:szCs w:val="16"/>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(2,129)</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6"/>
                <w:szCs w:val="16"/>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6"/>
                <w:szCs w:val="16"/>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6"/>
                <w:szCs w:val="16"/>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0"/>
        </w:trPr>
        <w:tc>
          <w:tcPr>
            <w:tcW w:w="2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awards</w:t>
            </w:r>
          </w:p>
        </w:tc>
        <w:tc>
          <w:tcPr>
            <w:tcW w:w="10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6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4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24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Shares deducted from</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4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restricted stock awards for</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480" w:type="dxa"/>
            <w:vAlign w:val="bottom"/>
            <w:gridSpan w:val="2"/>
          </w:tcPr>
          <w:p>
            <w:pPr>
              <w:ind w:left="20"/>
              <w:spacing w:after="0" w:line="175" w:lineRule="exact"/>
              <w:rPr>
                <w:sz w:val="20"/>
                <w:szCs w:val="20"/>
                <w:color w:val="auto"/>
              </w:rPr>
            </w:pPr>
            <w:r>
              <w:rPr>
                <w:rFonts w:ascii="Times New Roman" w:cs="Times New Roman" w:eastAsia="Times New Roman" w:hAnsi="Times New Roman"/>
                <w:sz w:val="16"/>
                <w:szCs w:val="16"/>
                <w:color w:val="auto"/>
              </w:rPr>
              <w:t>payment of withholding</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4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taxes</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(34,740)</w:t>
            </w: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(347)</w:t>
            </w: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(530,533)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(530,880)</w:t>
            </w:r>
          </w:p>
        </w:tc>
        <w:tc>
          <w:tcPr>
            <w:tcW w:w="0" w:type="dxa"/>
            <w:vAlign w:val="bottom"/>
          </w:tcPr>
          <w:p>
            <w:pPr>
              <w:spacing w:after="0"/>
              <w:rPr>
                <w:sz w:val="1"/>
                <w:szCs w:val="1"/>
                <w:color w:val="auto"/>
              </w:rPr>
            </w:pPr>
          </w:p>
        </w:tc>
      </w:tr>
      <w:tr>
        <w:trPr>
          <w:trHeight w:val="33"/>
        </w:trPr>
        <w:tc>
          <w:tcPr>
            <w:tcW w:w="18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4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Exercise of stock options</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44,929</w:t>
            </w:r>
          </w:p>
        </w:tc>
        <w:tc>
          <w:tcPr>
            <w:tcW w:w="8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449</w:t>
            </w:r>
          </w:p>
        </w:tc>
        <w:tc>
          <w:tcPr>
            <w:tcW w:w="8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55,700</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56,149</w:t>
            </w:r>
          </w:p>
        </w:tc>
        <w:tc>
          <w:tcPr>
            <w:tcW w:w="0" w:type="dxa"/>
            <w:vAlign w:val="bottom"/>
          </w:tcPr>
          <w:p>
            <w:pPr>
              <w:spacing w:after="0"/>
              <w:rPr>
                <w:sz w:val="1"/>
                <w:szCs w:val="1"/>
                <w:color w:val="auto"/>
              </w:rPr>
            </w:pPr>
          </w:p>
        </w:tc>
      </w:tr>
      <w:tr>
        <w:trPr>
          <w:trHeight w:val="189"/>
        </w:trPr>
        <w:tc>
          <w:tcPr>
            <w:tcW w:w="24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Shares deducted from</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4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exercise of stock options</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480" w:type="dxa"/>
            <w:vAlign w:val="bottom"/>
            <w:gridSpan w:val="2"/>
          </w:tcPr>
          <w:p>
            <w:pPr>
              <w:ind w:left="20"/>
              <w:spacing w:after="0" w:line="175" w:lineRule="exact"/>
              <w:rPr>
                <w:sz w:val="20"/>
                <w:szCs w:val="20"/>
                <w:color w:val="auto"/>
              </w:rPr>
            </w:pPr>
            <w:r>
              <w:rPr>
                <w:rFonts w:ascii="Times New Roman" w:cs="Times New Roman" w:eastAsia="Times New Roman" w:hAnsi="Times New Roman"/>
                <w:sz w:val="16"/>
                <w:szCs w:val="16"/>
                <w:color w:val="auto"/>
              </w:rPr>
              <w:t>for payment of withholding</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4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taxes</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(868)</w:t>
            </w: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(14,296)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(14,305)</w:t>
            </w:r>
          </w:p>
        </w:tc>
        <w:tc>
          <w:tcPr>
            <w:tcW w:w="0" w:type="dxa"/>
            <w:vAlign w:val="bottom"/>
          </w:tcPr>
          <w:p>
            <w:pPr>
              <w:spacing w:after="0"/>
              <w:rPr>
                <w:sz w:val="1"/>
                <w:szCs w:val="1"/>
                <w:color w:val="auto"/>
              </w:rPr>
            </w:pPr>
          </w:p>
        </w:tc>
      </w:tr>
      <w:tr>
        <w:trPr>
          <w:trHeight w:val="33"/>
        </w:trPr>
        <w:tc>
          <w:tcPr>
            <w:tcW w:w="18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Issuance of common stock,</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of offering costs of</w:t>
            </w: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6"/>
                <w:szCs w:val="16"/>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612,999</w:t>
            </w:r>
          </w:p>
        </w:tc>
        <w:tc>
          <w:tcPr>
            <w:tcW w:w="80" w:type="dxa"/>
            <w:vAlign w:val="bottom"/>
            <w:shd w:val="clear" w:color="auto" w:fill="CCEEFF"/>
          </w:tcPr>
          <w:p>
            <w:pPr>
              <w:spacing w:after="0"/>
              <w:rPr>
                <w:sz w:val="16"/>
                <w:szCs w:val="16"/>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6,130</w:t>
            </w:r>
          </w:p>
        </w:tc>
        <w:tc>
          <w:tcPr>
            <w:tcW w:w="80" w:type="dxa"/>
            <w:vAlign w:val="bottom"/>
            <w:shd w:val="clear" w:color="auto" w:fill="CCEEFF"/>
          </w:tcPr>
          <w:p>
            <w:pPr>
              <w:spacing w:after="0"/>
              <w:rPr>
                <w:sz w:val="16"/>
                <w:szCs w:val="16"/>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9,539,562</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6"/>
                <w:szCs w:val="16"/>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6"/>
                <w:szCs w:val="16"/>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6"/>
                <w:szCs w:val="16"/>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9,545,692</w:t>
            </w:r>
          </w:p>
        </w:tc>
        <w:tc>
          <w:tcPr>
            <w:tcW w:w="0" w:type="dxa"/>
            <w:vAlign w:val="bottom"/>
          </w:tcPr>
          <w:p>
            <w:pPr>
              <w:spacing w:after="0"/>
              <w:rPr>
                <w:sz w:val="1"/>
                <w:szCs w:val="1"/>
                <w:color w:val="auto"/>
              </w:rPr>
            </w:pPr>
          </w:p>
        </w:tc>
      </w:tr>
      <w:tr>
        <w:trPr>
          <w:trHeight w:val="230"/>
        </w:trPr>
        <w:tc>
          <w:tcPr>
            <w:tcW w:w="1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$221,792</w:t>
            </w:r>
          </w:p>
        </w:tc>
        <w:tc>
          <w:tcPr>
            <w:tcW w:w="600" w:type="dxa"/>
            <w:vAlign w:val="bottom"/>
            <w:shd w:val="clear" w:color="auto" w:fill="CCEEFF"/>
          </w:tcPr>
          <w:p>
            <w:pPr>
              <w:spacing w:after="0"/>
              <w:rPr>
                <w:sz w:val="19"/>
                <w:szCs w:val="19"/>
                <w:color w:val="auto"/>
              </w:rPr>
            </w:pPr>
          </w:p>
        </w:tc>
        <w:tc>
          <w:tcPr>
            <w:tcW w:w="10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6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4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4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3,882,660</w:t>
            </w: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3,882,660</w:t>
            </w:r>
          </w:p>
        </w:tc>
        <w:tc>
          <w:tcPr>
            <w:tcW w:w="0" w:type="dxa"/>
            <w:vAlign w:val="bottom"/>
          </w:tcPr>
          <w:p>
            <w:pPr>
              <w:spacing w:after="0"/>
              <w:rPr>
                <w:sz w:val="1"/>
                <w:szCs w:val="1"/>
                <w:color w:val="auto"/>
              </w:rPr>
            </w:pPr>
          </w:p>
        </w:tc>
      </w:tr>
      <w:tr>
        <w:trPr>
          <w:trHeight w:val="33"/>
        </w:trPr>
        <w:tc>
          <w:tcPr>
            <w:tcW w:w="18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Decrease in unrealized</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losses on available-for-sale</w:t>
            </w: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6"/>
                <w:szCs w:val="16"/>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6"/>
                <w:szCs w:val="16"/>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6"/>
                <w:szCs w:val="16"/>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2,223,186</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6"/>
                <w:szCs w:val="16"/>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6"/>
                <w:szCs w:val="16"/>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6"/>
                <w:szCs w:val="16"/>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2,223,186</w:t>
            </w:r>
          </w:p>
        </w:tc>
        <w:tc>
          <w:tcPr>
            <w:tcW w:w="0" w:type="dxa"/>
            <w:vAlign w:val="bottom"/>
          </w:tcPr>
          <w:p>
            <w:pPr>
              <w:spacing w:after="0"/>
              <w:rPr>
                <w:sz w:val="1"/>
                <w:szCs w:val="1"/>
                <w:color w:val="auto"/>
              </w:rPr>
            </w:pPr>
          </w:p>
        </w:tc>
      </w:tr>
      <w:tr>
        <w:trPr>
          <w:trHeight w:val="230"/>
        </w:trPr>
        <w:tc>
          <w:tcPr>
            <w:tcW w:w="2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securities, net of tax</w:t>
            </w:r>
          </w:p>
        </w:tc>
        <w:tc>
          <w:tcPr>
            <w:tcW w:w="10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6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4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1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March 31, 2025</w:t>
            </w:r>
          </w:p>
        </w:tc>
        <w:tc>
          <w:tcPr>
            <w:tcW w:w="6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15,283,417</w:t>
            </w:r>
          </w:p>
        </w:tc>
        <w:tc>
          <w:tcPr>
            <w:tcW w:w="80" w:type="dxa"/>
            <w:vAlign w:val="bottom"/>
          </w:tcPr>
          <w:p>
            <w:pPr>
              <w:spacing w:after="0"/>
              <w:rPr>
                <w:sz w:val="17"/>
                <w:szCs w:val="17"/>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$ 152,834</w:t>
            </w:r>
          </w:p>
        </w:tc>
        <w:tc>
          <w:tcPr>
            <w:tcW w:w="80" w:type="dxa"/>
            <w:vAlign w:val="bottom"/>
          </w:tcPr>
          <w:p>
            <w:pPr>
              <w:spacing w:after="0"/>
              <w:rPr>
                <w:sz w:val="17"/>
                <w:szCs w:val="17"/>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7"/>
              </w:rPr>
              <w:t>$ 98,450,640</w:t>
            </w:r>
          </w:p>
        </w:tc>
        <w:tc>
          <w:tcPr>
            <w:tcW w:w="80" w:type="dxa"/>
            <w:vAlign w:val="bottom"/>
          </w:tcPr>
          <w:p>
            <w:pPr>
              <w:spacing w:after="0"/>
              <w:rPr>
                <w:sz w:val="17"/>
                <w:szCs w:val="17"/>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(9,952,290)</w:t>
            </w:r>
          </w:p>
        </w:tc>
        <w:tc>
          <w:tcPr>
            <w:tcW w:w="80" w:type="dxa"/>
            <w:vAlign w:val="bottom"/>
          </w:tcPr>
          <w:p>
            <w:pPr>
              <w:spacing w:after="0"/>
              <w:rPr>
                <w:sz w:val="17"/>
                <w:szCs w:val="17"/>
                <w:color w:val="auto"/>
              </w:rPr>
            </w:pPr>
          </w:p>
        </w:tc>
        <w:tc>
          <w:tcPr>
            <w:tcW w:w="1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(873,214)</w:t>
            </w:r>
          </w:p>
        </w:tc>
        <w:tc>
          <w:tcPr>
            <w:tcW w:w="80" w:type="dxa"/>
            <w:vAlign w:val="bottom"/>
          </w:tcPr>
          <w:p>
            <w:pPr>
              <w:spacing w:after="0"/>
              <w:rPr>
                <w:sz w:val="17"/>
                <w:szCs w:val="17"/>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1,524,125</w:t>
            </w:r>
          </w:p>
        </w:tc>
        <w:tc>
          <w:tcPr>
            <w:tcW w:w="80" w:type="dxa"/>
            <w:vAlign w:val="bottom"/>
          </w:tcPr>
          <w:p>
            <w:pPr>
              <w:spacing w:after="0"/>
              <w:rPr>
                <w:sz w:val="17"/>
                <w:szCs w:val="17"/>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$(5,568,007)</w:t>
            </w:r>
          </w:p>
        </w:tc>
        <w:tc>
          <w:tcPr>
            <w:tcW w:w="80" w:type="dxa"/>
            <w:vAlign w:val="bottom"/>
          </w:tcPr>
          <w:p>
            <w:pPr>
              <w:spacing w:after="0"/>
              <w:rPr>
                <w:sz w:val="17"/>
                <w:szCs w:val="17"/>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$ 82,209,963</w:t>
            </w:r>
          </w:p>
        </w:tc>
        <w:tc>
          <w:tcPr>
            <w:tcW w:w="0" w:type="dxa"/>
            <w:vAlign w:val="bottom"/>
          </w:tcPr>
          <w:p>
            <w:pPr>
              <w:spacing w:after="0"/>
              <w:rPr>
                <w:sz w:val="1"/>
                <w:szCs w:val="1"/>
                <w:color w:val="auto"/>
              </w:rPr>
            </w:pPr>
          </w:p>
        </w:tc>
      </w:tr>
      <w:tr>
        <w:trPr>
          <w:trHeight w:val="33"/>
        </w:trPr>
        <w:tc>
          <w:tcPr>
            <w:tcW w:w="188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18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7"/>
          <w:szCs w:val="17"/>
          <w:i w:val="1"/>
          <w:iCs w:val="1"/>
          <w:u w:val="single" w:color="auto"/>
          <w:color w:val="0000FF"/>
        </w:rPr>
        <w:t>Table of Contents</w:t>
      </w:r>
    </w:p>
    <w:p>
      <w:pPr>
        <w:sectPr>
          <w:pgSz w:w="11900" w:h="16838" w:orient="portrait"/>
          <w:cols w:equalWidth="0" w:num="1">
            <w:col w:w="10139"/>
          </w:cols>
          <w:pgMar w:left="320" w:top="119" w:right="1440" w:bottom="1440" w:gutter="0" w:footer="0" w:header="0"/>
        </w:sectPr>
      </w:pPr>
    </w:p>
    <w:bookmarkStart w:id="8" w:name="page9"/>
    <w:bookmarkEnd w:id="8"/>
    <w:p>
      <w:pPr>
        <w:ind w:left="6780"/>
        <w:spacing w:after="0"/>
        <w:rPr>
          <w:sz w:val="20"/>
          <w:szCs w:val="20"/>
          <w:color w:val="auto"/>
        </w:rPr>
      </w:pPr>
      <w:r>
        <w:rPr>
          <w:rFonts w:ascii="Times New Roman" w:cs="Times New Roman" w:eastAsia="Times New Roman" w:hAnsi="Times New Roman"/>
          <w:sz w:val="18"/>
          <w:szCs w:val="18"/>
          <w:b w:val="1"/>
          <w:bCs w:val="1"/>
          <w:color w:val="auto"/>
        </w:rPr>
        <w:t>KINGSTONE COMPANIES, INC. AND SUBSIDIARIES</w:t>
      </w:r>
    </w:p>
    <w:p>
      <w:pPr>
        <w:spacing w:after="0" w:line="3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1323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Three Months ended March 31,</w:t>
            </w:r>
          </w:p>
        </w:tc>
        <w:tc>
          <w:tcPr>
            <w:tcW w:w="10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506"/>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63"/>
        </w:trPr>
        <w:tc>
          <w:tcPr>
            <w:tcW w:w="8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3,882,660</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1,426,679</w:t>
            </w:r>
          </w:p>
        </w:tc>
      </w:tr>
      <w:tr>
        <w:trPr>
          <w:trHeight w:val="250"/>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income to net cash flows provided by operating activities:</w:t>
            </w: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63"/>
        </w:trPr>
        <w:tc>
          <w:tcPr>
            <w:tcW w:w="81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realized losses on investments</w:t>
            </w: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1,726</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92,357</w:t>
            </w:r>
          </w:p>
        </w:tc>
      </w:tr>
      <w:tr>
        <w:trPr>
          <w:trHeight w:val="250"/>
        </w:trPr>
        <w:tc>
          <w:tcPr>
            <w:tcW w:w="81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Net unrealized losses (gains) on equity investments</w:t>
            </w: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193,330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(641,722)</w:t>
            </w:r>
          </w:p>
        </w:tc>
      </w:tr>
      <w:tr>
        <w:trPr>
          <w:trHeight w:val="263"/>
        </w:trPr>
        <w:tc>
          <w:tcPr>
            <w:tcW w:w="81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unrealized gains on other investments</w:t>
            </w: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(57,077)</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(177,026)</w:t>
            </w:r>
          </w:p>
        </w:tc>
      </w:tr>
      <w:tr>
        <w:trPr>
          <w:trHeight w:val="250"/>
        </w:trPr>
        <w:tc>
          <w:tcPr>
            <w:tcW w:w="81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Gain on sale of real estate</w:t>
            </w: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(1,965,989)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81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623,863</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596,513</w:t>
            </w:r>
          </w:p>
        </w:tc>
      </w:tr>
      <w:tr>
        <w:trPr>
          <w:trHeight w:val="250"/>
        </w:trPr>
        <w:tc>
          <w:tcPr>
            <w:tcW w:w="81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Credit losses</w:t>
            </w: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42,617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8,905</w:t>
            </w:r>
          </w:p>
        </w:tc>
      </w:tr>
      <w:tr>
        <w:trPr>
          <w:trHeight w:val="263"/>
        </w:trPr>
        <w:tc>
          <w:tcPr>
            <w:tcW w:w="81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Accretion of bond discount, net</w:t>
            </w: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5,419</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(61,218)</w:t>
            </w:r>
          </w:p>
        </w:tc>
      </w:tr>
      <w:tr>
        <w:trPr>
          <w:trHeight w:val="250"/>
        </w:trPr>
        <w:tc>
          <w:tcPr>
            <w:tcW w:w="81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Amortization of discount and issuance costs on debt</w:t>
            </w: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62,757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296,919</w:t>
            </w:r>
          </w:p>
        </w:tc>
      </w:tr>
      <w:tr>
        <w:trPr>
          <w:trHeight w:val="263"/>
        </w:trPr>
        <w:tc>
          <w:tcPr>
            <w:tcW w:w="81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174,962</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81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Stock-based compensation</w:t>
            </w: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339,010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265,789</w:t>
            </w:r>
          </w:p>
        </w:tc>
      </w:tr>
      <w:tr>
        <w:trPr>
          <w:trHeight w:val="263"/>
        </w:trPr>
        <w:tc>
          <w:tcPr>
            <w:tcW w:w="81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Deferred income tax (benefit) expense</w:t>
            </w: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(125,822)</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378,024</w:t>
            </w:r>
          </w:p>
        </w:tc>
      </w:tr>
      <w:tr>
        <w:trPr>
          <w:trHeight w:val="250"/>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Decrease (increase) in operating assets:</w:t>
            </w: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63"/>
        </w:trPr>
        <w:tc>
          <w:tcPr>
            <w:tcW w:w="81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Premiums receivable, net</w:t>
            </w: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4,711,531</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(306,894)</w:t>
            </w:r>
          </w:p>
        </w:tc>
      </w:tr>
      <w:tr>
        <w:trPr>
          <w:trHeight w:val="250"/>
        </w:trPr>
        <w:tc>
          <w:tcPr>
            <w:tcW w:w="81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Reinsurance receivables, net</w:t>
            </w: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8,504,288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4,869,975</w:t>
            </w:r>
          </w:p>
        </w:tc>
      </w:tr>
      <w:tr>
        <w:trPr>
          <w:trHeight w:val="263"/>
        </w:trPr>
        <w:tc>
          <w:tcPr>
            <w:tcW w:w="81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Deferred policy acquisition costs</w:t>
            </w: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331,379</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375,413</w:t>
            </w:r>
          </w:p>
        </w:tc>
      </w:tr>
      <w:tr>
        <w:trPr>
          <w:trHeight w:val="250"/>
        </w:trPr>
        <w:tc>
          <w:tcPr>
            <w:tcW w:w="81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Other assets</w:t>
            </w: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303,613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(424,596)</w:t>
            </w:r>
          </w:p>
        </w:tc>
      </w:tr>
      <w:tr>
        <w:trPr>
          <w:trHeight w:val="263"/>
        </w:trPr>
        <w:tc>
          <w:tcPr>
            <w:tcW w:w="8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Increase (decrease) in operating liabilities:</w:t>
            </w: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r>
      <w:tr>
        <w:trPr>
          <w:trHeight w:val="250"/>
        </w:trPr>
        <w:tc>
          <w:tcPr>
            <w:tcW w:w="81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Loss and loss adjustment expense reserves</w:t>
            </w: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9,124,295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680,577</w:t>
            </w:r>
          </w:p>
        </w:tc>
      </w:tr>
      <w:tr>
        <w:trPr>
          <w:trHeight w:val="263"/>
        </w:trPr>
        <w:tc>
          <w:tcPr>
            <w:tcW w:w="81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Unearned premiums</w:t>
            </w: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(2,470,381)</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(671,761)</w:t>
            </w:r>
          </w:p>
        </w:tc>
      </w:tr>
      <w:tr>
        <w:trPr>
          <w:trHeight w:val="250"/>
        </w:trPr>
        <w:tc>
          <w:tcPr>
            <w:tcW w:w="81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Advance premiums</w:t>
            </w: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576,712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783,344</w:t>
            </w:r>
          </w:p>
        </w:tc>
      </w:tr>
      <w:tr>
        <w:trPr>
          <w:trHeight w:val="263"/>
        </w:trPr>
        <w:tc>
          <w:tcPr>
            <w:tcW w:w="81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Reinsurance balances payable</w:t>
            </w: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(4,693,173)</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(2,039,754)</w:t>
            </w:r>
          </w:p>
        </w:tc>
      </w:tr>
      <w:tr>
        <w:trPr>
          <w:trHeight w:val="250"/>
        </w:trPr>
        <w:tc>
          <w:tcPr>
            <w:tcW w:w="81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Deferred ceding commission revenue</w:t>
            </w: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(4,456,192)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(170,765)</w:t>
            </w:r>
          </w:p>
        </w:tc>
      </w:tr>
      <w:tr>
        <w:trPr>
          <w:trHeight w:val="263"/>
        </w:trPr>
        <w:tc>
          <w:tcPr>
            <w:tcW w:w="81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Accounts payable, accrued expenses and other liabilities</w:t>
            </w:r>
          </w:p>
        </w:tc>
        <w:tc>
          <w:tcPr>
            <w:tcW w:w="32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2,747,779</w:t>
            </w:r>
          </w:p>
        </w:tc>
        <w:tc>
          <w:tcPr>
            <w:tcW w:w="10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817,461</w:t>
            </w:r>
          </w:p>
        </w:tc>
      </w:tr>
      <w:tr>
        <w:trPr>
          <w:trHeight w:val="244"/>
        </w:trPr>
        <w:tc>
          <w:tcPr>
            <w:tcW w:w="81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flows provided by operating activities</w:t>
            </w:r>
          </w:p>
        </w:tc>
        <w:tc>
          <w:tcPr>
            <w:tcW w:w="3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17,857,307</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6,098,220</w:t>
            </w:r>
          </w:p>
        </w:tc>
      </w:tr>
      <w:tr>
        <w:trPr>
          <w:trHeight w:val="256"/>
        </w:trPr>
        <w:tc>
          <w:tcPr>
            <w:tcW w:w="80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r>
      <w:tr>
        <w:trPr>
          <w:trHeight w:val="250"/>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63"/>
        </w:trPr>
        <w:tc>
          <w:tcPr>
            <w:tcW w:w="8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 - fixed-maturity securities available-for-sale</w:t>
            </w: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(21,250,155)</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(45,625,725)</w:t>
            </w:r>
          </w:p>
        </w:tc>
      </w:tr>
      <w:tr>
        <w:trPr>
          <w:trHeight w:val="250"/>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Sale and maturity - fixed-maturity securities available-for-sale</w:t>
            </w: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6,669,556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32,801,612</w:t>
            </w:r>
          </w:p>
        </w:tc>
      </w:tr>
      <w:tr>
        <w:trPr>
          <w:trHeight w:val="263"/>
        </w:trPr>
        <w:tc>
          <w:tcPr>
            <w:tcW w:w="8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 - equity securities</w:t>
            </w:r>
          </w:p>
        </w:tc>
        <w:tc>
          <w:tcPr>
            <w:tcW w:w="32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1,777,738</w:t>
            </w:r>
          </w:p>
        </w:tc>
      </w:tr>
      <w:tr>
        <w:trPr>
          <w:trHeight w:val="250"/>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Proceeds from sale of real estate</w:t>
            </w: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3,600,000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8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Acquisition of property and equipment</w:t>
            </w:r>
          </w:p>
        </w:tc>
        <w:tc>
          <w:tcPr>
            <w:tcW w:w="32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(863,468)</w:t>
            </w:r>
          </w:p>
        </w:tc>
        <w:tc>
          <w:tcPr>
            <w:tcW w:w="10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(540,975)</w:t>
            </w:r>
          </w:p>
        </w:tc>
      </w:tr>
      <w:tr>
        <w:trPr>
          <w:trHeight w:val="244"/>
        </w:trPr>
        <w:tc>
          <w:tcPr>
            <w:tcW w:w="81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flows used in investing activities</w:t>
            </w:r>
          </w:p>
        </w:tc>
        <w:tc>
          <w:tcPr>
            <w:tcW w:w="3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(11,844,067)</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(11,587,350)</w:t>
            </w:r>
          </w:p>
        </w:tc>
      </w:tr>
      <w:tr>
        <w:trPr>
          <w:trHeight w:val="256"/>
        </w:trPr>
        <w:tc>
          <w:tcPr>
            <w:tcW w:w="80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r>
      <w:tr>
        <w:trPr>
          <w:trHeight w:val="250"/>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63"/>
        </w:trPr>
        <w:tc>
          <w:tcPr>
            <w:tcW w:w="8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Principal payments on equipment financing</w:t>
            </w: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(299,155)</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(282,176)</w:t>
            </w:r>
          </w:p>
        </w:tc>
      </w:tr>
      <w:tr>
        <w:trPr>
          <w:trHeight w:val="250"/>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Principal payment on 2024 Notes</w:t>
            </w: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(5,950,000)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8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Proceeds from exercise of stock options</w:t>
            </w: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56,149</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Withholding taxes paid on net exercise of stock options</w:t>
            </w: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(14,305)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8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Withholding taxes paid on vested restricted stock awards</w:t>
            </w: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(530,880)</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(6,392)</w:t>
            </w:r>
          </w:p>
        </w:tc>
      </w:tr>
      <w:tr>
        <w:trPr>
          <w:trHeight w:val="250"/>
        </w:trPr>
        <w:tc>
          <w:tcPr>
            <w:tcW w:w="81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Net proceeds from issuance of common stock</w:t>
            </w:r>
          </w:p>
        </w:tc>
        <w:tc>
          <w:tcPr>
            <w:tcW w:w="3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9,545,692</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8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flows provided by (used in) financing activities</w:t>
            </w:r>
          </w:p>
        </w:tc>
        <w:tc>
          <w:tcPr>
            <w:tcW w:w="32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2,807,501</w:t>
            </w:r>
          </w:p>
        </w:tc>
        <w:tc>
          <w:tcPr>
            <w:tcW w:w="10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(288,568)</w:t>
            </w:r>
          </w:p>
        </w:tc>
      </w:tr>
      <w:tr>
        <w:trPr>
          <w:trHeight w:val="256"/>
        </w:trPr>
        <w:tc>
          <w:tcPr>
            <w:tcW w:w="8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60" w:type="dxa"/>
            <w:vAlign w:val="bottom"/>
          </w:tcPr>
          <w:p>
            <w:pPr>
              <w:spacing w:after="0"/>
              <w:rPr>
                <w:sz w:val="22"/>
                <w:szCs w:val="22"/>
                <w:color w:val="auto"/>
              </w:rPr>
            </w:pPr>
          </w:p>
        </w:tc>
      </w:tr>
      <w:tr>
        <w:trPr>
          <w:trHeight w:val="256"/>
        </w:trPr>
        <w:tc>
          <w:tcPr>
            <w:tcW w:w="8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Increase (decrease) in cash and cash equivalents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8,820,741</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(5,777,698)</w:t>
            </w:r>
          </w:p>
        </w:tc>
      </w:tr>
      <w:tr>
        <w:trPr>
          <w:trHeight w:val="250"/>
        </w:trPr>
        <w:tc>
          <w:tcPr>
            <w:tcW w:w="81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Cash and cash equivalents, beginning of period</w:t>
            </w:r>
          </w:p>
        </w:tc>
        <w:tc>
          <w:tcPr>
            <w:tcW w:w="3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28,669,441</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8,976,998</w:t>
            </w:r>
          </w:p>
        </w:tc>
      </w:tr>
      <w:tr>
        <w:trPr>
          <w:trHeight w:val="275"/>
        </w:trPr>
        <w:tc>
          <w:tcPr>
            <w:tcW w:w="81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and cash equivalents, end of period</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37,490,182</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3,199,300</w:t>
            </w:r>
          </w:p>
        </w:tc>
      </w:tr>
      <w:tr>
        <w:trPr>
          <w:trHeight w:val="20"/>
        </w:trPr>
        <w:tc>
          <w:tcPr>
            <w:tcW w:w="8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r>
        <w:trPr>
          <w:trHeight w:val="210"/>
        </w:trPr>
        <w:tc>
          <w:tcPr>
            <w:tcW w:w="8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56"/>
        </w:trPr>
        <w:tc>
          <w:tcPr>
            <w:tcW w:w="8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disclosures of cash flow information:</w:t>
            </w: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r>
      <w:tr>
        <w:trPr>
          <w:trHeight w:val="250"/>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Cash paid for income taxes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8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interest</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1,370,448</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98,456</w:t>
            </w:r>
          </w:p>
        </w:tc>
      </w:tr>
      <w:tr>
        <w:trPr>
          <w:trHeight w:val="256"/>
        </w:trPr>
        <w:tc>
          <w:tcPr>
            <w:tcW w:w="8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60" w:type="dxa"/>
            <w:vAlign w:val="bottom"/>
          </w:tcPr>
          <w:p>
            <w:pPr>
              <w:spacing w:after="0"/>
              <w:rPr>
                <w:sz w:val="22"/>
                <w:szCs w:val="22"/>
                <w:color w:val="auto"/>
              </w:rPr>
            </w:pPr>
          </w:p>
        </w:tc>
      </w:tr>
      <w:tr>
        <w:trPr>
          <w:trHeight w:val="256"/>
        </w:trPr>
        <w:tc>
          <w:tcPr>
            <w:tcW w:w="8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schedule of non-cash investing and financing activities:</w:t>
            </w: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r>
      <w:tr>
        <w:trPr>
          <w:trHeight w:val="243"/>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2,223,186</w:t>
            </w:r>
          </w:p>
        </w:tc>
        <w:tc>
          <w:tcPr>
            <w:tcW w:w="10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(440,408)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71" w:right="339" w:bottom="98" w:gutter="0" w:footer="0" w:header="0"/>
        </w:sectPr>
      </w:pPr>
    </w:p>
    <w:p>
      <w:pPr>
        <w:spacing w:after="0" w:line="2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w:t>
      </w:r>
    </w:p>
    <w:p>
      <w:pPr>
        <w:sectPr>
          <w:pgSz w:w="11900" w:h="16838" w:orient="portrait"/>
          <w:cols w:equalWidth="0" w:num="1">
            <w:col w:w="11240"/>
          </w:cols>
          <w:pgMar w:left="320" w:top="171" w:right="339" w:bottom="98" w:gutter="0" w:footer="0" w:header="0"/>
          <w:type w:val="continuous"/>
        </w:sectPr>
      </w:pPr>
    </w:p>
    <w:bookmarkStart w:id="9" w:name="page10"/>
    <w:bookmarkEnd w:id="9"/>
    <w:p>
      <w:pPr>
        <w:jc w:val="center"/>
        <w:ind w:right="19"/>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79375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310" w:right="1440"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KINGSTONE COMPANIES, INC.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Nature of Business and Basis of Presentation</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Kingstone Companies, Inc. (referred to herein as "Kingstone" or the “Company” or, on a standalone basis for the parent company only, the “Holding Company”), operates through its wholly-owned subsidiary, Kingstone Insurance Company (“KICO”). KICO is a New York domiciled carrier writing business through retail and wholesale agents and brokers. KICO is actively writing personal lines and commercial auto insurance in New York, and in 2024 was the 12th largest writer of homeowners insurance in New York. KICO is also licensed in the states of New Jersey, Rhode Island, Massachusetts, Connecticut, Pennsylvania, New Hampshire, and Maine. For the three months ended March 31, 2025 and 2024, 98.3% and 94.4%, respectively, of KICO’s direct written premiums came from the New York policies. Kingstone, through its wholly owned subsidiary, Cosi Agency, Inc. (“Cosi”), a multi-state licensed general agency, receives commission revenue from KICO for the policies it places with others and pays commissions to these agencies.</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have been prepared in accordance with U.S. generally accepted accounting principles (“GAAP”). The principles for condensed interim financial information do not require the inclusion of all the information and footnotes required by GAAP for complete financial statements. Therefore, these condensed consolidated financial statements should be read in conjunction with the consolidated financial statements as of and for the year ended December 31, 2024 and notes thereto included in the Company’s Annual Report on Form 10-K filed with the Securities and Exchange Commission (the “SEC”) on March 18, 2025. The accompanying condensed consolidated financial statements have not been audited by an independent registered public accounting firm in accordance with standards of the Public Company Accounting Oversight Board (United States) but, in the opinion of management, such financial statements include all adjustments, consisting only of normal recurring adjustments, necessary for a fair presentation of the Company’s financial position and results of operations. The results of operations for the three months ended March 31, 2025 may not be indicative of the results that may be expected for the year ending December 31, 2025.</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Accounting Policies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Basis of Presentation</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See Note 2 to the Consolidated Financial Statements in the Company’s Annual Report on Form 10-K for the year ended December 31, 2024 for further information.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Principles of Consolidation</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condensed consolidated financial statements include the accounts of Kingstone and its wholly-owned subsidiaries: (1) KICO and its wholly-owned subsidiaries, CMIC Properties, Inc. (“Properties”) and 15 Joys Lane, LLC (“15 Joys Lane”), which together, until March 2025, owned the land and building from which KICO operated (see Note 14 - Sale of Real Estate), and (2) Cosi. All significant inter-company account balances and transactions have been eliminated in consolidation.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Use of Estimates</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 the reported amounts of assets and liabilities and disclosure of contingent assets and liabilities at the date of the condensed consolidated financial statements and the reported amounts of revenues and expenses during the reporting period. Actual results could differ from these estimates and assumptions, and includes the reserves for losses and loss adjustment expense (“LAE”), which are subject to estimation errors due to the inherent uncertainty in projecting ultimate claim amounts that will be reported and settled over a period of many years. In addition, estimates and assumptions associated with loss and LAE recoverable under reinsurance contracts and other receivables or payable under reinsurance contracts related to contingent ceding commission revenue require judgments by management. On an ongoing basis, management reevaluates its assumptions and the methods for calculating these estimates. Actual results may differ significantly from the estimates used in preparing the condensed consolidated financial statements.</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Accounting Changes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December 2023, the Financial Accounting Standards Board (the "FASB") issued Accounting Standards Update ("ASU") No. 2023-09, Improvements to Income Tax Disclosures (“ASU 2023-09”), which requires disaggregated information about a reporting entity’s effective tax rate reconciliation as well as information on income taxes paid. The standard is intended to benefit investors by providing more detailed income tax disclosures that would be useful in making capital allocation decisions. The guidance is effective for the Company’s Annual Report on Form 10-K for the year ended December 31, 2025.</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Recent Accounting Pronouncements</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November 2024, the FASB issued ASU 2024-03, Disaggregation of Income Statement Expenses ("ASU 2024-03"). ASU 2024-03 requires disaggregated disclosure of income statement expenses. ASU 2024-03 does not change the expense captions currently presented on the income statement; rather it requires disaggregation of certain expense captions into specified categories in disclosures within the footnotes to the financial statements. ASU 2024-03 is effective for annual reporting periods as amended by ASU 2025-01, beginning after December 15, 2026, and interim reporting periods within fiscal years beginning after December 15, 2027. ASU 2024-03 can be applied on a prospective basis; however, retrospective application is permitted. Early adoption is permitted. The Company is currently evaluating the effect the updated guidance will have on its financial statement disclosures.</w:t>
      </w:r>
    </w:p>
    <w:p>
      <w:pPr>
        <w:spacing w:after="0" w:line="18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has determined that all other recently issued accounting pronouncements will not have a material impact on its consolidated financial position, results of operations and cash flows, or do not apply to its operations.</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Investments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Fixed-Maturity Securities</w:t>
      </w:r>
    </w:p>
    <w:p>
      <w:pPr>
        <w:spacing w:after="0" w:line="22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amortized cost, estimated fair value, and gross unrealized gains and losses on investments in fixed-maturity securities classified as available-for-sale for which an allowance for credit losses has not been recorded, as of March 31, 2025 and December 31, 2024 are summarized as follows:</w:t>
      </w:r>
    </w:p>
    <w:p>
      <w:pPr>
        <w:sectPr>
          <w:pgSz w:w="11900" w:h="16838" w:orient="portrait"/>
          <w:cols w:equalWidth="0" w:num="1">
            <w:col w:w="11240"/>
          </w:cols>
          <w:pgMar w:left="320" w:top="11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Category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144843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448435" cy="8255"/>
                    </a:xfrm>
                    <a:prstGeom prst="rect">
                      <a:avLst/>
                    </a:prstGeom>
                    <a:noFill/>
                  </pic:spPr>
                </pic:pic>
              </a:graphicData>
            </a:graphic>
          </wp:anchor>
        </w:drawing>
      </w:r>
    </w:p>
    <w:p>
      <w:pPr>
        <w:spacing w:after="0" w:line="30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Fixed-Maturity Securities:</w:t>
      </w:r>
    </w:p>
    <w:p>
      <w:pPr>
        <w:spacing w:after="0" w:line="54" w:lineRule="exact"/>
        <w:rPr>
          <w:sz w:val="20"/>
          <w:szCs w:val="20"/>
          <w:color w:val="auto"/>
        </w:rPr>
      </w:pPr>
    </w:p>
    <w:p>
      <w:pPr>
        <w:ind w:left="20"/>
        <w:spacing w:after="0" w:line="247" w:lineRule="auto"/>
        <w:rPr>
          <w:sz w:val="20"/>
          <w:szCs w:val="20"/>
          <w:color w:val="auto"/>
        </w:rPr>
      </w:pPr>
      <w:r>
        <w:rPr>
          <w:rFonts w:ascii="Times New Roman" w:cs="Times New Roman" w:eastAsia="Times New Roman" w:hAnsi="Times New Roman"/>
          <w:sz w:val="18"/>
          <w:szCs w:val="18"/>
          <w:color w:val="auto"/>
        </w:rPr>
        <w:t>U.S. Treasury securities and obligations of U.S. government corporations and</w:t>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28575</wp:posOffset>
            </wp:positionV>
            <wp:extent cx="562356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23560" cy="8255"/>
                    </a:xfrm>
                    <a:prstGeom prst="rect">
                      <a:avLst/>
                    </a:prstGeom>
                    <a:noFill/>
                  </pic:spPr>
                </pic:pic>
              </a:graphicData>
            </a:graphic>
          </wp:anchor>
        </w:drawing>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15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Cost or</w:t>
            </w:r>
          </w:p>
        </w:tc>
        <w:tc>
          <w:tcPr>
            <w:tcW w:w="13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7"/>
              </w:rPr>
              <w:t>Gross</w:t>
            </w:r>
          </w:p>
        </w:tc>
        <w:tc>
          <w:tcPr>
            <w:tcW w:w="3000" w:type="dxa"/>
            <w:vAlign w:val="bottom"/>
            <w:tcBorders>
              <w:bottom w:val="single" w:sz="8" w:color="auto"/>
            </w:tcBorders>
            <w:gridSpan w:val="3"/>
          </w:tcPr>
          <w:p>
            <w:pPr>
              <w:ind w:left="560"/>
              <w:spacing w:after="0"/>
              <w:rPr>
                <w:sz w:val="20"/>
                <w:szCs w:val="20"/>
                <w:color w:val="auto"/>
              </w:rPr>
            </w:pPr>
            <w:r>
              <w:rPr>
                <w:rFonts w:ascii="Times New Roman" w:cs="Times New Roman" w:eastAsia="Times New Roman" w:hAnsi="Times New Roman"/>
                <w:sz w:val="18"/>
                <w:szCs w:val="18"/>
                <w:b w:val="1"/>
                <w:bCs w:val="1"/>
                <w:color w:val="auto"/>
              </w:rPr>
              <w:t>Gross Unrealized Losses</w:t>
            </w:r>
          </w:p>
        </w:tc>
        <w:tc>
          <w:tcPr>
            <w:tcW w:w="100" w:type="dxa"/>
            <w:vAlign w:val="bottom"/>
          </w:tcPr>
          <w:p>
            <w:pPr>
              <w:spacing w:after="0"/>
              <w:rPr>
                <w:sz w:val="21"/>
                <w:szCs w:val="21"/>
                <w:color w:val="auto"/>
              </w:rPr>
            </w:pPr>
          </w:p>
        </w:tc>
        <w:tc>
          <w:tcPr>
            <w:tcW w:w="15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Estimated</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Net</w:t>
            </w:r>
          </w:p>
        </w:tc>
      </w:tr>
      <w:tr>
        <w:trPr>
          <w:trHeight w:val="187"/>
        </w:trPr>
        <w:tc>
          <w:tcPr>
            <w:tcW w:w="1540" w:type="dxa"/>
            <w:vAlign w:val="bottom"/>
            <w:gridSpan w:val="2"/>
          </w:tcPr>
          <w:p>
            <w:pPr>
              <w:jc w:val="center"/>
              <w:ind w:right="120"/>
              <w:spacing w:after="0" w:line="188" w:lineRule="exact"/>
              <w:rPr>
                <w:sz w:val="20"/>
                <w:szCs w:val="20"/>
                <w:color w:val="auto"/>
              </w:rPr>
            </w:pPr>
            <w:r>
              <w:rPr>
                <w:rFonts w:ascii="Times New Roman" w:cs="Times New Roman" w:eastAsia="Times New Roman" w:hAnsi="Times New Roman"/>
                <w:sz w:val="18"/>
                <w:szCs w:val="18"/>
                <w:b w:val="1"/>
                <w:bCs w:val="1"/>
                <w:color w:val="auto"/>
                <w:w w:val="99"/>
              </w:rPr>
              <w:t>Amortized</w:t>
            </w:r>
          </w:p>
        </w:tc>
        <w:tc>
          <w:tcPr>
            <w:tcW w:w="1320" w:type="dxa"/>
            <w:vAlign w:val="bottom"/>
            <w:gridSpan w:val="2"/>
          </w:tcPr>
          <w:p>
            <w:pPr>
              <w:jc w:val="center"/>
              <w:ind w:right="120"/>
              <w:spacing w:after="0" w:line="188" w:lineRule="exact"/>
              <w:rPr>
                <w:sz w:val="20"/>
                <w:szCs w:val="20"/>
                <w:color w:val="auto"/>
              </w:rPr>
            </w:pPr>
            <w:r>
              <w:rPr>
                <w:rFonts w:ascii="Times New Roman" w:cs="Times New Roman" w:eastAsia="Times New Roman" w:hAnsi="Times New Roman"/>
                <w:sz w:val="18"/>
                <w:szCs w:val="18"/>
                <w:b w:val="1"/>
                <w:bCs w:val="1"/>
                <w:color w:val="auto"/>
                <w:w w:val="99"/>
              </w:rPr>
              <w:t>Unrealized</w:t>
            </w:r>
          </w:p>
        </w:tc>
        <w:tc>
          <w:tcPr>
            <w:tcW w:w="1540" w:type="dxa"/>
            <w:vAlign w:val="bottom"/>
            <w:gridSpan w:val="2"/>
          </w:tcPr>
          <w:p>
            <w:pPr>
              <w:jc w:val="center"/>
              <w:ind w:right="100"/>
              <w:spacing w:after="0" w:line="188" w:lineRule="exact"/>
              <w:rPr>
                <w:sz w:val="20"/>
                <w:szCs w:val="20"/>
                <w:color w:val="auto"/>
              </w:rPr>
            </w:pPr>
            <w:r>
              <w:rPr>
                <w:rFonts w:ascii="Times New Roman" w:cs="Times New Roman" w:eastAsia="Times New Roman" w:hAnsi="Times New Roman"/>
                <w:sz w:val="18"/>
                <w:szCs w:val="18"/>
                <w:b w:val="1"/>
                <w:bCs w:val="1"/>
                <w:color w:val="auto"/>
                <w:w w:val="99"/>
              </w:rPr>
              <w:t>Less than 12</w:t>
            </w:r>
          </w:p>
        </w:tc>
        <w:tc>
          <w:tcPr>
            <w:tcW w:w="146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More than 12</w:t>
            </w:r>
          </w:p>
        </w:tc>
        <w:tc>
          <w:tcPr>
            <w:tcW w:w="100" w:type="dxa"/>
            <w:vAlign w:val="bottom"/>
          </w:tcPr>
          <w:p>
            <w:pPr>
              <w:spacing w:after="0"/>
              <w:rPr>
                <w:sz w:val="16"/>
                <w:szCs w:val="16"/>
                <w:color w:val="auto"/>
              </w:rPr>
            </w:pPr>
          </w:p>
        </w:tc>
        <w:tc>
          <w:tcPr>
            <w:tcW w:w="1540" w:type="dxa"/>
            <w:vAlign w:val="bottom"/>
            <w:gridSpan w:val="2"/>
          </w:tcPr>
          <w:p>
            <w:pPr>
              <w:jc w:val="center"/>
              <w:ind w:right="140"/>
              <w:spacing w:after="0" w:line="188" w:lineRule="exact"/>
              <w:rPr>
                <w:sz w:val="20"/>
                <w:szCs w:val="20"/>
                <w:color w:val="auto"/>
              </w:rPr>
            </w:pPr>
            <w:r>
              <w:rPr>
                <w:rFonts w:ascii="Times New Roman" w:cs="Times New Roman" w:eastAsia="Times New Roman" w:hAnsi="Times New Roman"/>
                <w:sz w:val="18"/>
                <w:szCs w:val="18"/>
                <w:b w:val="1"/>
                <w:bCs w:val="1"/>
                <w:color w:val="auto"/>
                <w:w w:val="96"/>
              </w:rPr>
              <w:t>Fair</w:t>
            </w:r>
          </w:p>
        </w:tc>
        <w:tc>
          <w:tcPr>
            <w:tcW w:w="136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Unrealized</w:t>
            </w:r>
          </w:p>
        </w:tc>
      </w:tr>
      <w:tr>
        <w:trPr>
          <w:trHeight w:val="259"/>
        </w:trPr>
        <w:tc>
          <w:tcPr>
            <w:tcW w:w="1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Cost</w:t>
            </w:r>
          </w:p>
        </w:tc>
        <w:tc>
          <w:tcPr>
            <w:tcW w:w="100" w:type="dxa"/>
            <w:vAlign w:val="bottom"/>
          </w:tcPr>
          <w:p>
            <w:pPr>
              <w:spacing w:after="0"/>
              <w:rPr>
                <w:sz w:val="22"/>
                <w:szCs w:val="22"/>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Gains</w:t>
            </w:r>
          </w:p>
        </w:tc>
        <w:tc>
          <w:tcPr>
            <w:tcW w:w="80" w:type="dxa"/>
            <w:vAlign w:val="bottom"/>
          </w:tcPr>
          <w:p>
            <w:pPr>
              <w:spacing w:after="0"/>
              <w:rPr>
                <w:sz w:val="22"/>
                <w:szCs w:val="22"/>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Months</w:t>
            </w:r>
          </w:p>
        </w:tc>
        <w:tc>
          <w:tcPr>
            <w:tcW w:w="80" w:type="dxa"/>
            <w:vAlign w:val="bottom"/>
          </w:tcPr>
          <w:p>
            <w:pPr>
              <w:spacing w:after="0"/>
              <w:rPr>
                <w:sz w:val="22"/>
                <w:szCs w:val="22"/>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Months</w:t>
            </w:r>
          </w:p>
        </w:tc>
        <w:tc>
          <w:tcPr>
            <w:tcW w:w="100" w:type="dxa"/>
            <w:vAlign w:val="bottom"/>
          </w:tcPr>
          <w:p>
            <w:pPr>
              <w:spacing w:after="0"/>
              <w:rPr>
                <w:sz w:val="22"/>
                <w:szCs w:val="22"/>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80" w:type="dxa"/>
            <w:vAlign w:val="bottom"/>
          </w:tcPr>
          <w:p>
            <w:pPr>
              <w:spacing w:after="0"/>
              <w:rPr>
                <w:sz w:val="22"/>
                <w:szCs w:val="22"/>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Losses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-1505585</wp:posOffset>
            </wp:positionH>
            <wp:positionV relativeFrom="paragraph">
              <wp:posOffset>325755</wp:posOffset>
            </wp:positionV>
            <wp:extent cx="7132320" cy="55753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557530"/>
                    </a:xfrm>
                    <a:prstGeom prst="rect">
                      <a:avLst/>
                    </a:prstGeom>
                    <a:noFill/>
                  </pic:spPr>
                </pic:pic>
              </a:graphicData>
            </a:graphic>
          </wp:anchor>
        </w:drawing>
      </w:r>
    </w:p>
    <w:p>
      <w:pPr>
        <w:spacing w:after="0" w:line="1161" w:lineRule="exact"/>
        <w:rPr>
          <w:sz w:val="20"/>
          <w:szCs w:val="20"/>
          <w:color w:val="auto"/>
        </w:rPr>
      </w:pPr>
    </w:p>
    <w:p>
      <w:pPr>
        <w:sectPr>
          <w:pgSz w:w="11900" w:h="16838" w:orient="portrait"/>
          <w:cols w:equalWidth="0" w:num="2">
            <w:col w:w="2140" w:space="240"/>
            <w:col w:w="8860"/>
          </w:cols>
          <w:pgMar w:left="320" w:top="119" w:right="339" w:bottom="1440" w:gutter="0" w:footer="0" w:header="0"/>
          <w:type w:val="continuous"/>
        </w:sectPr>
      </w:pPr>
    </w:p>
    <w:tbl>
      <w:tblPr>
        <w:tblLayout w:type="fixed"/>
        <w:tblInd w:w="0" w:type="dxa"/>
        <w:tblCellMar>
          <w:top w:w="0" w:type="dxa"/>
          <w:left w:w="0" w:type="dxa"/>
          <w:bottom w:w="0" w:type="dxa"/>
          <w:right w:w="0" w:type="dxa"/>
        </w:tblCellMar>
      </w:tblPr>
      <w:tr>
        <w:trPr>
          <w:trHeight w:val="234"/>
        </w:trPr>
        <w:tc>
          <w:tcPr>
            <w:tcW w:w="2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agencies</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4,991,733</w:t>
            </w:r>
          </w:p>
        </w:tc>
        <w:tc>
          <w:tcPr>
            <w:tcW w:w="10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tcPr>
          <w:p>
            <w:pPr>
              <w:spacing w:after="0"/>
              <w:rPr>
                <w:sz w:val="20"/>
                <w:szCs w:val="20"/>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4,991,750</w:t>
            </w:r>
          </w:p>
        </w:tc>
        <w:tc>
          <w:tcPr>
            <w:tcW w:w="8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52"/>
        </w:trPr>
        <w:tc>
          <w:tcPr>
            <w:tcW w:w="23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11"/>
        </w:trPr>
        <w:tc>
          <w:tcPr>
            <w:tcW w:w="2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Political subdivisions of</w:t>
            </w: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03"/>
        </w:trPr>
        <w:tc>
          <w:tcPr>
            <w:tcW w:w="2380" w:type="dxa"/>
            <w:vAlign w:val="bottom"/>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States, Territories and</w:t>
            </w:r>
          </w:p>
        </w:tc>
        <w:tc>
          <w:tcPr>
            <w:tcW w:w="3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61"/>
        </w:trPr>
        <w:tc>
          <w:tcPr>
            <w:tcW w:w="2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Possessions (1)</w:t>
            </w:r>
          </w:p>
        </w:tc>
        <w:tc>
          <w:tcPr>
            <w:tcW w:w="30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24,267,119</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62,010</w:t>
            </w:r>
          </w:p>
        </w:tc>
        <w:tc>
          <w:tcPr>
            <w:tcW w:w="8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(2,945,087)</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21,384,042</w:t>
            </w: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(2,883,077)</w:t>
            </w:r>
          </w:p>
        </w:tc>
      </w:tr>
      <w:tr>
        <w:trPr>
          <w:trHeight w:val="257"/>
        </w:trPr>
        <w:tc>
          <w:tcPr>
            <w:tcW w:w="23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tcPr>
          <w:p>
            <w:pPr>
              <w:spacing w:after="0"/>
              <w:rPr>
                <w:sz w:val="22"/>
                <w:szCs w:val="22"/>
                <w:color w:val="auto"/>
              </w:rPr>
            </w:pPr>
          </w:p>
        </w:tc>
      </w:tr>
      <w:tr>
        <w:trPr>
          <w:trHeight w:val="211"/>
        </w:trPr>
        <w:tc>
          <w:tcPr>
            <w:tcW w:w="2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and other bonds</w:t>
            </w: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03"/>
        </w:trPr>
        <w:tc>
          <w:tcPr>
            <w:tcW w:w="2380" w:type="dxa"/>
            <w:vAlign w:val="bottom"/>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industrial and miscellaneous</w:t>
            </w:r>
          </w:p>
        </w:tc>
        <w:tc>
          <w:tcPr>
            <w:tcW w:w="3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61"/>
        </w:trPr>
        <w:tc>
          <w:tcPr>
            <w:tcW w:w="2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w:t>
            </w:r>
          </w:p>
        </w:tc>
        <w:tc>
          <w:tcPr>
            <w:tcW w:w="30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109,603,106</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22,136</w:t>
            </w:r>
          </w:p>
        </w:tc>
        <w:tc>
          <w:tcPr>
            <w:tcW w:w="8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(495,587)</w:t>
            </w:r>
          </w:p>
        </w:tc>
        <w:tc>
          <w:tcPr>
            <w:tcW w:w="8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(3,992,684)</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105,136,971</w:t>
            </w: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(4,466,135)</w:t>
            </w:r>
          </w:p>
        </w:tc>
      </w:tr>
      <w:tr>
        <w:trPr>
          <w:trHeight w:val="257"/>
        </w:trPr>
        <w:tc>
          <w:tcPr>
            <w:tcW w:w="23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tcPr>
          <w:p>
            <w:pPr>
              <w:spacing w:after="0"/>
              <w:rPr>
                <w:sz w:val="22"/>
                <w:szCs w:val="22"/>
                <w:color w:val="auto"/>
              </w:rPr>
            </w:pPr>
          </w:p>
        </w:tc>
      </w:tr>
      <w:tr>
        <w:trPr>
          <w:trHeight w:val="211"/>
        </w:trPr>
        <w:tc>
          <w:tcPr>
            <w:tcW w:w="2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Residential mortgage and</w:t>
            </w: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03"/>
        </w:trPr>
        <w:tc>
          <w:tcPr>
            <w:tcW w:w="2380" w:type="dxa"/>
            <w:vAlign w:val="bottom"/>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other asset backed securities</w:t>
            </w:r>
          </w:p>
        </w:tc>
        <w:tc>
          <w:tcPr>
            <w:tcW w:w="3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61"/>
        </w:trPr>
        <w:tc>
          <w:tcPr>
            <w:tcW w:w="2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 (2)</w:t>
            </w:r>
          </w:p>
        </w:tc>
        <w:tc>
          <w:tcPr>
            <w:tcW w:w="30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78,020,973</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300,333</w:t>
            </w:r>
          </w:p>
        </w:tc>
        <w:tc>
          <w:tcPr>
            <w:tcW w:w="80" w:type="dxa"/>
            <w:vAlign w:val="bottom"/>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(17,773)</w:t>
            </w:r>
          </w:p>
        </w:tc>
        <w:tc>
          <w:tcPr>
            <w:tcW w:w="8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(5,533,927)</w:t>
            </w:r>
          </w:p>
        </w:tc>
        <w:tc>
          <w:tcPr>
            <w:tcW w:w="10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72,769,606</w:t>
            </w:r>
          </w:p>
        </w:tc>
        <w:tc>
          <w:tcPr>
            <w:tcW w:w="8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(5,251,367)</w:t>
            </w:r>
          </w:p>
        </w:tc>
      </w:tr>
      <w:tr>
        <w:trPr>
          <w:trHeight w:val="244"/>
        </w:trPr>
        <w:tc>
          <w:tcPr>
            <w:tcW w:w="2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fixed-maturity securities</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216,882,931</w:t>
            </w:r>
          </w:p>
        </w:tc>
        <w:tc>
          <w:tcPr>
            <w:tcW w:w="100" w:type="dxa"/>
            <w:vAlign w:val="bottom"/>
          </w:tcPr>
          <w:p>
            <w:pPr>
              <w:spacing w:after="0"/>
              <w:rPr>
                <w:sz w:val="21"/>
                <w:szCs w:val="21"/>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384,496</w:t>
            </w:r>
          </w:p>
        </w:tc>
        <w:tc>
          <w:tcPr>
            <w:tcW w:w="80" w:type="dxa"/>
            <w:vAlign w:val="bottom"/>
          </w:tcPr>
          <w:p>
            <w:pPr>
              <w:spacing w:after="0"/>
              <w:rPr>
                <w:sz w:val="21"/>
                <w:szCs w:val="21"/>
                <w:color w:val="auto"/>
              </w:rPr>
            </w:pPr>
          </w:p>
        </w:tc>
        <w:tc>
          <w:tcPr>
            <w:tcW w:w="4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(513,360)</w:t>
            </w:r>
          </w:p>
        </w:tc>
        <w:tc>
          <w:tcPr>
            <w:tcW w:w="80" w:type="dxa"/>
            <w:vAlign w:val="bottom"/>
          </w:tcPr>
          <w:p>
            <w:pPr>
              <w:spacing w:after="0"/>
              <w:rPr>
                <w:sz w:val="21"/>
                <w:szCs w:val="21"/>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(12,471,698)</w:t>
            </w:r>
          </w:p>
        </w:tc>
        <w:tc>
          <w:tcPr>
            <w:tcW w:w="100" w:type="dxa"/>
            <w:vAlign w:val="bottom"/>
          </w:tcPr>
          <w:p>
            <w:pPr>
              <w:spacing w:after="0"/>
              <w:rPr>
                <w:sz w:val="21"/>
                <w:szCs w:val="21"/>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204,282,369</w:t>
            </w:r>
          </w:p>
        </w:tc>
        <w:tc>
          <w:tcPr>
            <w:tcW w:w="80" w:type="dxa"/>
            <w:vAlign w:val="bottom"/>
          </w:tcPr>
          <w:p>
            <w:pPr>
              <w:spacing w:after="0"/>
              <w:rPr>
                <w:sz w:val="21"/>
                <w:szCs w:val="21"/>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(12,600,562)</w:t>
            </w:r>
          </w:p>
        </w:tc>
      </w:tr>
      <w:tr>
        <w:trPr>
          <w:trHeight w:val="27"/>
        </w:trPr>
        <w:tc>
          <w:tcPr>
            <w:tcW w:w="23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17"/>
          <w:szCs w:val="17"/>
          <w:i w:val="1"/>
          <w:iCs w:val="1"/>
          <w:u w:val="single" w:color="auto"/>
          <w:color w:val="0000FF"/>
        </w:rPr>
        <w:t>Table of Contents</w:t>
      </w:r>
    </w:p>
    <w:p>
      <w:pPr>
        <w:sectPr>
          <w:pgSz w:w="11900" w:h="16838" w:orient="portrait"/>
          <w:cols w:equalWidth="0" w:num="1">
            <w:col w:w="11240"/>
          </w:cols>
          <w:pgMar w:left="320" w:top="11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Category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133731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337310" cy="8255"/>
                    </a:xfrm>
                    <a:prstGeom prst="rect">
                      <a:avLst/>
                    </a:prstGeom>
                    <a:noFill/>
                  </pic:spPr>
                </pic:pic>
              </a:graphicData>
            </a:graphic>
          </wp:anchor>
        </w:drawing>
      </w:r>
    </w:p>
    <w:p>
      <w:pPr>
        <w:spacing w:after="0" w:line="24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Fixed-Maturity Securities:</w:t>
      </w:r>
    </w:p>
    <w:p>
      <w:pPr>
        <w:spacing w:after="0" w:line="65" w:lineRule="exact"/>
        <w:rPr>
          <w:sz w:val="20"/>
          <w:szCs w:val="20"/>
          <w:color w:val="auto"/>
        </w:rPr>
      </w:pPr>
    </w:p>
    <w:p>
      <w:pPr>
        <w:ind w:left="20"/>
        <w:spacing w:after="0" w:line="247" w:lineRule="auto"/>
        <w:rPr>
          <w:sz w:val="20"/>
          <w:szCs w:val="20"/>
          <w:color w:val="auto"/>
        </w:rPr>
      </w:pPr>
      <w:r>
        <w:rPr>
          <w:rFonts w:ascii="Times New Roman" w:cs="Times New Roman" w:eastAsia="Times New Roman" w:hAnsi="Times New Roman"/>
          <w:sz w:val="18"/>
          <w:szCs w:val="18"/>
          <w:color w:val="auto"/>
        </w:rPr>
        <w:t>U.S. Treasury securities and obligations of U.S. government corporations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573468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734685" cy="8255"/>
                    </a:xfrm>
                    <a:prstGeom prst="rect">
                      <a:avLst/>
                    </a:prstGeom>
                    <a:noFill/>
                  </pic:spPr>
                </pic:pic>
              </a:graphicData>
            </a:graphic>
          </wp:anchor>
        </w:drawing>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15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Cost or</w:t>
            </w:r>
          </w:p>
        </w:tc>
        <w:tc>
          <w:tcPr>
            <w:tcW w:w="13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7"/>
              </w:rPr>
              <w:t>Gross</w:t>
            </w:r>
          </w:p>
        </w:tc>
        <w:tc>
          <w:tcPr>
            <w:tcW w:w="3020" w:type="dxa"/>
            <w:vAlign w:val="bottom"/>
            <w:tcBorders>
              <w:bottom w:val="single" w:sz="8" w:color="auto"/>
            </w:tcBorders>
            <w:gridSpan w:val="3"/>
          </w:tcPr>
          <w:p>
            <w:pPr>
              <w:ind w:left="580"/>
              <w:spacing w:after="0"/>
              <w:rPr>
                <w:sz w:val="20"/>
                <w:szCs w:val="20"/>
                <w:color w:val="auto"/>
              </w:rPr>
            </w:pPr>
            <w:r>
              <w:rPr>
                <w:rFonts w:ascii="Times New Roman" w:cs="Times New Roman" w:eastAsia="Times New Roman" w:hAnsi="Times New Roman"/>
                <w:sz w:val="18"/>
                <w:szCs w:val="18"/>
                <w:b w:val="1"/>
                <w:bCs w:val="1"/>
                <w:color w:val="auto"/>
              </w:rPr>
              <w:t>Gross Unrealized Losses</w:t>
            </w:r>
          </w:p>
        </w:tc>
        <w:tc>
          <w:tcPr>
            <w:tcW w:w="100" w:type="dxa"/>
            <w:vAlign w:val="bottom"/>
          </w:tcPr>
          <w:p>
            <w:pPr>
              <w:spacing w:after="0"/>
              <w:rPr>
                <w:sz w:val="21"/>
                <w:szCs w:val="21"/>
                <w:color w:val="auto"/>
              </w:rPr>
            </w:pP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Estimated</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Net</w:t>
            </w:r>
          </w:p>
        </w:tc>
      </w:tr>
      <w:tr>
        <w:trPr>
          <w:trHeight w:val="187"/>
        </w:trPr>
        <w:tc>
          <w:tcPr>
            <w:tcW w:w="1560" w:type="dxa"/>
            <w:vAlign w:val="bottom"/>
            <w:gridSpan w:val="2"/>
          </w:tcPr>
          <w:p>
            <w:pPr>
              <w:jc w:val="center"/>
              <w:ind w:right="140"/>
              <w:spacing w:after="0" w:line="188" w:lineRule="exact"/>
              <w:rPr>
                <w:sz w:val="20"/>
                <w:szCs w:val="20"/>
                <w:color w:val="auto"/>
              </w:rPr>
            </w:pPr>
            <w:r>
              <w:rPr>
                <w:rFonts w:ascii="Times New Roman" w:cs="Times New Roman" w:eastAsia="Times New Roman" w:hAnsi="Times New Roman"/>
                <w:sz w:val="18"/>
                <w:szCs w:val="18"/>
                <w:b w:val="1"/>
                <w:bCs w:val="1"/>
                <w:color w:val="auto"/>
                <w:w w:val="99"/>
              </w:rPr>
              <w:t>Amortized</w:t>
            </w:r>
          </w:p>
        </w:tc>
        <w:tc>
          <w:tcPr>
            <w:tcW w:w="1320" w:type="dxa"/>
            <w:vAlign w:val="bottom"/>
            <w:gridSpan w:val="2"/>
          </w:tcPr>
          <w:p>
            <w:pPr>
              <w:jc w:val="center"/>
              <w:ind w:right="120"/>
              <w:spacing w:after="0" w:line="188" w:lineRule="exact"/>
              <w:rPr>
                <w:sz w:val="20"/>
                <w:szCs w:val="20"/>
                <w:color w:val="auto"/>
              </w:rPr>
            </w:pPr>
            <w:r>
              <w:rPr>
                <w:rFonts w:ascii="Times New Roman" w:cs="Times New Roman" w:eastAsia="Times New Roman" w:hAnsi="Times New Roman"/>
                <w:sz w:val="18"/>
                <w:szCs w:val="18"/>
                <w:b w:val="1"/>
                <w:bCs w:val="1"/>
                <w:color w:val="auto"/>
                <w:w w:val="99"/>
              </w:rPr>
              <w:t>Unrealized</w:t>
            </w:r>
          </w:p>
        </w:tc>
        <w:tc>
          <w:tcPr>
            <w:tcW w:w="1560" w:type="dxa"/>
            <w:vAlign w:val="bottom"/>
            <w:gridSpan w:val="2"/>
          </w:tcPr>
          <w:p>
            <w:pPr>
              <w:jc w:val="center"/>
              <w:ind w:right="80"/>
              <w:spacing w:after="0" w:line="188" w:lineRule="exact"/>
              <w:rPr>
                <w:sz w:val="20"/>
                <w:szCs w:val="20"/>
                <w:color w:val="auto"/>
              </w:rPr>
            </w:pPr>
            <w:r>
              <w:rPr>
                <w:rFonts w:ascii="Times New Roman" w:cs="Times New Roman" w:eastAsia="Times New Roman" w:hAnsi="Times New Roman"/>
                <w:sz w:val="18"/>
                <w:szCs w:val="18"/>
                <w:b w:val="1"/>
                <w:bCs w:val="1"/>
                <w:color w:val="auto"/>
                <w:w w:val="99"/>
              </w:rPr>
              <w:t>Less than 12</w:t>
            </w:r>
          </w:p>
        </w:tc>
        <w:tc>
          <w:tcPr>
            <w:tcW w:w="146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More than 12</w:t>
            </w:r>
          </w:p>
        </w:tc>
        <w:tc>
          <w:tcPr>
            <w:tcW w:w="100" w:type="dxa"/>
            <w:vAlign w:val="bottom"/>
          </w:tcPr>
          <w:p>
            <w:pPr>
              <w:spacing w:after="0"/>
              <w:rPr>
                <w:sz w:val="16"/>
                <w:szCs w:val="16"/>
                <w:color w:val="auto"/>
              </w:rPr>
            </w:pPr>
          </w:p>
        </w:tc>
        <w:tc>
          <w:tcPr>
            <w:tcW w:w="1560" w:type="dxa"/>
            <w:vAlign w:val="bottom"/>
            <w:gridSpan w:val="2"/>
          </w:tcPr>
          <w:p>
            <w:pPr>
              <w:jc w:val="center"/>
              <w:ind w:right="120"/>
              <w:spacing w:after="0" w:line="188" w:lineRule="exact"/>
              <w:rPr>
                <w:sz w:val="20"/>
                <w:szCs w:val="20"/>
                <w:color w:val="auto"/>
              </w:rPr>
            </w:pPr>
            <w:r>
              <w:rPr>
                <w:rFonts w:ascii="Times New Roman" w:cs="Times New Roman" w:eastAsia="Times New Roman" w:hAnsi="Times New Roman"/>
                <w:sz w:val="18"/>
                <w:szCs w:val="18"/>
                <w:b w:val="1"/>
                <w:bCs w:val="1"/>
                <w:color w:val="auto"/>
                <w:w w:val="96"/>
              </w:rPr>
              <w:t>Fair</w:t>
            </w:r>
          </w:p>
        </w:tc>
        <w:tc>
          <w:tcPr>
            <w:tcW w:w="148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Unrealized</w:t>
            </w:r>
          </w:p>
        </w:tc>
      </w:tr>
      <w:tr>
        <w:trPr>
          <w:trHeight w:val="259"/>
        </w:trPr>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Cost</w:t>
            </w:r>
          </w:p>
        </w:tc>
        <w:tc>
          <w:tcPr>
            <w:tcW w:w="100" w:type="dxa"/>
            <w:vAlign w:val="bottom"/>
          </w:tcPr>
          <w:p>
            <w:pPr>
              <w:spacing w:after="0"/>
              <w:rPr>
                <w:sz w:val="22"/>
                <w:szCs w:val="22"/>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Gains</w:t>
            </w:r>
          </w:p>
        </w:tc>
        <w:tc>
          <w:tcPr>
            <w:tcW w:w="100" w:type="dxa"/>
            <w:vAlign w:val="bottom"/>
          </w:tcPr>
          <w:p>
            <w:pPr>
              <w:spacing w:after="0"/>
              <w:rPr>
                <w:sz w:val="22"/>
                <w:szCs w:val="22"/>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Months</w:t>
            </w:r>
          </w:p>
        </w:tc>
        <w:tc>
          <w:tcPr>
            <w:tcW w:w="100" w:type="dxa"/>
            <w:vAlign w:val="bottom"/>
          </w:tcPr>
          <w:p>
            <w:pPr>
              <w:spacing w:after="0"/>
              <w:rPr>
                <w:sz w:val="22"/>
                <w:szCs w:val="22"/>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Months</w:t>
            </w:r>
          </w:p>
        </w:tc>
        <w:tc>
          <w:tcPr>
            <w:tcW w:w="100" w:type="dxa"/>
            <w:vAlign w:val="bottom"/>
          </w:tcPr>
          <w:p>
            <w:pPr>
              <w:spacing w:after="0"/>
              <w:rPr>
                <w:sz w:val="22"/>
                <w:szCs w:val="22"/>
                <w:color w:val="auto"/>
              </w:rPr>
            </w:pP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80" w:type="dxa"/>
            <w:vAlign w:val="bottom"/>
          </w:tcPr>
          <w:p>
            <w:pPr>
              <w:spacing w:after="0"/>
              <w:rPr>
                <w:sz w:val="22"/>
                <w:szCs w:val="22"/>
                <w:color w:val="auto"/>
              </w:rPr>
            </w:pP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Losses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-1391285</wp:posOffset>
            </wp:positionH>
            <wp:positionV relativeFrom="paragraph">
              <wp:posOffset>291465</wp:posOffset>
            </wp:positionV>
            <wp:extent cx="7132320" cy="55753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557530"/>
                    </a:xfrm>
                    <a:prstGeom prst="rect">
                      <a:avLst/>
                    </a:prstGeom>
                    <a:noFill/>
                  </pic:spPr>
                </pic:pic>
              </a:graphicData>
            </a:graphic>
          </wp:anchor>
        </w:drawing>
      </w:r>
    </w:p>
    <w:p>
      <w:pPr>
        <w:spacing w:after="0" w:line="1107" w:lineRule="exact"/>
        <w:rPr>
          <w:sz w:val="20"/>
          <w:szCs w:val="20"/>
          <w:color w:val="auto"/>
        </w:rPr>
      </w:pPr>
    </w:p>
    <w:p>
      <w:pPr>
        <w:sectPr>
          <w:pgSz w:w="11900" w:h="16838" w:orient="portrait"/>
          <w:cols w:equalWidth="0" w:num="2">
            <w:col w:w="2060" w:space="140"/>
            <w:col w:w="9040"/>
          </w:cols>
          <w:pgMar w:left="320" w:top="119" w:right="339" w:bottom="1440" w:gutter="0" w:footer="0" w:header="0"/>
          <w:type w:val="continuous"/>
        </w:sectPr>
      </w:pPr>
    </w:p>
    <w:tbl>
      <w:tblPr>
        <w:tblLayout w:type="fixed"/>
        <w:tblInd w:w="0" w:type="dxa"/>
        <w:tblCellMar>
          <w:top w:w="0" w:type="dxa"/>
          <w:left w:w="0" w:type="dxa"/>
          <w:bottom w:w="0" w:type="dxa"/>
          <w:right w:w="0" w:type="dxa"/>
        </w:tblCellMar>
      </w:tblPr>
      <w:tr>
        <w:trPr>
          <w:trHeight w:val="234"/>
        </w:trPr>
        <w:tc>
          <w:tcPr>
            <w:tcW w:w="2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and agencies (1)</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2"/>
        </w:trPr>
        <w:tc>
          <w:tcPr>
            <w:tcW w:w="2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2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Political subdivisions of</w:t>
            </w: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200" w:type="dxa"/>
            <w:vAlign w:val="bottom"/>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States, Territories and</w:t>
            </w:r>
          </w:p>
        </w:tc>
        <w:tc>
          <w:tcPr>
            <w:tcW w:w="3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1"/>
        </w:trPr>
        <w:tc>
          <w:tcPr>
            <w:tcW w:w="2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Possessions (1)</w:t>
            </w:r>
          </w:p>
        </w:tc>
        <w:tc>
          <w:tcPr>
            <w:tcW w:w="30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24,271,177</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(73,589)</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(3,324,491)</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20,873,097</w:t>
            </w:r>
          </w:p>
        </w:tc>
        <w:tc>
          <w:tcPr>
            <w:tcW w:w="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(3,398,080)</w:t>
            </w:r>
          </w:p>
        </w:tc>
        <w:tc>
          <w:tcPr>
            <w:tcW w:w="0" w:type="dxa"/>
            <w:vAlign w:val="bottom"/>
          </w:tcPr>
          <w:p>
            <w:pPr>
              <w:spacing w:after="0"/>
              <w:rPr>
                <w:sz w:val="1"/>
                <w:szCs w:val="1"/>
                <w:color w:val="auto"/>
              </w:rPr>
            </w:pPr>
          </w:p>
        </w:tc>
      </w:tr>
      <w:tr>
        <w:trPr>
          <w:trHeight w:val="257"/>
        </w:trPr>
        <w:tc>
          <w:tcPr>
            <w:tcW w:w="22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1"/>
        </w:trPr>
        <w:tc>
          <w:tcPr>
            <w:tcW w:w="2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and other bonds</w:t>
            </w: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200" w:type="dxa"/>
            <w:vAlign w:val="bottom"/>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industrial and miscellaneous</w:t>
            </w:r>
          </w:p>
        </w:tc>
        <w:tc>
          <w:tcPr>
            <w:tcW w:w="3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1"/>
        </w:trPr>
        <w:tc>
          <w:tcPr>
            <w:tcW w:w="2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w:t>
            </w:r>
          </w:p>
        </w:tc>
        <w:tc>
          <w:tcPr>
            <w:tcW w:w="30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112,507,436</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(1,024,461)</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(4,690,597)</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106,792,378</w:t>
            </w:r>
          </w:p>
        </w:tc>
        <w:tc>
          <w:tcPr>
            <w:tcW w:w="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(5,715,058)</w:t>
            </w:r>
          </w:p>
        </w:tc>
        <w:tc>
          <w:tcPr>
            <w:tcW w:w="0" w:type="dxa"/>
            <w:vAlign w:val="bottom"/>
          </w:tcPr>
          <w:p>
            <w:pPr>
              <w:spacing w:after="0"/>
              <w:rPr>
                <w:sz w:val="1"/>
                <w:szCs w:val="1"/>
                <w:color w:val="auto"/>
              </w:rPr>
            </w:pPr>
          </w:p>
        </w:tc>
      </w:tr>
      <w:tr>
        <w:trPr>
          <w:trHeight w:val="257"/>
        </w:trPr>
        <w:tc>
          <w:tcPr>
            <w:tcW w:w="22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1"/>
        </w:trPr>
        <w:tc>
          <w:tcPr>
            <w:tcW w:w="2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Residential mortgage and</w:t>
            </w: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200" w:type="dxa"/>
            <w:vAlign w:val="bottom"/>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other asset backed securities</w:t>
            </w:r>
          </w:p>
        </w:tc>
        <w:tc>
          <w:tcPr>
            <w:tcW w:w="3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1"/>
        </w:trPr>
        <w:tc>
          <w:tcPr>
            <w:tcW w:w="2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 (2)</w:t>
            </w:r>
          </w:p>
        </w:tc>
        <w:tc>
          <w:tcPr>
            <w:tcW w:w="30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65,529,545</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119,647</w:t>
            </w:r>
          </w:p>
        </w:tc>
        <w:tc>
          <w:tcPr>
            <w:tcW w:w="10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(209,890)</w:t>
            </w:r>
          </w:p>
        </w:tc>
        <w:tc>
          <w:tcPr>
            <w:tcW w:w="10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(6,211,339)</w:t>
            </w:r>
          </w:p>
        </w:tc>
        <w:tc>
          <w:tcPr>
            <w:tcW w:w="10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59,227,963</w:t>
            </w:r>
          </w:p>
        </w:tc>
        <w:tc>
          <w:tcPr>
            <w:tcW w:w="8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(6,301,582)</w:t>
            </w:r>
          </w:p>
        </w:tc>
        <w:tc>
          <w:tcPr>
            <w:tcW w:w="0" w:type="dxa"/>
            <w:vAlign w:val="bottom"/>
          </w:tcPr>
          <w:p>
            <w:pPr>
              <w:spacing w:after="0"/>
              <w:rPr>
                <w:sz w:val="1"/>
                <w:szCs w:val="1"/>
                <w:color w:val="auto"/>
              </w:rPr>
            </w:pPr>
          </w:p>
        </w:tc>
      </w:tr>
      <w:tr>
        <w:trPr>
          <w:trHeight w:val="191"/>
        </w:trPr>
        <w:tc>
          <w:tcPr>
            <w:tcW w:w="2200" w:type="dxa"/>
            <w:vAlign w:val="bottom"/>
          </w:tcPr>
          <w:p>
            <w:pPr>
              <w:ind w:left="20"/>
              <w:spacing w:after="0" w:line="191" w:lineRule="exact"/>
              <w:rPr>
                <w:sz w:val="20"/>
                <w:szCs w:val="20"/>
                <w:color w:val="auto"/>
              </w:rPr>
            </w:pPr>
            <w:r>
              <w:rPr>
                <w:rFonts w:ascii="Times New Roman" w:cs="Times New Roman" w:eastAsia="Times New Roman" w:hAnsi="Times New Roman"/>
                <w:sz w:val="18"/>
                <w:szCs w:val="18"/>
                <w:color w:val="auto"/>
              </w:rPr>
              <w:t>Total fixed-maturity</w:t>
            </w:r>
          </w:p>
        </w:tc>
        <w:tc>
          <w:tcPr>
            <w:tcW w:w="30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202,308,158</w:t>
            </w:r>
          </w:p>
        </w:tc>
        <w:tc>
          <w:tcPr>
            <w:tcW w:w="100" w:type="dxa"/>
            <w:vAlign w:val="bottom"/>
          </w:tcPr>
          <w:p>
            <w:pPr>
              <w:spacing w:after="0"/>
              <w:rPr>
                <w:sz w:val="16"/>
                <w:szCs w:val="16"/>
                <w:color w:val="auto"/>
              </w:rPr>
            </w:pPr>
          </w:p>
        </w:tc>
        <w:tc>
          <w:tcPr>
            <w:tcW w:w="340" w:type="dxa"/>
            <w:vAlign w:val="bottom"/>
            <w:vMerge w:val="restart"/>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119,647</w:t>
            </w:r>
          </w:p>
        </w:tc>
        <w:tc>
          <w:tcPr>
            <w:tcW w:w="100" w:type="dxa"/>
            <w:vAlign w:val="bottom"/>
          </w:tcPr>
          <w:p>
            <w:pPr>
              <w:spacing w:after="0"/>
              <w:rPr>
                <w:sz w:val="16"/>
                <w:szCs w:val="16"/>
                <w:color w:val="auto"/>
              </w:rPr>
            </w:pPr>
          </w:p>
        </w:tc>
        <w:tc>
          <w:tcPr>
            <w:tcW w:w="360" w:type="dxa"/>
            <w:vAlign w:val="bottom"/>
            <w:vMerge w:val="restart"/>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(1,307,940)</w:t>
            </w:r>
          </w:p>
        </w:tc>
        <w:tc>
          <w:tcPr>
            <w:tcW w:w="100" w:type="dxa"/>
            <w:vAlign w:val="bottom"/>
          </w:tcPr>
          <w:p>
            <w:pPr>
              <w:spacing w:after="0"/>
              <w:rPr>
                <w:sz w:val="16"/>
                <w:szCs w:val="16"/>
                <w:color w:val="auto"/>
              </w:rPr>
            </w:pPr>
          </w:p>
        </w:tc>
        <w:tc>
          <w:tcPr>
            <w:tcW w:w="30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(14,226,427)</w:t>
            </w:r>
          </w:p>
        </w:tc>
        <w:tc>
          <w:tcPr>
            <w:tcW w:w="100" w:type="dxa"/>
            <w:vAlign w:val="bottom"/>
          </w:tcPr>
          <w:p>
            <w:pPr>
              <w:spacing w:after="0"/>
              <w:rPr>
                <w:sz w:val="16"/>
                <w:szCs w:val="16"/>
                <w:color w:val="auto"/>
              </w:rPr>
            </w:pPr>
          </w:p>
        </w:tc>
        <w:tc>
          <w:tcPr>
            <w:tcW w:w="30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186,893,438</w:t>
            </w:r>
          </w:p>
        </w:tc>
        <w:tc>
          <w:tcPr>
            <w:tcW w:w="80" w:type="dxa"/>
            <w:vAlign w:val="bottom"/>
          </w:tcPr>
          <w:p>
            <w:pPr>
              <w:spacing w:after="0"/>
              <w:rPr>
                <w:sz w:val="16"/>
                <w:szCs w:val="16"/>
                <w:color w:val="auto"/>
              </w:rPr>
            </w:pPr>
          </w:p>
        </w:tc>
        <w:tc>
          <w:tcPr>
            <w:tcW w:w="32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(15,414,720)</w:t>
            </w:r>
          </w:p>
        </w:tc>
        <w:tc>
          <w:tcPr>
            <w:tcW w:w="0" w:type="dxa"/>
            <w:vAlign w:val="bottom"/>
          </w:tcPr>
          <w:p>
            <w:pPr>
              <w:spacing w:after="0"/>
              <w:rPr>
                <w:sz w:val="1"/>
                <w:szCs w:val="1"/>
                <w:color w:val="auto"/>
              </w:rPr>
            </w:pPr>
          </w:p>
        </w:tc>
      </w:tr>
      <w:tr>
        <w:trPr>
          <w:trHeight w:val="226"/>
        </w:trPr>
        <w:tc>
          <w:tcPr>
            <w:tcW w:w="2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securities</w:t>
            </w:r>
          </w:p>
        </w:tc>
        <w:tc>
          <w:tcPr>
            <w:tcW w:w="300" w:type="dxa"/>
            <w:vAlign w:val="bottom"/>
            <w:tcBorders>
              <w:bottom w:val="single" w:sz="8" w:color="auto"/>
            </w:tcBorders>
            <w:vMerge w:val="continue"/>
          </w:tcPr>
          <w:p>
            <w:pPr>
              <w:spacing w:after="0"/>
              <w:rPr>
                <w:sz w:val="19"/>
                <w:szCs w:val="19"/>
                <w:color w:val="auto"/>
              </w:rPr>
            </w:pPr>
          </w:p>
        </w:tc>
        <w:tc>
          <w:tcPr>
            <w:tcW w:w="116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bottom w:val="single" w:sz="8" w:color="auto"/>
            </w:tcBorders>
            <w:vMerge w:val="continue"/>
          </w:tcPr>
          <w:p>
            <w:pPr>
              <w:spacing w:after="0"/>
              <w:rPr>
                <w:sz w:val="19"/>
                <w:szCs w:val="19"/>
                <w:color w:val="auto"/>
              </w:rPr>
            </w:pPr>
          </w:p>
        </w:tc>
        <w:tc>
          <w:tcPr>
            <w:tcW w:w="88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bottom w:val="single" w:sz="8" w:color="auto"/>
            </w:tcBorders>
            <w:vMerge w:val="continue"/>
          </w:tcPr>
          <w:p>
            <w:pPr>
              <w:spacing w:after="0"/>
              <w:rPr>
                <w:sz w:val="19"/>
                <w:szCs w:val="19"/>
                <w:color w:val="auto"/>
              </w:rPr>
            </w:pPr>
          </w:p>
        </w:tc>
        <w:tc>
          <w:tcPr>
            <w:tcW w:w="110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bottom w:val="single" w:sz="8" w:color="auto"/>
            </w:tcBorders>
            <w:vMerge w:val="continue"/>
          </w:tcPr>
          <w:p>
            <w:pPr>
              <w:spacing w:after="0"/>
              <w:rPr>
                <w:sz w:val="19"/>
                <w:szCs w:val="19"/>
                <w:color w:val="auto"/>
              </w:rPr>
            </w:pPr>
          </w:p>
        </w:tc>
        <w:tc>
          <w:tcPr>
            <w:tcW w:w="116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bottom w:val="single" w:sz="8" w:color="auto"/>
            </w:tcBorders>
            <w:vMerge w:val="continue"/>
          </w:tcPr>
          <w:p>
            <w:pPr>
              <w:spacing w:after="0"/>
              <w:rPr>
                <w:sz w:val="19"/>
                <w:szCs w:val="19"/>
                <w:color w:val="auto"/>
              </w:rPr>
            </w:pPr>
          </w:p>
        </w:tc>
        <w:tc>
          <w:tcPr>
            <w:tcW w:w="1180" w:type="dxa"/>
            <w:vAlign w:val="bottom"/>
            <w:tcBorders>
              <w:bottom w:val="single" w:sz="8" w:color="auto"/>
            </w:tcBorders>
            <w:vMerge w:val="continue"/>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Borders>
              <w:bottom w:val="single" w:sz="8" w:color="auto"/>
            </w:tcBorders>
            <w:vMerge w:val="continue"/>
          </w:tcPr>
          <w:p>
            <w:pPr>
              <w:spacing w:after="0"/>
              <w:rPr>
                <w:sz w:val="19"/>
                <w:szCs w:val="19"/>
                <w:color w:val="auto"/>
              </w:rPr>
            </w:pPr>
          </w:p>
        </w:tc>
        <w:tc>
          <w:tcPr>
            <w:tcW w:w="11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p>
      <w:pPr>
        <w:jc w:val="both"/>
        <w:ind w:left="2040" w:hanging="1083"/>
        <w:spacing w:after="0" w:line="253" w:lineRule="auto"/>
        <w:tabs>
          <w:tab w:leader="none" w:pos="2038"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October 2022, KICO placed certain U.S. Treasury securities to fulfill the required collateral for a sale-leaseback transaction in a designated custodian account (see Note 7 – Debt - “Equipment Financing”). As of December 31, 2024 KICO had sold its U.S. Treasury securities and replaced a portion of its other fixed-maturity securities in the designated custodian account. As of March 31, 2025 and December 31, 2024, the amount of required collateral was approximately $4,885,000 and $5,308,000, respectively. As of March 31, 2025 and December 31, 2024, the estimated fair value of the eligible collateral was approximately $4,885,000 and $5,308,000, respectively.</w:t>
      </w:r>
    </w:p>
    <w:p>
      <w:pPr>
        <w:spacing w:after="0" w:line="5" w:lineRule="exact"/>
        <w:rPr>
          <w:rFonts w:ascii="Times New Roman" w:cs="Times New Roman" w:eastAsia="Times New Roman" w:hAnsi="Times New Roman"/>
          <w:sz w:val="18"/>
          <w:szCs w:val="18"/>
          <w:color w:val="auto"/>
        </w:rPr>
      </w:pPr>
    </w:p>
    <w:p>
      <w:pPr>
        <w:jc w:val="both"/>
        <w:ind w:left="2040" w:hanging="1083"/>
        <w:spacing w:after="0" w:line="252" w:lineRule="auto"/>
        <w:tabs>
          <w:tab w:leader="none" w:pos="2038"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KICO has placed certain residential mortgage backed securities as eligible collateral in a designated custodian account related to its membership in the Federal Home Loan Bank of New York (“FHLBNY”) (see Note 7 – Debt – “Federal Home Loan Bank”). The eligible collateral would be pledged to FHLBNY if KICO draws an advance from the FHLBNY credit line. As of March 31, 2025 and December 31, 2024, the estimated fair value of the eligible investments was approximately $10,102,000 and $10,130,000, respectively. KICO will retain all rights regarding all securities if pledged as collateral. As of March 31, 2025 and December 31, 2024, there was no outstanding balance on the FHLBNY credit line.</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 summary of the amortized cost and estimated fair value of the Company’s investments in available-for-sale fixed-maturity securities by contractual maturity as of March 31, 2025 and December 31, 2024 is shown below:</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960" w:type="dxa"/>
            <w:vAlign w:val="bottom"/>
            <w:gridSpan w:val="5"/>
          </w:tcPr>
          <w:p>
            <w:pPr>
              <w:ind w:left="740"/>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200" w:type="dxa"/>
            <w:vAlign w:val="bottom"/>
          </w:tcPr>
          <w:p>
            <w:pPr>
              <w:spacing w:after="0"/>
              <w:rPr>
                <w:sz w:val="21"/>
                <w:szCs w:val="21"/>
                <w:color w:val="auto"/>
              </w:rPr>
            </w:pPr>
          </w:p>
        </w:tc>
        <w:tc>
          <w:tcPr>
            <w:tcW w:w="2860" w:type="dxa"/>
            <w:vAlign w:val="bottom"/>
            <w:gridSpan w:val="4"/>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December 31, 2024</w:t>
            </w:r>
          </w:p>
        </w:tc>
      </w:tr>
      <w:tr>
        <w:trPr>
          <w:trHeight w:val="207"/>
        </w:trPr>
        <w:tc>
          <w:tcPr>
            <w:tcW w:w="4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Cost or</w:t>
            </w:r>
          </w:p>
        </w:tc>
        <w:tc>
          <w:tcPr>
            <w:tcW w:w="2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Cost or</w:t>
            </w:r>
          </w:p>
        </w:tc>
        <w:tc>
          <w:tcPr>
            <w:tcW w:w="2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r>
      <w:tr>
        <w:trPr>
          <w:trHeight w:val="203"/>
        </w:trPr>
        <w:tc>
          <w:tcPr>
            <w:tcW w:w="4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gridSpan w:val="2"/>
          </w:tcPr>
          <w:p>
            <w:pPr>
              <w:jc w:val="center"/>
              <w:ind w:right="360"/>
              <w:spacing w:after="0" w:line="202" w:lineRule="exact"/>
              <w:rPr>
                <w:sz w:val="20"/>
                <w:szCs w:val="20"/>
                <w:color w:val="auto"/>
              </w:rPr>
            </w:pPr>
            <w:r>
              <w:rPr>
                <w:rFonts w:ascii="Times New Roman" w:cs="Times New Roman" w:eastAsia="Times New Roman" w:hAnsi="Times New Roman"/>
                <w:sz w:val="18"/>
                <w:szCs w:val="18"/>
                <w:b w:val="1"/>
                <w:bCs w:val="1"/>
                <w:color w:val="auto"/>
                <w:w w:val="99"/>
              </w:rPr>
              <w:t>Amortized</w:t>
            </w:r>
          </w:p>
        </w:tc>
        <w:tc>
          <w:tcPr>
            <w:tcW w:w="220" w:type="dxa"/>
            <w:vAlign w:val="bottom"/>
          </w:tcPr>
          <w:p>
            <w:pPr>
              <w:spacing w:after="0"/>
              <w:rPr>
                <w:sz w:val="17"/>
                <w:szCs w:val="17"/>
                <w:color w:val="auto"/>
              </w:rPr>
            </w:pPr>
          </w:p>
        </w:tc>
        <w:tc>
          <w:tcPr>
            <w:tcW w:w="1360" w:type="dxa"/>
            <w:vAlign w:val="bottom"/>
            <w:gridSpan w:val="2"/>
          </w:tcPr>
          <w:p>
            <w:pPr>
              <w:ind w:left="120"/>
              <w:spacing w:after="0" w:line="202" w:lineRule="exact"/>
              <w:rPr>
                <w:sz w:val="20"/>
                <w:szCs w:val="20"/>
                <w:color w:val="auto"/>
              </w:rPr>
            </w:pPr>
            <w:r>
              <w:rPr>
                <w:rFonts w:ascii="Times New Roman" w:cs="Times New Roman" w:eastAsia="Times New Roman" w:hAnsi="Times New Roman"/>
                <w:sz w:val="18"/>
                <w:szCs w:val="18"/>
                <w:b w:val="1"/>
                <w:bCs w:val="1"/>
                <w:color w:val="auto"/>
              </w:rPr>
              <w:t>Estimated</w:t>
            </w:r>
          </w:p>
        </w:tc>
        <w:tc>
          <w:tcPr>
            <w:tcW w:w="200" w:type="dxa"/>
            <w:vAlign w:val="bottom"/>
          </w:tcPr>
          <w:p>
            <w:pPr>
              <w:spacing w:after="0"/>
              <w:rPr>
                <w:sz w:val="17"/>
                <w:szCs w:val="17"/>
                <w:color w:val="auto"/>
              </w:rPr>
            </w:pPr>
          </w:p>
        </w:tc>
        <w:tc>
          <w:tcPr>
            <w:tcW w:w="1380" w:type="dxa"/>
            <w:vAlign w:val="bottom"/>
            <w:gridSpan w:val="2"/>
          </w:tcPr>
          <w:p>
            <w:pPr>
              <w:jc w:val="center"/>
              <w:ind w:right="360"/>
              <w:spacing w:after="0" w:line="202" w:lineRule="exact"/>
              <w:rPr>
                <w:sz w:val="20"/>
                <w:szCs w:val="20"/>
                <w:color w:val="auto"/>
              </w:rPr>
            </w:pPr>
            <w:r>
              <w:rPr>
                <w:rFonts w:ascii="Times New Roman" w:cs="Times New Roman" w:eastAsia="Times New Roman" w:hAnsi="Times New Roman"/>
                <w:sz w:val="18"/>
                <w:szCs w:val="18"/>
                <w:b w:val="1"/>
                <w:bCs w:val="1"/>
                <w:color w:val="auto"/>
                <w:w w:val="99"/>
              </w:rPr>
              <w:t>Amortized</w:t>
            </w:r>
          </w:p>
        </w:tc>
        <w:tc>
          <w:tcPr>
            <w:tcW w:w="220" w:type="dxa"/>
            <w:vAlign w:val="bottom"/>
          </w:tcPr>
          <w:p>
            <w:pPr>
              <w:spacing w:after="0"/>
              <w:rPr>
                <w:sz w:val="17"/>
                <w:szCs w:val="17"/>
                <w:color w:val="auto"/>
              </w:rPr>
            </w:pPr>
          </w:p>
        </w:tc>
        <w:tc>
          <w:tcPr>
            <w:tcW w:w="1260" w:type="dxa"/>
            <w:vAlign w:val="bottom"/>
          </w:tcPr>
          <w:p>
            <w:pPr>
              <w:jc w:val="right"/>
              <w:ind w:right="270"/>
              <w:spacing w:after="0" w:line="202" w:lineRule="exact"/>
              <w:rPr>
                <w:sz w:val="20"/>
                <w:szCs w:val="20"/>
                <w:color w:val="auto"/>
              </w:rPr>
            </w:pPr>
            <w:r>
              <w:rPr>
                <w:rFonts w:ascii="Times New Roman" w:cs="Times New Roman" w:eastAsia="Times New Roman" w:hAnsi="Times New Roman"/>
                <w:sz w:val="18"/>
                <w:szCs w:val="18"/>
                <w:b w:val="1"/>
                <w:bCs w:val="1"/>
                <w:color w:val="auto"/>
              </w:rPr>
              <w:t>Estimated</w:t>
            </w:r>
          </w:p>
        </w:tc>
      </w:tr>
      <w:tr>
        <w:trPr>
          <w:trHeight w:val="259"/>
        </w:trPr>
        <w:tc>
          <w:tcPr>
            <w:tcW w:w="50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Remaining Time to Maturity</w:t>
            </w:r>
          </w:p>
        </w:tc>
        <w:tc>
          <w:tcPr>
            <w:tcW w:w="200" w:type="dxa"/>
            <w:vAlign w:val="bottom"/>
          </w:tcPr>
          <w:p>
            <w:pPr>
              <w:spacing w:after="0"/>
              <w:rPr>
                <w:sz w:val="22"/>
                <w:szCs w:val="22"/>
                <w:color w:val="auto"/>
              </w:rPr>
            </w:pPr>
          </w:p>
        </w:tc>
        <w:tc>
          <w:tcPr>
            <w:tcW w:w="13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Cost</w:t>
            </w:r>
          </w:p>
        </w:tc>
        <w:tc>
          <w:tcPr>
            <w:tcW w:w="220" w:type="dxa"/>
            <w:vAlign w:val="bottom"/>
          </w:tcPr>
          <w:p>
            <w:pPr>
              <w:spacing w:after="0"/>
              <w:rPr>
                <w:sz w:val="22"/>
                <w:szCs w:val="22"/>
                <w:color w:val="auto"/>
              </w:rPr>
            </w:pPr>
          </w:p>
        </w:tc>
        <w:tc>
          <w:tcPr>
            <w:tcW w:w="136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200" w:type="dxa"/>
            <w:vAlign w:val="bottom"/>
          </w:tcPr>
          <w:p>
            <w:pPr>
              <w:spacing w:after="0"/>
              <w:rPr>
                <w:sz w:val="22"/>
                <w:szCs w:val="22"/>
                <w:color w:val="auto"/>
              </w:rPr>
            </w:pPr>
          </w:p>
        </w:tc>
        <w:tc>
          <w:tcPr>
            <w:tcW w:w="13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Cost</w:t>
            </w:r>
          </w:p>
        </w:tc>
        <w:tc>
          <w:tcPr>
            <w:tcW w:w="220" w:type="dxa"/>
            <w:vAlign w:val="bottom"/>
          </w:tcPr>
          <w:p>
            <w:pPr>
              <w:spacing w:after="0"/>
              <w:rPr>
                <w:sz w:val="22"/>
                <w:szCs w:val="22"/>
                <w:color w:val="auto"/>
              </w:rPr>
            </w:pPr>
          </w:p>
        </w:tc>
        <w:tc>
          <w:tcPr>
            <w:tcW w:w="126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Fair Value</w:t>
            </w:r>
          </w:p>
        </w:tc>
      </w:tr>
      <w:tr>
        <w:trPr>
          <w:trHeight w:val="256"/>
        </w:trPr>
        <w:tc>
          <w:tcPr>
            <w:tcW w:w="49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12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12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12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1260" w:type="dxa"/>
            <w:vAlign w:val="bottom"/>
            <w:tcBorders>
              <w:top w:val="single" w:sz="8" w:color="auto"/>
            </w:tcBorders>
          </w:tcPr>
          <w:p>
            <w:pPr>
              <w:spacing w:after="0"/>
              <w:rPr>
                <w:sz w:val="22"/>
                <w:szCs w:val="22"/>
                <w:color w:val="auto"/>
              </w:rPr>
            </w:pPr>
          </w:p>
        </w:tc>
      </w:tr>
      <w:tr>
        <w:trPr>
          <w:trHeight w:val="257"/>
        </w:trPr>
        <w:tc>
          <w:tcPr>
            <w:tcW w:w="5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than one year</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14,233,483</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14,152,704</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9,522,262</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9,484,834</w:t>
            </w:r>
          </w:p>
        </w:tc>
      </w:tr>
      <w:tr>
        <w:trPr>
          <w:trHeight w:val="250"/>
        </w:trPr>
        <w:tc>
          <w:tcPr>
            <w:tcW w:w="5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One to five years</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71,166,281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69,636,281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68,052,387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66,141,372</w:t>
            </w:r>
          </w:p>
        </w:tc>
      </w:tr>
      <w:tr>
        <w:trPr>
          <w:trHeight w:val="263"/>
        </w:trPr>
        <w:tc>
          <w:tcPr>
            <w:tcW w:w="5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Five to ten years</w:t>
            </w: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34,473,244</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31,412,159</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38,159,446</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34,068,922</w:t>
            </w:r>
          </w:p>
        </w:tc>
      </w:tr>
      <w:tr>
        <w:trPr>
          <w:trHeight w:val="250"/>
        </w:trPr>
        <w:tc>
          <w:tcPr>
            <w:tcW w:w="5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More than 10 years</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18,988,950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16,311,619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21,044,518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17,970,347</w:t>
            </w:r>
          </w:p>
        </w:tc>
      </w:tr>
      <w:tr>
        <w:trPr>
          <w:trHeight w:val="263"/>
        </w:trPr>
        <w:tc>
          <w:tcPr>
            <w:tcW w:w="5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Residential mortgage and other asset backed securities</w:t>
            </w:r>
          </w:p>
        </w:tc>
        <w:tc>
          <w:tcPr>
            <w:tcW w:w="20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78,020,973</w:t>
            </w:r>
          </w:p>
        </w:tc>
        <w:tc>
          <w:tcPr>
            <w:tcW w:w="10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72,769,606</w:t>
            </w:r>
          </w:p>
        </w:tc>
        <w:tc>
          <w:tcPr>
            <w:tcW w:w="10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65,529,545</w:t>
            </w:r>
          </w:p>
        </w:tc>
        <w:tc>
          <w:tcPr>
            <w:tcW w:w="10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59,227,963</w:t>
            </w:r>
          </w:p>
        </w:tc>
      </w:tr>
      <w:tr>
        <w:trPr>
          <w:trHeight w:val="243"/>
        </w:trPr>
        <w:tc>
          <w:tcPr>
            <w:tcW w:w="5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216,882,931</w:t>
            </w:r>
          </w:p>
        </w:tc>
        <w:tc>
          <w:tcPr>
            <w:tcW w:w="100" w:type="dxa"/>
            <w:vAlign w:val="bottom"/>
          </w:tcPr>
          <w:p>
            <w:pPr>
              <w:spacing w:after="0"/>
              <w:rPr>
                <w:sz w:val="21"/>
                <w:szCs w:val="21"/>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204,282,369</w:t>
            </w:r>
          </w:p>
        </w:tc>
        <w:tc>
          <w:tcPr>
            <w:tcW w:w="100" w:type="dxa"/>
            <w:vAlign w:val="bottom"/>
          </w:tcPr>
          <w:p>
            <w:pPr>
              <w:spacing w:after="0"/>
              <w:rPr>
                <w:sz w:val="21"/>
                <w:szCs w:val="21"/>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202,308,158</w:t>
            </w:r>
          </w:p>
        </w:tc>
        <w:tc>
          <w:tcPr>
            <w:tcW w:w="100" w:type="dxa"/>
            <w:vAlign w:val="bottom"/>
          </w:tcPr>
          <w:p>
            <w:pPr>
              <w:spacing w:after="0"/>
              <w:rPr>
                <w:sz w:val="21"/>
                <w:szCs w:val="21"/>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186,893,438</w:t>
            </w:r>
          </w:p>
        </w:tc>
      </w:tr>
      <w:tr>
        <w:trPr>
          <w:trHeight w:val="27"/>
        </w:trPr>
        <w:tc>
          <w:tcPr>
            <w:tcW w:w="4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actual maturities may differ from contractual maturities because certain borrowers have the right to call or prepay obligations with or without penalties.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was no allowance for credit losses on fixed-maturity securities as of March 31, 2025 and December 31, 2024, respectively.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Equity Securities</w:t>
      </w:r>
    </w:p>
    <w:p>
      <w:pPr>
        <w:spacing w:after="0" w:line="22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cost and estimated fair value of, and gross unrealized gains and losses on, investments in equity securities as of March 31, 2025 and December 31, 2024 are as follows: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3160" w:type="dxa"/>
            <w:vAlign w:val="bottom"/>
            <w:tcBorders>
              <w:bottom w:val="single" w:sz="8" w:color="auto"/>
            </w:tcBorders>
            <w:gridSpan w:val="6"/>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March 31, 2025</w:t>
            </w: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spacing w:after="0"/>
              <w:rPr>
                <w:sz w:val="21"/>
                <w:szCs w:val="21"/>
                <w:color w:val="auto"/>
              </w:rPr>
            </w:pPr>
          </w:p>
        </w:tc>
      </w:tr>
      <w:tr>
        <w:trPr>
          <w:trHeight w:val="207"/>
        </w:trPr>
        <w:tc>
          <w:tcPr>
            <w:tcW w:w="4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w w:val="97"/>
              </w:rPr>
              <w:t>Gross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7"/>
              </w:rPr>
              <w:t>Gross</w:t>
            </w: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03"/>
        </w:trPr>
        <w:tc>
          <w:tcPr>
            <w:tcW w:w="4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jc w:val="center"/>
              <w:ind w:left="130"/>
              <w:spacing w:after="0" w:line="202" w:lineRule="exact"/>
              <w:rPr>
                <w:sz w:val="20"/>
                <w:szCs w:val="20"/>
                <w:color w:val="auto"/>
              </w:rPr>
            </w:pPr>
            <w:r>
              <w:rPr>
                <w:rFonts w:ascii="Times New Roman" w:cs="Times New Roman" w:eastAsia="Times New Roman" w:hAnsi="Times New Roman"/>
                <w:sz w:val="18"/>
                <w:szCs w:val="18"/>
                <w:b w:val="1"/>
                <w:bCs w:val="1"/>
                <w:color w:val="auto"/>
                <w:w w:val="99"/>
              </w:rPr>
              <w:t>Unrealized</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gridSpan w:val="2"/>
          </w:tcPr>
          <w:p>
            <w:pPr>
              <w:jc w:val="center"/>
              <w:ind w:right="320"/>
              <w:spacing w:after="0" w:line="202" w:lineRule="exact"/>
              <w:rPr>
                <w:sz w:val="20"/>
                <w:szCs w:val="20"/>
                <w:color w:val="auto"/>
              </w:rPr>
            </w:pPr>
            <w:r>
              <w:rPr>
                <w:rFonts w:ascii="Times New Roman" w:cs="Times New Roman" w:eastAsia="Times New Roman" w:hAnsi="Times New Roman"/>
                <w:sz w:val="18"/>
                <w:szCs w:val="18"/>
                <w:b w:val="1"/>
                <w:bCs w:val="1"/>
                <w:color w:val="auto"/>
                <w:w w:val="99"/>
              </w:rPr>
              <w:t>Unrealized</w:t>
            </w:r>
          </w:p>
        </w:tc>
        <w:tc>
          <w:tcPr>
            <w:tcW w:w="220" w:type="dxa"/>
            <w:vAlign w:val="bottom"/>
          </w:tcPr>
          <w:p>
            <w:pPr>
              <w:spacing w:after="0"/>
              <w:rPr>
                <w:sz w:val="17"/>
                <w:szCs w:val="17"/>
                <w:color w:val="auto"/>
              </w:rPr>
            </w:pPr>
          </w:p>
        </w:tc>
        <w:tc>
          <w:tcPr>
            <w:tcW w:w="1260" w:type="dxa"/>
            <w:vAlign w:val="bottom"/>
          </w:tcPr>
          <w:p>
            <w:pPr>
              <w:ind w:left="100"/>
              <w:spacing w:after="0" w:line="202" w:lineRule="exact"/>
              <w:rPr>
                <w:sz w:val="20"/>
                <w:szCs w:val="20"/>
                <w:color w:val="auto"/>
              </w:rPr>
            </w:pPr>
            <w:r>
              <w:rPr>
                <w:rFonts w:ascii="Times New Roman" w:cs="Times New Roman" w:eastAsia="Times New Roman" w:hAnsi="Times New Roman"/>
                <w:sz w:val="18"/>
                <w:szCs w:val="18"/>
                <w:b w:val="1"/>
                <w:bCs w:val="1"/>
                <w:color w:val="auto"/>
              </w:rPr>
              <w:t>Estimated</w:t>
            </w:r>
          </w:p>
        </w:tc>
      </w:tr>
      <w:tr>
        <w:trPr>
          <w:trHeight w:val="259"/>
        </w:trPr>
        <w:tc>
          <w:tcPr>
            <w:tcW w:w="4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Category</w:t>
            </w:r>
          </w:p>
        </w:tc>
        <w:tc>
          <w:tcPr>
            <w:tcW w:w="10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Cost</w:t>
            </w:r>
          </w:p>
        </w:tc>
        <w:tc>
          <w:tcPr>
            <w:tcW w:w="100" w:type="dxa"/>
            <w:vAlign w:val="bottom"/>
          </w:tcPr>
          <w:p>
            <w:pPr>
              <w:spacing w:after="0"/>
              <w:rPr>
                <w:sz w:val="22"/>
                <w:szCs w:val="22"/>
                <w:color w:val="auto"/>
              </w:rPr>
            </w:pPr>
          </w:p>
        </w:tc>
        <w:tc>
          <w:tcPr>
            <w:tcW w:w="1260" w:type="dxa"/>
            <w:vAlign w:val="bottom"/>
            <w:tcBorders>
              <w:bottom w:val="single" w:sz="8" w:color="auto"/>
            </w:tcBorders>
          </w:tcPr>
          <w:p>
            <w:pPr>
              <w:jc w:val="center"/>
              <w:ind w:left="130"/>
              <w:spacing w:after="0"/>
              <w:rPr>
                <w:sz w:val="20"/>
                <w:szCs w:val="20"/>
                <w:color w:val="auto"/>
              </w:rPr>
            </w:pPr>
            <w:r>
              <w:rPr>
                <w:rFonts w:ascii="Times New Roman" w:cs="Times New Roman" w:eastAsia="Times New Roman" w:hAnsi="Times New Roman"/>
                <w:sz w:val="18"/>
                <w:szCs w:val="18"/>
                <w:b w:val="1"/>
                <w:bCs w:val="1"/>
                <w:color w:val="auto"/>
                <w:w w:val="97"/>
              </w:rPr>
              <w:t>Gains</w:t>
            </w:r>
          </w:p>
        </w:tc>
        <w:tc>
          <w:tcPr>
            <w:tcW w:w="2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2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Fair Value</w:t>
            </w:r>
          </w:p>
        </w:tc>
      </w:tr>
      <w:tr>
        <w:trPr>
          <w:trHeight w:val="506"/>
        </w:trPr>
        <w:tc>
          <w:tcPr>
            <w:tcW w:w="50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Equity Securities:</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63"/>
        </w:trPr>
        <w:tc>
          <w:tcPr>
            <w:tcW w:w="5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Preferred stocks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9,750,322</w:t>
            </w:r>
          </w:p>
        </w:tc>
        <w:tc>
          <w:tcPr>
            <w:tcW w:w="10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107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(2,668,147)</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7,082,175</w:t>
            </w:r>
          </w:p>
        </w:tc>
      </w:tr>
      <w:tr>
        <w:trPr>
          <w:trHeight w:val="250"/>
        </w:trPr>
        <w:tc>
          <w:tcPr>
            <w:tcW w:w="5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Fixed income exchange traded funds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3,711,232</w:t>
            </w:r>
          </w:p>
        </w:tc>
        <w:tc>
          <w:tcPr>
            <w:tcW w:w="1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(756,232)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2,955,000</w:t>
            </w:r>
          </w:p>
        </w:tc>
      </w:tr>
      <w:tr>
        <w:trPr>
          <w:trHeight w:val="263"/>
        </w:trPr>
        <w:tc>
          <w:tcPr>
            <w:tcW w:w="5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FHLBNY common stock</w:t>
            </w: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66,000</w:t>
            </w:r>
          </w:p>
        </w:tc>
        <w:tc>
          <w:tcPr>
            <w:tcW w:w="100" w:type="dxa"/>
            <w:vAlign w:val="bottom"/>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66,000</w:t>
            </w:r>
          </w:p>
        </w:tc>
      </w:tr>
      <w:tr>
        <w:trPr>
          <w:trHeight w:val="244"/>
        </w:trPr>
        <w:tc>
          <w:tcPr>
            <w:tcW w:w="5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13,527,554</w:t>
            </w:r>
          </w:p>
        </w:tc>
        <w:tc>
          <w:tcPr>
            <w:tcW w:w="100" w:type="dxa"/>
            <w:vAlign w:val="bottom"/>
          </w:tcPr>
          <w:p>
            <w:pPr>
              <w:spacing w:after="0"/>
              <w:rPr>
                <w:sz w:val="21"/>
                <w:szCs w:val="21"/>
                <w:color w:val="auto"/>
              </w:rPr>
            </w:pPr>
          </w:p>
        </w:tc>
        <w:tc>
          <w:tcPr>
            <w:tcW w:w="1260" w:type="dxa"/>
            <w:vAlign w:val="bottom"/>
            <w:tcBorders>
              <w:bottom w:val="single" w:sz="8" w:color="auto"/>
            </w:tcBorders>
          </w:tcPr>
          <w:p>
            <w:pPr>
              <w:jc w:val="right"/>
              <w:ind w:right="107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(3,424,379)</w:t>
            </w:r>
          </w:p>
        </w:tc>
        <w:tc>
          <w:tcPr>
            <w:tcW w:w="100" w:type="dxa"/>
            <w:vAlign w:val="bottom"/>
          </w:tcPr>
          <w:p>
            <w:pPr>
              <w:spacing w:after="0"/>
              <w:rPr>
                <w:sz w:val="21"/>
                <w:szCs w:val="21"/>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10,103,175</w:t>
            </w:r>
          </w:p>
        </w:tc>
      </w:tr>
      <w:tr>
        <w:trPr>
          <w:trHeight w:val="27"/>
        </w:trPr>
        <w:tc>
          <w:tcPr>
            <w:tcW w:w="4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568"/>
        </w:trPr>
        <w:tc>
          <w:tcPr>
            <w:tcW w:w="4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gridSpan w:val="6"/>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2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r>
      <w:tr>
        <w:trPr>
          <w:trHeight w:val="221"/>
        </w:trPr>
        <w:tc>
          <w:tcPr>
            <w:tcW w:w="4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w w:val="97"/>
              </w:rPr>
              <w:t>Gross</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7"/>
              </w:rPr>
              <w:t>Gross</w:t>
            </w: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03"/>
        </w:trPr>
        <w:tc>
          <w:tcPr>
            <w:tcW w:w="4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jc w:val="center"/>
              <w:ind w:left="130"/>
              <w:spacing w:after="0" w:line="202" w:lineRule="exact"/>
              <w:rPr>
                <w:sz w:val="20"/>
                <w:szCs w:val="20"/>
                <w:color w:val="auto"/>
              </w:rPr>
            </w:pPr>
            <w:r>
              <w:rPr>
                <w:rFonts w:ascii="Times New Roman" w:cs="Times New Roman" w:eastAsia="Times New Roman" w:hAnsi="Times New Roman"/>
                <w:sz w:val="18"/>
                <w:szCs w:val="18"/>
                <w:b w:val="1"/>
                <w:bCs w:val="1"/>
                <w:color w:val="auto"/>
                <w:w w:val="99"/>
              </w:rPr>
              <w:t>Unrealized</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gridSpan w:val="2"/>
          </w:tcPr>
          <w:p>
            <w:pPr>
              <w:jc w:val="center"/>
              <w:ind w:right="320"/>
              <w:spacing w:after="0" w:line="202" w:lineRule="exact"/>
              <w:rPr>
                <w:sz w:val="20"/>
                <w:szCs w:val="20"/>
                <w:color w:val="auto"/>
              </w:rPr>
            </w:pPr>
            <w:r>
              <w:rPr>
                <w:rFonts w:ascii="Times New Roman" w:cs="Times New Roman" w:eastAsia="Times New Roman" w:hAnsi="Times New Roman"/>
                <w:sz w:val="18"/>
                <w:szCs w:val="18"/>
                <w:b w:val="1"/>
                <w:bCs w:val="1"/>
                <w:color w:val="auto"/>
                <w:w w:val="99"/>
              </w:rPr>
              <w:t>Unrealized</w:t>
            </w:r>
          </w:p>
        </w:tc>
        <w:tc>
          <w:tcPr>
            <w:tcW w:w="220" w:type="dxa"/>
            <w:vAlign w:val="bottom"/>
          </w:tcPr>
          <w:p>
            <w:pPr>
              <w:spacing w:after="0"/>
              <w:rPr>
                <w:sz w:val="17"/>
                <w:szCs w:val="17"/>
                <w:color w:val="auto"/>
              </w:rPr>
            </w:pPr>
          </w:p>
        </w:tc>
        <w:tc>
          <w:tcPr>
            <w:tcW w:w="1260" w:type="dxa"/>
            <w:vAlign w:val="bottom"/>
          </w:tcPr>
          <w:p>
            <w:pPr>
              <w:ind w:left="100"/>
              <w:spacing w:after="0" w:line="202" w:lineRule="exact"/>
              <w:rPr>
                <w:sz w:val="20"/>
                <w:szCs w:val="20"/>
                <w:color w:val="auto"/>
              </w:rPr>
            </w:pPr>
            <w:r>
              <w:rPr>
                <w:rFonts w:ascii="Times New Roman" w:cs="Times New Roman" w:eastAsia="Times New Roman" w:hAnsi="Times New Roman"/>
                <w:sz w:val="18"/>
                <w:szCs w:val="18"/>
                <w:b w:val="1"/>
                <w:bCs w:val="1"/>
                <w:color w:val="auto"/>
              </w:rPr>
              <w:t>Estimated</w:t>
            </w:r>
          </w:p>
        </w:tc>
      </w:tr>
      <w:tr>
        <w:trPr>
          <w:trHeight w:val="252"/>
        </w:trPr>
        <w:tc>
          <w:tcPr>
            <w:tcW w:w="4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Category</w:t>
            </w:r>
          </w:p>
        </w:tc>
        <w:tc>
          <w:tcPr>
            <w:tcW w:w="10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Cost</w:t>
            </w:r>
          </w:p>
        </w:tc>
        <w:tc>
          <w:tcPr>
            <w:tcW w:w="100" w:type="dxa"/>
            <w:vAlign w:val="bottom"/>
          </w:tcPr>
          <w:p>
            <w:pPr>
              <w:spacing w:after="0"/>
              <w:rPr>
                <w:sz w:val="21"/>
                <w:szCs w:val="21"/>
                <w:color w:val="auto"/>
              </w:rPr>
            </w:pPr>
          </w:p>
        </w:tc>
        <w:tc>
          <w:tcPr>
            <w:tcW w:w="1260" w:type="dxa"/>
            <w:vAlign w:val="bottom"/>
            <w:tcBorders>
              <w:bottom w:val="single" w:sz="8" w:color="auto"/>
            </w:tcBorders>
          </w:tcPr>
          <w:p>
            <w:pPr>
              <w:jc w:val="center"/>
              <w:ind w:left="130"/>
              <w:spacing w:after="0"/>
              <w:rPr>
                <w:sz w:val="20"/>
                <w:szCs w:val="20"/>
                <w:color w:val="auto"/>
              </w:rPr>
            </w:pPr>
            <w:r>
              <w:rPr>
                <w:rFonts w:ascii="Times New Roman" w:cs="Times New Roman" w:eastAsia="Times New Roman" w:hAnsi="Times New Roman"/>
                <w:sz w:val="18"/>
                <w:szCs w:val="18"/>
                <w:b w:val="1"/>
                <w:bCs w:val="1"/>
                <w:color w:val="auto"/>
                <w:w w:val="97"/>
              </w:rPr>
              <w:t>Gains</w:t>
            </w:r>
          </w:p>
        </w:tc>
        <w:tc>
          <w:tcPr>
            <w:tcW w:w="2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Fair Value</w:t>
            </w:r>
          </w:p>
        </w:tc>
      </w:tr>
      <w:tr>
        <w:trPr>
          <w:trHeight w:val="500"/>
        </w:trPr>
        <w:tc>
          <w:tcPr>
            <w:tcW w:w="50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Equity Securities:</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63"/>
        </w:trPr>
        <w:tc>
          <w:tcPr>
            <w:tcW w:w="5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Preferred stocks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9,750,322</w:t>
            </w:r>
          </w:p>
        </w:tc>
        <w:tc>
          <w:tcPr>
            <w:tcW w:w="10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107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(2,422,617)</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7,327,705</w:t>
            </w:r>
          </w:p>
        </w:tc>
      </w:tr>
      <w:tr>
        <w:trPr>
          <w:trHeight w:val="250"/>
        </w:trPr>
        <w:tc>
          <w:tcPr>
            <w:tcW w:w="5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Fixed income exchange traded funds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3,711,232</w:t>
            </w:r>
          </w:p>
        </w:tc>
        <w:tc>
          <w:tcPr>
            <w:tcW w:w="1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(808,432)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2,902,800</w:t>
            </w:r>
          </w:p>
        </w:tc>
      </w:tr>
      <w:tr>
        <w:trPr>
          <w:trHeight w:val="263"/>
        </w:trPr>
        <w:tc>
          <w:tcPr>
            <w:tcW w:w="5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FHLBNY common stock</w:t>
            </w: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66,000</w:t>
            </w:r>
          </w:p>
        </w:tc>
        <w:tc>
          <w:tcPr>
            <w:tcW w:w="100" w:type="dxa"/>
            <w:vAlign w:val="bottom"/>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66,000</w:t>
            </w:r>
          </w:p>
        </w:tc>
      </w:tr>
      <w:tr>
        <w:trPr>
          <w:trHeight w:val="243"/>
        </w:trPr>
        <w:tc>
          <w:tcPr>
            <w:tcW w:w="5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13,527,554</w:t>
            </w:r>
          </w:p>
        </w:tc>
        <w:tc>
          <w:tcPr>
            <w:tcW w:w="100" w:type="dxa"/>
            <w:vAlign w:val="bottom"/>
          </w:tcPr>
          <w:p>
            <w:pPr>
              <w:spacing w:after="0"/>
              <w:rPr>
                <w:sz w:val="21"/>
                <w:szCs w:val="21"/>
                <w:color w:val="auto"/>
              </w:rPr>
            </w:pPr>
          </w:p>
        </w:tc>
        <w:tc>
          <w:tcPr>
            <w:tcW w:w="1260" w:type="dxa"/>
            <w:vAlign w:val="bottom"/>
            <w:tcBorders>
              <w:bottom w:val="single" w:sz="8" w:color="auto"/>
            </w:tcBorders>
          </w:tcPr>
          <w:p>
            <w:pPr>
              <w:jc w:val="right"/>
              <w:ind w:right="107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(3,231,049)</w:t>
            </w:r>
          </w:p>
        </w:tc>
        <w:tc>
          <w:tcPr>
            <w:tcW w:w="100" w:type="dxa"/>
            <w:vAlign w:val="bottom"/>
          </w:tcPr>
          <w:p>
            <w:pPr>
              <w:spacing w:after="0"/>
              <w:rPr>
                <w:sz w:val="21"/>
                <w:szCs w:val="21"/>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10,296,505</w:t>
            </w:r>
          </w:p>
        </w:tc>
      </w:tr>
      <w:tr>
        <w:trPr>
          <w:trHeight w:val="27"/>
        </w:trPr>
        <w:tc>
          <w:tcPr>
            <w:tcW w:w="4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Other Investments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cost and estimated fair value of, and gross gains on, the Company’s other investments as of March 31, 2025 and December 31, 2024 are as follows: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1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March 31, 2025</w:t>
            </w:r>
          </w:p>
        </w:tc>
        <w:tc>
          <w:tcPr>
            <w:tcW w:w="20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gridSpan w:val="3"/>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spacing w:after="0"/>
              <w:rPr>
                <w:sz w:val="21"/>
                <w:szCs w:val="21"/>
                <w:color w:val="auto"/>
              </w:rPr>
            </w:pPr>
          </w:p>
        </w:tc>
      </w:tr>
      <w:tr>
        <w:trPr>
          <w:trHeight w:val="207"/>
        </w:trPr>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6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Gross Unrealized</w:t>
            </w:r>
          </w:p>
        </w:tc>
        <w:tc>
          <w:tcPr>
            <w:tcW w:w="200" w:type="dxa"/>
            <w:vAlign w:val="bottom"/>
          </w:tcPr>
          <w:p>
            <w:pPr>
              <w:spacing w:after="0"/>
              <w:rPr>
                <w:sz w:val="18"/>
                <w:szCs w:val="18"/>
                <w:color w:val="auto"/>
              </w:rPr>
            </w:pPr>
          </w:p>
        </w:tc>
        <w:tc>
          <w:tcPr>
            <w:tcW w:w="134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Estimated</w:t>
            </w: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Gross Unrealized</w:t>
            </w:r>
          </w:p>
        </w:tc>
        <w:tc>
          <w:tcPr>
            <w:tcW w:w="220" w:type="dxa"/>
            <w:vAlign w:val="bottom"/>
          </w:tcPr>
          <w:p>
            <w:pPr>
              <w:spacing w:after="0"/>
              <w:rPr>
                <w:sz w:val="18"/>
                <w:szCs w:val="18"/>
                <w:color w:val="auto"/>
              </w:rPr>
            </w:pPr>
          </w:p>
        </w:tc>
        <w:tc>
          <w:tcPr>
            <w:tcW w:w="126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Estimated</w:t>
            </w:r>
          </w:p>
        </w:tc>
      </w:tr>
      <w:tr>
        <w:trPr>
          <w:trHeight w:val="245"/>
        </w:trPr>
        <w:tc>
          <w:tcPr>
            <w:tcW w:w="19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Category</w:t>
            </w:r>
          </w:p>
        </w:tc>
        <w:tc>
          <w:tcPr>
            <w:tcW w:w="10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Cost</w:t>
            </w:r>
          </w:p>
        </w:tc>
        <w:tc>
          <w:tcPr>
            <w:tcW w:w="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Gains</w:t>
            </w:r>
          </w:p>
        </w:tc>
        <w:tc>
          <w:tcPr>
            <w:tcW w:w="1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8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Cost</w:t>
            </w:r>
          </w:p>
        </w:tc>
        <w:tc>
          <w:tcPr>
            <w:tcW w:w="10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7"/>
              </w:rPr>
              <w:t>Gains</w:t>
            </w:r>
          </w:p>
        </w:tc>
        <w:tc>
          <w:tcPr>
            <w:tcW w:w="8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Fair Value</w:t>
            </w:r>
          </w:p>
        </w:tc>
      </w:tr>
      <w:tr>
        <w:trPr>
          <w:trHeight w:val="506"/>
        </w:trPr>
        <w:tc>
          <w:tcPr>
            <w:tcW w:w="20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Other Investments:</w:t>
            </w: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82"/>
        </w:trPr>
        <w:tc>
          <w:tcPr>
            <w:tcW w:w="20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Hedge fund</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1,987,040</w:t>
            </w:r>
          </w:p>
        </w:tc>
        <w:tc>
          <w:tcPr>
            <w:tcW w:w="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2,450,693</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4,437,733</w:t>
            </w:r>
          </w:p>
        </w:tc>
        <w:tc>
          <w:tcPr>
            <w:tcW w:w="8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1,987,040</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2,393,616</w:t>
            </w:r>
          </w:p>
        </w:tc>
        <w:tc>
          <w:tcPr>
            <w:tcW w:w="8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4,380,656</w:t>
            </w:r>
          </w:p>
        </w:tc>
      </w:tr>
      <w:tr>
        <w:trPr>
          <w:trHeight w:val="20"/>
        </w:trPr>
        <w:tc>
          <w:tcPr>
            <w:tcW w:w="1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Held-to-Maturity Securities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cost or amortized cost and estimated fair value of, and unrealized gross gains and losses on, investments in held-to-maturity fixed-maturity securities as of March 31, 2025 and December 31, 2024 are summarized as follows: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920" w:type="dxa"/>
            <w:vAlign w:val="bottom"/>
            <w:tcBorders>
              <w:bottom w:val="single" w:sz="8" w:color="auto"/>
            </w:tcBorders>
            <w:gridSpan w:val="5"/>
          </w:tcPr>
          <w:p>
            <w:pPr>
              <w:ind w:left="740"/>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2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90"/>
        </w:trPr>
        <w:tc>
          <w:tcPr>
            <w:tcW w:w="2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40" w:type="dxa"/>
            <w:vAlign w:val="bottom"/>
            <w:gridSpan w:val="4"/>
            <w:vMerge w:val="restart"/>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Gross Unrealized Losses</w:t>
            </w:r>
          </w:p>
        </w:tc>
        <w:tc>
          <w:tcPr>
            <w:tcW w:w="80" w:type="dxa"/>
            <w:vAlign w:val="bottom"/>
            <w:vMerge w:val="restart"/>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6"/>
              </w:rPr>
              <w:t>Net</w:t>
            </w:r>
          </w:p>
        </w:tc>
        <w:tc>
          <w:tcPr>
            <w:tcW w:w="0" w:type="dxa"/>
            <w:vAlign w:val="bottom"/>
          </w:tcPr>
          <w:p>
            <w:pPr>
              <w:spacing w:after="0"/>
              <w:rPr>
                <w:sz w:val="1"/>
                <w:szCs w:val="1"/>
                <w:color w:val="auto"/>
              </w:rPr>
            </w:pPr>
          </w:p>
        </w:tc>
      </w:tr>
      <w:tr>
        <w:trPr>
          <w:trHeight w:val="184"/>
        </w:trPr>
        <w:tc>
          <w:tcPr>
            <w:tcW w:w="2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gridSpan w:val="2"/>
          </w:tcPr>
          <w:p>
            <w:pPr>
              <w:jc w:val="center"/>
              <w:ind w:right="300"/>
              <w:spacing w:after="0" w:line="164" w:lineRule="exact"/>
              <w:rPr>
                <w:sz w:val="20"/>
                <w:szCs w:val="20"/>
                <w:color w:val="auto"/>
              </w:rPr>
            </w:pPr>
            <w:r>
              <w:rPr>
                <w:rFonts w:ascii="Times New Roman" w:cs="Times New Roman" w:eastAsia="Times New Roman" w:hAnsi="Times New Roman"/>
                <w:sz w:val="18"/>
                <w:szCs w:val="18"/>
                <w:b w:val="1"/>
                <w:bCs w:val="1"/>
                <w:color w:val="auto"/>
                <w:w w:val="99"/>
              </w:rPr>
              <w:t>Cost or</w:t>
            </w:r>
          </w:p>
        </w:tc>
        <w:tc>
          <w:tcPr>
            <w:tcW w:w="180" w:type="dxa"/>
            <w:vAlign w:val="bottom"/>
          </w:tcPr>
          <w:p>
            <w:pPr>
              <w:spacing w:after="0"/>
              <w:rPr>
                <w:sz w:val="16"/>
                <w:szCs w:val="16"/>
                <w:color w:val="auto"/>
              </w:rPr>
            </w:pPr>
          </w:p>
        </w:tc>
        <w:tc>
          <w:tcPr>
            <w:tcW w:w="1280" w:type="dxa"/>
            <w:vAlign w:val="bottom"/>
            <w:gridSpan w:val="2"/>
          </w:tcPr>
          <w:p>
            <w:pPr>
              <w:jc w:val="center"/>
              <w:ind w:right="320"/>
              <w:spacing w:after="0" w:line="164" w:lineRule="exact"/>
              <w:rPr>
                <w:sz w:val="20"/>
                <w:szCs w:val="20"/>
                <w:color w:val="auto"/>
              </w:rPr>
            </w:pPr>
            <w:r>
              <w:rPr>
                <w:rFonts w:ascii="Times New Roman" w:cs="Times New Roman" w:eastAsia="Times New Roman" w:hAnsi="Times New Roman"/>
                <w:sz w:val="18"/>
                <w:szCs w:val="18"/>
                <w:b w:val="1"/>
                <w:bCs w:val="1"/>
                <w:color w:val="auto"/>
                <w:w w:val="97"/>
              </w:rPr>
              <w:t>Gross</w:t>
            </w:r>
          </w:p>
        </w:tc>
        <w:tc>
          <w:tcPr>
            <w:tcW w:w="16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4"/>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gridSpan w:val="2"/>
          </w:tcPr>
          <w:p>
            <w:pPr>
              <w:jc w:val="center"/>
              <w:ind w:right="340"/>
              <w:spacing w:after="0" w:line="164" w:lineRule="exact"/>
              <w:rPr>
                <w:sz w:val="20"/>
                <w:szCs w:val="20"/>
                <w:color w:val="auto"/>
              </w:rPr>
            </w:pPr>
            <w:r>
              <w:rPr>
                <w:rFonts w:ascii="Times New Roman" w:cs="Times New Roman" w:eastAsia="Times New Roman" w:hAnsi="Times New Roman"/>
                <w:sz w:val="18"/>
                <w:szCs w:val="18"/>
                <w:b w:val="1"/>
                <w:bCs w:val="1"/>
                <w:color w:val="auto"/>
                <w:w w:val="99"/>
              </w:rPr>
              <w:t>Estimated</w:t>
            </w:r>
          </w:p>
        </w:tc>
        <w:tc>
          <w:tcPr>
            <w:tcW w:w="200" w:type="dxa"/>
            <w:vAlign w:val="bottom"/>
          </w:tcPr>
          <w:p>
            <w:pPr>
              <w:spacing w:after="0"/>
              <w:rPr>
                <w:sz w:val="16"/>
                <w:szCs w:val="16"/>
                <w:color w:val="auto"/>
              </w:rPr>
            </w:pPr>
          </w:p>
        </w:tc>
        <w:tc>
          <w:tcPr>
            <w:tcW w:w="1160" w:type="dxa"/>
            <w:vAlign w:val="bottom"/>
          </w:tcPr>
          <w:p>
            <w:pPr>
              <w:jc w:val="center"/>
              <w:ind w:right="110"/>
              <w:spacing w:after="0" w:line="164" w:lineRule="exact"/>
              <w:rPr>
                <w:sz w:val="20"/>
                <w:szCs w:val="20"/>
                <w:color w:val="auto"/>
              </w:rPr>
            </w:pPr>
            <w:r>
              <w:rPr>
                <w:rFonts w:ascii="Times New Roman" w:cs="Times New Roman" w:eastAsia="Times New Roman" w:hAnsi="Times New Roman"/>
                <w:sz w:val="18"/>
                <w:szCs w:val="18"/>
                <w:b w:val="1"/>
                <w:bCs w:val="1"/>
                <w:color w:val="auto"/>
                <w:w w:val="99"/>
              </w:rPr>
              <w:t>Unrealized</w:t>
            </w:r>
          </w:p>
        </w:tc>
        <w:tc>
          <w:tcPr>
            <w:tcW w:w="0" w:type="dxa"/>
            <w:vAlign w:val="bottom"/>
          </w:tcPr>
          <w:p>
            <w:pPr>
              <w:spacing w:after="0"/>
              <w:rPr>
                <w:sz w:val="1"/>
                <w:szCs w:val="1"/>
                <w:color w:val="auto"/>
              </w:rPr>
            </w:pPr>
          </w:p>
        </w:tc>
      </w:tr>
      <w:tr>
        <w:trPr>
          <w:trHeight w:val="201"/>
        </w:trPr>
        <w:tc>
          <w:tcPr>
            <w:tcW w:w="2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gridSpan w:val="2"/>
          </w:tcPr>
          <w:p>
            <w:pPr>
              <w:jc w:val="center"/>
              <w:ind w:right="320"/>
              <w:spacing w:after="0" w:line="201" w:lineRule="exact"/>
              <w:rPr>
                <w:sz w:val="20"/>
                <w:szCs w:val="20"/>
                <w:color w:val="auto"/>
              </w:rPr>
            </w:pPr>
            <w:r>
              <w:rPr>
                <w:rFonts w:ascii="Times New Roman" w:cs="Times New Roman" w:eastAsia="Times New Roman" w:hAnsi="Times New Roman"/>
                <w:sz w:val="18"/>
                <w:szCs w:val="18"/>
                <w:b w:val="1"/>
                <w:bCs w:val="1"/>
                <w:color w:val="auto"/>
                <w:w w:val="99"/>
              </w:rPr>
              <w:t>Amortized</w:t>
            </w:r>
          </w:p>
        </w:tc>
        <w:tc>
          <w:tcPr>
            <w:tcW w:w="180" w:type="dxa"/>
            <w:vAlign w:val="bottom"/>
          </w:tcPr>
          <w:p>
            <w:pPr>
              <w:spacing w:after="0"/>
              <w:rPr>
                <w:sz w:val="17"/>
                <w:szCs w:val="17"/>
                <w:color w:val="auto"/>
              </w:rPr>
            </w:pPr>
          </w:p>
        </w:tc>
        <w:tc>
          <w:tcPr>
            <w:tcW w:w="1280" w:type="dxa"/>
            <w:vAlign w:val="bottom"/>
            <w:gridSpan w:val="2"/>
          </w:tcPr>
          <w:p>
            <w:pPr>
              <w:jc w:val="center"/>
              <w:ind w:right="320"/>
              <w:spacing w:after="0" w:line="201" w:lineRule="exact"/>
              <w:rPr>
                <w:sz w:val="20"/>
                <w:szCs w:val="20"/>
                <w:color w:val="auto"/>
              </w:rPr>
            </w:pPr>
            <w:r>
              <w:rPr>
                <w:rFonts w:ascii="Times New Roman" w:cs="Times New Roman" w:eastAsia="Times New Roman" w:hAnsi="Times New Roman"/>
                <w:sz w:val="18"/>
                <w:szCs w:val="18"/>
                <w:b w:val="1"/>
                <w:bCs w:val="1"/>
                <w:color w:val="auto"/>
                <w:w w:val="99"/>
              </w:rPr>
              <w:t>Unrealized</w:t>
            </w:r>
          </w:p>
        </w:tc>
        <w:tc>
          <w:tcPr>
            <w:tcW w:w="160" w:type="dxa"/>
            <w:vAlign w:val="bottom"/>
          </w:tcPr>
          <w:p>
            <w:pPr>
              <w:spacing w:after="0"/>
              <w:rPr>
                <w:sz w:val="17"/>
                <w:szCs w:val="17"/>
                <w:color w:val="auto"/>
              </w:rPr>
            </w:pPr>
          </w:p>
        </w:tc>
        <w:tc>
          <w:tcPr>
            <w:tcW w:w="1380" w:type="dxa"/>
            <w:vAlign w:val="bottom"/>
            <w:gridSpan w:val="2"/>
          </w:tcPr>
          <w:p>
            <w:pPr>
              <w:ind w:left="80"/>
              <w:spacing w:after="0" w:line="201" w:lineRule="exact"/>
              <w:rPr>
                <w:sz w:val="20"/>
                <w:szCs w:val="20"/>
                <w:color w:val="auto"/>
              </w:rPr>
            </w:pPr>
            <w:r>
              <w:rPr>
                <w:rFonts w:ascii="Times New Roman" w:cs="Times New Roman" w:eastAsia="Times New Roman" w:hAnsi="Times New Roman"/>
                <w:sz w:val="18"/>
                <w:szCs w:val="18"/>
                <w:b w:val="1"/>
                <w:bCs w:val="1"/>
                <w:color w:val="auto"/>
              </w:rPr>
              <w:t>Less than 12</w:t>
            </w:r>
          </w:p>
        </w:tc>
        <w:tc>
          <w:tcPr>
            <w:tcW w:w="160" w:type="dxa"/>
            <w:vAlign w:val="bottom"/>
          </w:tcPr>
          <w:p>
            <w:pPr>
              <w:spacing w:after="0"/>
              <w:rPr>
                <w:sz w:val="17"/>
                <w:szCs w:val="17"/>
                <w:color w:val="auto"/>
              </w:rPr>
            </w:pPr>
          </w:p>
        </w:tc>
        <w:tc>
          <w:tcPr>
            <w:tcW w:w="1380" w:type="dxa"/>
            <w:vAlign w:val="bottom"/>
            <w:gridSpan w:val="2"/>
          </w:tcPr>
          <w:p>
            <w:pPr>
              <w:ind w:left="40"/>
              <w:spacing w:after="0" w:line="201" w:lineRule="exact"/>
              <w:rPr>
                <w:sz w:val="20"/>
                <w:szCs w:val="20"/>
                <w:color w:val="auto"/>
              </w:rPr>
            </w:pPr>
            <w:r>
              <w:rPr>
                <w:rFonts w:ascii="Times New Roman" w:cs="Times New Roman" w:eastAsia="Times New Roman" w:hAnsi="Times New Roman"/>
                <w:sz w:val="18"/>
                <w:szCs w:val="18"/>
                <w:b w:val="1"/>
                <w:bCs w:val="1"/>
                <w:color w:val="auto"/>
              </w:rPr>
              <w:t>More than 12</w:t>
            </w:r>
          </w:p>
        </w:tc>
        <w:tc>
          <w:tcPr>
            <w:tcW w:w="200" w:type="dxa"/>
            <w:vAlign w:val="bottom"/>
          </w:tcPr>
          <w:p>
            <w:pPr>
              <w:spacing w:after="0"/>
              <w:rPr>
                <w:sz w:val="17"/>
                <w:szCs w:val="17"/>
                <w:color w:val="auto"/>
              </w:rPr>
            </w:pPr>
          </w:p>
        </w:tc>
        <w:tc>
          <w:tcPr>
            <w:tcW w:w="1240" w:type="dxa"/>
            <w:vAlign w:val="bottom"/>
            <w:gridSpan w:val="2"/>
          </w:tcPr>
          <w:p>
            <w:pPr>
              <w:jc w:val="center"/>
              <w:ind w:right="320"/>
              <w:spacing w:after="0" w:line="201" w:lineRule="exact"/>
              <w:rPr>
                <w:sz w:val="20"/>
                <w:szCs w:val="20"/>
                <w:color w:val="auto"/>
              </w:rPr>
            </w:pPr>
            <w:r>
              <w:rPr>
                <w:rFonts w:ascii="Times New Roman" w:cs="Times New Roman" w:eastAsia="Times New Roman" w:hAnsi="Times New Roman"/>
                <w:sz w:val="18"/>
                <w:szCs w:val="18"/>
                <w:b w:val="1"/>
                <w:bCs w:val="1"/>
                <w:color w:val="auto"/>
                <w:w w:val="96"/>
              </w:rPr>
              <w:t>Fair</w:t>
            </w:r>
          </w:p>
        </w:tc>
        <w:tc>
          <w:tcPr>
            <w:tcW w:w="200" w:type="dxa"/>
            <w:vAlign w:val="bottom"/>
          </w:tcPr>
          <w:p>
            <w:pPr>
              <w:spacing w:after="0"/>
              <w:rPr>
                <w:sz w:val="17"/>
                <w:szCs w:val="17"/>
                <w:color w:val="auto"/>
              </w:rPr>
            </w:pPr>
          </w:p>
        </w:tc>
        <w:tc>
          <w:tcPr>
            <w:tcW w:w="1160" w:type="dxa"/>
            <w:vAlign w:val="bottom"/>
          </w:tcPr>
          <w:p>
            <w:pPr>
              <w:jc w:val="center"/>
              <w:ind w:right="90"/>
              <w:spacing w:after="0" w:line="201" w:lineRule="exact"/>
              <w:rPr>
                <w:sz w:val="20"/>
                <w:szCs w:val="20"/>
                <w:color w:val="auto"/>
              </w:rPr>
            </w:pPr>
            <w:r>
              <w:rPr>
                <w:rFonts w:ascii="Times New Roman" w:cs="Times New Roman" w:eastAsia="Times New Roman" w:hAnsi="Times New Roman"/>
                <w:sz w:val="18"/>
                <w:szCs w:val="18"/>
                <w:b w:val="1"/>
                <w:bCs w:val="1"/>
                <w:color w:val="auto"/>
                <w:w w:val="99"/>
              </w:rPr>
              <w:t>Gains/</w:t>
            </w:r>
          </w:p>
        </w:tc>
        <w:tc>
          <w:tcPr>
            <w:tcW w:w="0" w:type="dxa"/>
            <w:vAlign w:val="bottom"/>
          </w:tcPr>
          <w:p>
            <w:pPr>
              <w:spacing w:after="0"/>
              <w:rPr>
                <w:sz w:val="1"/>
                <w:szCs w:val="1"/>
                <w:color w:val="auto"/>
              </w:rPr>
            </w:pPr>
          </w:p>
        </w:tc>
      </w:tr>
      <w:tr>
        <w:trPr>
          <w:trHeight w:val="259"/>
        </w:trPr>
        <w:tc>
          <w:tcPr>
            <w:tcW w:w="23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Category</w:t>
            </w:r>
          </w:p>
        </w:tc>
        <w:tc>
          <w:tcPr>
            <w:tcW w:w="8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Cost</w:t>
            </w:r>
          </w:p>
        </w:tc>
        <w:tc>
          <w:tcPr>
            <w:tcW w:w="8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7"/>
              </w:rPr>
              <w:t>Gains</w:t>
            </w:r>
          </w:p>
        </w:tc>
        <w:tc>
          <w:tcPr>
            <w:tcW w:w="1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Months</w:t>
            </w:r>
          </w:p>
        </w:tc>
        <w:tc>
          <w:tcPr>
            <w:tcW w:w="1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Months</w:t>
            </w:r>
          </w:p>
        </w:tc>
        <w:tc>
          <w:tcPr>
            <w:tcW w:w="8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8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0" w:type="dxa"/>
            <w:vAlign w:val="bottom"/>
          </w:tcPr>
          <w:p>
            <w:pPr>
              <w:spacing w:after="0"/>
              <w:rPr>
                <w:sz w:val="1"/>
                <w:szCs w:val="1"/>
                <w:color w:val="auto"/>
              </w:rPr>
            </w:pPr>
          </w:p>
        </w:tc>
      </w:tr>
      <w:tr>
        <w:trPr>
          <w:trHeight w:val="506"/>
        </w:trPr>
        <w:tc>
          <w:tcPr>
            <w:tcW w:w="246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Held-to-Maturity Securities:</w:t>
            </w: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24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U.S. Treasury securities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1,229,249</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(17,103)</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(10,865)</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1,201,662</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(27,587)</w:t>
            </w:r>
          </w:p>
        </w:tc>
        <w:tc>
          <w:tcPr>
            <w:tcW w:w="0" w:type="dxa"/>
            <w:vAlign w:val="bottom"/>
          </w:tcPr>
          <w:p>
            <w:pPr>
              <w:spacing w:after="0"/>
              <w:rPr>
                <w:sz w:val="1"/>
                <w:szCs w:val="1"/>
                <w:color w:val="auto"/>
              </w:rPr>
            </w:pPr>
          </w:p>
        </w:tc>
      </w:tr>
      <w:tr>
        <w:trPr>
          <w:trHeight w:val="257"/>
        </w:trPr>
        <w:tc>
          <w:tcPr>
            <w:tcW w:w="23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1"/>
        </w:trPr>
        <w:tc>
          <w:tcPr>
            <w:tcW w:w="24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Political subdivisions of States,</w:t>
            </w: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24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Territories and Possessions</w:t>
            </w:r>
          </w:p>
        </w:tc>
        <w:tc>
          <w:tcPr>
            <w:tcW w:w="18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499,859</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499,820</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57"/>
        </w:trPr>
        <w:tc>
          <w:tcPr>
            <w:tcW w:w="23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24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Exchange traded debt</w:t>
            </w:r>
          </w:p>
        </w:tc>
        <w:tc>
          <w:tcPr>
            <w:tcW w:w="18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304,111</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(60,111)</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244,000</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(60,111)</w:t>
            </w:r>
          </w:p>
        </w:tc>
        <w:tc>
          <w:tcPr>
            <w:tcW w:w="0" w:type="dxa"/>
            <w:vAlign w:val="bottom"/>
          </w:tcPr>
          <w:p>
            <w:pPr>
              <w:spacing w:after="0"/>
              <w:rPr>
                <w:sz w:val="1"/>
                <w:szCs w:val="1"/>
                <w:color w:val="auto"/>
              </w:rPr>
            </w:pPr>
          </w:p>
        </w:tc>
      </w:tr>
      <w:tr>
        <w:trPr>
          <w:trHeight w:val="257"/>
        </w:trPr>
        <w:tc>
          <w:tcPr>
            <w:tcW w:w="23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1"/>
        </w:trPr>
        <w:tc>
          <w:tcPr>
            <w:tcW w:w="24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Corporate and other bonds</w:t>
            </w: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24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industrial and miscellaneous</w:t>
            </w:r>
          </w:p>
        </w:tc>
        <w:tc>
          <w:tcPr>
            <w:tcW w:w="18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5,012,804</w:t>
            </w:r>
          </w:p>
        </w:tc>
        <w:tc>
          <w:tcPr>
            <w:tcW w:w="8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(981,799)</w:t>
            </w:r>
          </w:p>
        </w:tc>
        <w:tc>
          <w:tcPr>
            <w:tcW w:w="8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4,031,005</w:t>
            </w:r>
          </w:p>
        </w:tc>
        <w:tc>
          <w:tcPr>
            <w:tcW w:w="8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(981,799)</w:t>
            </w:r>
          </w:p>
        </w:tc>
        <w:tc>
          <w:tcPr>
            <w:tcW w:w="0" w:type="dxa"/>
            <w:vAlign w:val="bottom"/>
          </w:tcPr>
          <w:p>
            <w:pPr>
              <w:spacing w:after="0"/>
              <w:rPr>
                <w:sz w:val="1"/>
                <w:szCs w:val="1"/>
                <w:color w:val="auto"/>
              </w:rPr>
            </w:pPr>
          </w:p>
        </w:tc>
      </w:tr>
      <w:tr>
        <w:trPr>
          <w:trHeight w:val="244"/>
        </w:trPr>
        <w:tc>
          <w:tcPr>
            <w:tcW w:w="24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7,046,023</w:t>
            </w:r>
          </w:p>
        </w:tc>
        <w:tc>
          <w:tcPr>
            <w:tcW w:w="8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381</w:t>
            </w:r>
          </w:p>
        </w:tc>
        <w:tc>
          <w:tcPr>
            <w:tcW w:w="10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(17,142)</w:t>
            </w:r>
          </w:p>
        </w:tc>
        <w:tc>
          <w:tcPr>
            <w:tcW w:w="10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(1,052,775)</w:t>
            </w:r>
          </w:p>
        </w:tc>
        <w:tc>
          <w:tcPr>
            <w:tcW w:w="80" w:type="dxa"/>
            <w:vAlign w:val="bottom"/>
          </w:tcPr>
          <w:p>
            <w:pPr>
              <w:spacing w:after="0"/>
              <w:rPr>
                <w:sz w:val="21"/>
                <w:szCs w:val="21"/>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5,976,487</w:t>
            </w:r>
          </w:p>
        </w:tc>
        <w:tc>
          <w:tcPr>
            <w:tcW w:w="80" w:type="dxa"/>
            <w:vAlign w:val="bottom"/>
          </w:tcPr>
          <w:p>
            <w:pPr>
              <w:spacing w:after="0"/>
              <w:rPr>
                <w:sz w:val="21"/>
                <w:szCs w:val="21"/>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(1,069,536)</w:t>
            </w:r>
          </w:p>
        </w:tc>
        <w:tc>
          <w:tcPr>
            <w:tcW w:w="0" w:type="dxa"/>
            <w:vAlign w:val="bottom"/>
          </w:tcPr>
          <w:p>
            <w:pPr>
              <w:spacing w:after="0"/>
              <w:rPr>
                <w:sz w:val="1"/>
                <w:szCs w:val="1"/>
                <w:color w:val="auto"/>
              </w:rPr>
            </w:pPr>
          </w:p>
        </w:tc>
      </w:tr>
      <w:tr>
        <w:trPr>
          <w:trHeight w:val="27"/>
        </w:trPr>
        <w:tc>
          <w:tcPr>
            <w:tcW w:w="23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920" w:type="dxa"/>
            <w:vAlign w:val="bottom"/>
            <w:tcBorders>
              <w:bottom w:val="single" w:sz="8" w:color="auto"/>
            </w:tcBorders>
            <w:gridSpan w:val="5"/>
          </w:tcPr>
          <w:p>
            <w:pPr>
              <w:ind w:left="60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2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1"/>
        </w:trPr>
        <w:tc>
          <w:tcPr>
            <w:tcW w:w="2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40" w:type="dxa"/>
            <w:vAlign w:val="bottom"/>
            <w:gridSpan w:val="4"/>
            <w:vMerge w:val="restart"/>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Gross Unrealized Losses</w:t>
            </w:r>
          </w:p>
        </w:tc>
        <w:tc>
          <w:tcPr>
            <w:tcW w:w="80" w:type="dxa"/>
            <w:vAlign w:val="bottom"/>
            <w:vMerge w:val="restart"/>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jc w:val="center"/>
              <w:ind w:right="90"/>
              <w:spacing w:after="0" w:line="201" w:lineRule="exact"/>
              <w:rPr>
                <w:sz w:val="20"/>
                <w:szCs w:val="20"/>
                <w:color w:val="auto"/>
              </w:rPr>
            </w:pPr>
            <w:r>
              <w:rPr>
                <w:rFonts w:ascii="Times New Roman" w:cs="Times New Roman" w:eastAsia="Times New Roman" w:hAnsi="Times New Roman"/>
                <w:sz w:val="18"/>
                <w:szCs w:val="18"/>
                <w:b w:val="1"/>
                <w:bCs w:val="1"/>
                <w:color w:val="auto"/>
                <w:w w:val="96"/>
              </w:rPr>
              <w:t>Net</w:t>
            </w:r>
          </w:p>
        </w:tc>
        <w:tc>
          <w:tcPr>
            <w:tcW w:w="0" w:type="dxa"/>
            <w:vAlign w:val="bottom"/>
          </w:tcPr>
          <w:p>
            <w:pPr>
              <w:spacing w:after="0"/>
              <w:rPr>
                <w:sz w:val="1"/>
                <w:szCs w:val="1"/>
                <w:color w:val="auto"/>
              </w:rPr>
            </w:pPr>
          </w:p>
        </w:tc>
      </w:tr>
      <w:tr>
        <w:trPr>
          <w:trHeight w:val="164"/>
        </w:trPr>
        <w:tc>
          <w:tcPr>
            <w:tcW w:w="2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gridSpan w:val="2"/>
          </w:tcPr>
          <w:p>
            <w:pPr>
              <w:jc w:val="center"/>
              <w:ind w:right="300"/>
              <w:spacing w:after="0" w:line="164" w:lineRule="exact"/>
              <w:rPr>
                <w:sz w:val="20"/>
                <w:szCs w:val="20"/>
                <w:color w:val="auto"/>
              </w:rPr>
            </w:pPr>
            <w:r>
              <w:rPr>
                <w:rFonts w:ascii="Times New Roman" w:cs="Times New Roman" w:eastAsia="Times New Roman" w:hAnsi="Times New Roman"/>
                <w:sz w:val="18"/>
                <w:szCs w:val="18"/>
                <w:b w:val="1"/>
                <w:bCs w:val="1"/>
                <w:color w:val="auto"/>
                <w:w w:val="99"/>
              </w:rPr>
              <w:t>Cost or</w:t>
            </w:r>
          </w:p>
        </w:tc>
        <w:tc>
          <w:tcPr>
            <w:tcW w:w="180" w:type="dxa"/>
            <w:vAlign w:val="bottom"/>
          </w:tcPr>
          <w:p>
            <w:pPr>
              <w:spacing w:after="0"/>
              <w:rPr>
                <w:sz w:val="14"/>
                <w:szCs w:val="14"/>
                <w:color w:val="auto"/>
              </w:rPr>
            </w:pPr>
          </w:p>
        </w:tc>
        <w:tc>
          <w:tcPr>
            <w:tcW w:w="1280" w:type="dxa"/>
            <w:vAlign w:val="bottom"/>
            <w:gridSpan w:val="2"/>
          </w:tcPr>
          <w:p>
            <w:pPr>
              <w:jc w:val="center"/>
              <w:ind w:right="320"/>
              <w:spacing w:after="0" w:line="164" w:lineRule="exact"/>
              <w:rPr>
                <w:sz w:val="20"/>
                <w:szCs w:val="20"/>
                <w:color w:val="auto"/>
              </w:rPr>
            </w:pPr>
            <w:r>
              <w:rPr>
                <w:rFonts w:ascii="Times New Roman" w:cs="Times New Roman" w:eastAsia="Times New Roman" w:hAnsi="Times New Roman"/>
                <w:sz w:val="18"/>
                <w:szCs w:val="18"/>
                <w:b w:val="1"/>
                <w:bCs w:val="1"/>
                <w:color w:val="auto"/>
                <w:w w:val="97"/>
              </w:rPr>
              <w:t>Gross</w:t>
            </w:r>
          </w:p>
        </w:tc>
        <w:tc>
          <w:tcPr>
            <w:tcW w:w="160" w:type="dxa"/>
            <w:vAlign w:val="bottom"/>
            <w:tcBorders>
              <w:bottom w:val="single" w:sz="8" w:color="auto"/>
            </w:tcBorders>
          </w:tcPr>
          <w:p>
            <w:pPr>
              <w:spacing w:after="0"/>
              <w:rPr>
                <w:sz w:val="14"/>
                <w:szCs w:val="14"/>
                <w:color w:val="auto"/>
              </w:rPr>
            </w:pPr>
          </w:p>
        </w:tc>
        <w:tc>
          <w:tcPr>
            <w:tcW w:w="2840" w:type="dxa"/>
            <w:vAlign w:val="bottom"/>
            <w:tcBorders>
              <w:bottom w:val="single" w:sz="8" w:color="auto"/>
            </w:tcBorders>
            <w:gridSpan w:val="4"/>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gridSpan w:val="2"/>
          </w:tcPr>
          <w:p>
            <w:pPr>
              <w:jc w:val="center"/>
              <w:ind w:right="340"/>
              <w:spacing w:after="0" w:line="164" w:lineRule="exact"/>
              <w:rPr>
                <w:sz w:val="20"/>
                <w:szCs w:val="20"/>
                <w:color w:val="auto"/>
              </w:rPr>
            </w:pPr>
            <w:r>
              <w:rPr>
                <w:rFonts w:ascii="Times New Roman" w:cs="Times New Roman" w:eastAsia="Times New Roman" w:hAnsi="Times New Roman"/>
                <w:sz w:val="18"/>
                <w:szCs w:val="18"/>
                <w:b w:val="1"/>
                <w:bCs w:val="1"/>
                <w:color w:val="auto"/>
                <w:w w:val="99"/>
              </w:rPr>
              <w:t>Estimated</w:t>
            </w:r>
          </w:p>
        </w:tc>
        <w:tc>
          <w:tcPr>
            <w:tcW w:w="200" w:type="dxa"/>
            <w:vAlign w:val="bottom"/>
          </w:tcPr>
          <w:p>
            <w:pPr>
              <w:spacing w:after="0"/>
              <w:rPr>
                <w:sz w:val="14"/>
                <w:szCs w:val="14"/>
                <w:color w:val="auto"/>
              </w:rPr>
            </w:pPr>
          </w:p>
        </w:tc>
        <w:tc>
          <w:tcPr>
            <w:tcW w:w="1160" w:type="dxa"/>
            <w:vAlign w:val="bottom"/>
          </w:tcPr>
          <w:p>
            <w:pPr>
              <w:jc w:val="center"/>
              <w:ind w:right="110"/>
              <w:spacing w:after="0" w:line="164" w:lineRule="exact"/>
              <w:rPr>
                <w:sz w:val="20"/>
                <w:szCs w:val="20"/>
                <w:color w:val="auto"/>
              </w:rPr>
            </w:pPr>
            <w:r>
              <w:rPr>
                <w:rFonts w:ascii="Times New Roman" w:cs="Times New Roman" w:eastAsia="Times New Roman" w:hAnsi="Times New Roman"/>
                <w:sz w:val="18"/>
                <w:szCs w:val="18"/>
                <w:b w:val="1"/>
                <w:bCs w:val="1"/>
                <w:color w:val="auto"/>
                <w:w w:val="99"/>
              </w:rPr>
              <w:t>Unrealized</w:t>
            </w:r>
          </w:p>
        </w:tc>
        <w:tc>
          <w:tcPr>
            <w:tcW w:w="0" w:type="dxa"/>
            <w:vAlign w:val="bottom"/>
          </w:tcPr>
          <w:p>
            <w:pPr>
              <w:spacing w:after="0"/>
              <w:rPr>
                <w:sz w:val="1"/>
                <w:szCs w:val="1"/>
                <w:color w:val="auto"/>
              </w:rPr>
            </w:pPr>
          </w:p>
        </w:tc>
      </w:tr>
      <w:tr>
        <w:trPr>
          <w:trHeight w:val="221"/>
        </w:trPr>
        <w:tc>
          <w:tcPr>
            <w:tcW w:w="2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Amortized</w:t>
            </w:r>
          </w:p>
        </w:tc>
        <w:tc>
          <w:tcPr>
            <w:tcW w:w="180" w:type="dxa"/>
            <w:vAlign w:val="bottom"/>
          </w:tcPr>
          <w:p>
            <w:pPr>
              <w:spacing w:after="0"/>
              <w:rPr>
                <w:sz w:val="19"/>
                <w:szCs w:val="19"/>
                <w:color w:val="auto"/>
              </w:rPr>
            </w:pPr>
          </w:p>
        </w:tc>
        <w:tc>
          <w:tcPr>
            <w:tcW w:w="12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Unrealized</w:t>
            </w:r>
          </w:p>
        </w:tc>
        <w:tc>
          <w:tcPr>
            <w:tcW w:w="160" w:type="dxa"/>
            <w:vAlign w:val="bottom"/>
          </w:tcPr>
          <w:p>
            <w:pPr>
              <w:spacing w:after="0"/>
              <w:rPr>
                <w:sz w:val="19"/>
                <w:szCs w:val="19"/>
                <w:color w:val="auto"/>
              </w:rPr>
            </w:pPr>
          </w:p>
        </w:tc>
        <w:tc>
          <w:tcPr>
            <w:tcW w:w="138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Less than 12</w:t>
            </w:r>
          </w:p>
        </w:tc>
        <w:tc>
          <w:tcPr>
            <w:tcW w:w="160" w:type="dxa"/>
            <w:vAlign w:val="bottom"/>
          </w:tcPr>
          <w:p>
            <w:pPr>
              <w:spacing w:after="0"/>
              <w:rPr>
                <w:sz w:val="19"/>
                <w:szCs w:val="19"/>
                <w:color w:val="auto"/>
              </w:rPr>
            </w:pPr>
          </w:p>
        </w:tc>
        <w:tc>
          <w:tcPr>
            <w:tcW w:w="138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More than 12</w:t>
            </w:r>
          </w:p>
        </w:tc>
        <w:tc>
          <w:tcPr>
            <w:tcW w:w="200" w:type="dxa"/>
            <w:vAlign w:val="bottom"/>
          </w:tcPr>
          <w:p>
            <w:pPr>
              <w:spacing w:after="0"/>
              <w:rPr>
                <w:sz w:val="19"/>
                <w:szCs w:val="19"/>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6"/>
              </w:rPr>
              <w:t>Fair</w:t>
            </w:r>
          </w:p>
        </w:tc>
        <w:tc>
          <w:tcPr>
            <w:tcW w:w="200" w:type="dxa"/>
            <w:vAlign w:val="bottom"/>
          </w:tcPr>
          <w:p>
            <w:pPr>
              <w:spacing w:after="0"/>
              <w:rPr>
                <w:sz w:val="19"/>
                <w:szCs w:val="19"/>
                <w:color w:val="auto"/>
              </w:rPr>
            </w:pPr>
          </w:p>
        </w:tc>
        <w:tc>
          <w:tcPr>
            <w:tcW w:w="116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Gains/</w:t>
            </w:r>
          </w:p>
        </w:tc>
        <w:tc>
          <w:tcPr>
            <w:tcW w:w="0" w:type="dxa"/>
            <w:vAlign w:val="bottom"/>
          </w:tcPr>
          <w:p>
            <w:pPr>
              <w:spacing w:after="0"/>
              <w:rPr>
                <w:sz w:val="1"/>
                <w:szCs w:val="1"/>
                <w:color w:val="auto"/>
              </w:rPr>
            </w:pPr>
          </w:p>
        </w:tc>
      </w:tr>
      <w:tr>
        <w:trPr>
          <w:trHeight w:val="259"/>
        </w:trPr>
        <w:tc>
          <w:tcPr>
            <w:tcW w:w="23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Category</w:t>
            </w:r>
          </w:p>
        </w:tc>
        <w:tc>
          <w:tcPr>
            <w:tcW w:w="8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Cost</w:t>
            </w:r>
          </w:p>
        </w:tc>
        <w:tc>
          <w:tcPr>
            <w:tcW w:w="8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7"/>
              </w:rPr>
              <w:t>Gains</w:t>
            </w:r>
          </w:p>
        </w:tc>
        <w:tc>
          <w:tcPr>
            <w:tcW w:w="1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Months</w:t>
            </w:r>
          </w:p>
        </w:tc>
        <w:tc>
          <w:tcPr>
            <w:tcW w:w="1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Months</w:t>
            </w:r>
          </w:p>
        </w:tc>
        <w:tc>
          <w:tcPr>
            <w:tcW w:w="8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8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0" w:type="dxa"/>
            <w:vAlign w:val="bottom"/>
          </w:tcPr>
          <w:p>
            <w:pPr>
              <w:spacing w:after="0"/>
              <w:rPr>
                <w:sz w:val="1"/>
                <w:szCs w:val="1"/>
                <w:color w:val="auto"/>
              </w:rPr>
            </w:pPr>
          </w:p>
        </w:tc>
      </w:tr>
      <w:tr>
        <w:trPr>
          <w:trHeight w:val="506"/>
        </w:trPr>
        <w:tc>
          <w:tcPr>
            <w:tcW w:w="24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Held-to-Maturity Securities:</w:t>
            </w: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2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Treasury securities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1,229,170</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(39,630)</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(15,990)</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1,173,550</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(55,620)</w:t>
            </w:r>
          </w:p>
        </w:tc>
        <w:tc>
          <w:tcPr>
            <w:tcW w:w="0" w:type="dxa"/>
            <w:vAlign w:val="bottom"/>
          </w:tcPr>
          <w:p>
            <w:pPr>
              <w:spacing w:after="0"/>
              <w:rPr>
                <w:sz w:val="1"/>
                <w:szCs w:val="1"/>
                <w:color w:val="auto"/>
              </w:rPr>
            </w:pPr>
          </w:p>
        </w:tc>
      </w:tr>
      <w:tr>
        <w:trPr>
          <w:trHeight w:val="257"/>
        </w:trPr>
        <w:tc>
          <w:tcPr>
            <w:tcW w:w="23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1"/>
        </w:trPr>
        <w:tc>
          <w:tcPr>
            <w:tcW w:w="2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Political subdivisions of States,</w:t>
            </w: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2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Territories and Possessions</w:t>
            </w:r>
          </w:p>
        </w:tc>
        <w:tc>
          <w:tcPr>
            <w:tcW w:w="18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499,719</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499,065</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w:t>
            </w:r>
          </w:p>
        </w:tc>
        <w:tc>
          <w:tcPr>
            <w:tcW w:w="0" w:type="dxa"/>
            <w:vAlign w:val="bottom"/>
          </w:tcPr>
          <w:p>
            <w:pPr>
              <w:spacing w:after="0"/>
              <w:rPr>
                <w:sz w:val="1"/>
                <w:szCs w:val="1"/>
                <w:color w:val="auto"/>
              </w:rPr>
            </w:pPr>
          </w:p>
        </w:tc>
      </w:tr>
      <w:tr>
        <w:trPr>
          <w:trHeight w:val="257"/>
        </w:trPr>
        <w:tc>
          <w:tcPr>
            <w:tcW w:w="23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Exchange traded debt</w:t>
            </w:r>
          </w:p>
        </w:tc>
        <w:tc>
          <w:tcPr>
            <w:tcW w:w="18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304,111</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(55,611)</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248,500</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(55,611)</w:t>
            </w:r>
          </w:p>
        </w:tc>
        <w:tc>
          <w:tcPr>
            <w:tcW w:w="0" w:type="dxa"/>
            <w:vAlign w:val="bottom"/>
          </w:tcPr>
          <w:p>
            <w:pPr>
              <w:spacing w:after="0"/>
              <w:rPr>
                <w:sz w:val="1"/>
                <w:szCs w:val="1"/>
                <w:color w:val="auto"/>
              </w:rPr>
            </w:pPr>
          </w:p>
        </w:tc>
      </w:tr>
      <w:tr>
        <w:trPr>
          <w:trHeight w:val="256"/>
        </w:trPr>
        <w:tc>
          <w:tcPr>
            <w:tcW w:w="23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1"/>
        </w:trPr>
        <w:tc>
          <w:tcPr>
            <w:tcW w:w="2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and other bonds</w:t>
            </w: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2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industrial and miscellaneous</w:t>
            </w:r>
          </w:p>
        </w:tc>
        <w:tc>
          <w:tcPr>
            <w:tcW w:w="18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5,014,342</w:t>
            </w:r>
          </w:p>
        </w:tc>
        <w:tc>
          <w:tcPr>
            <w:tcW w:w="8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(976,192)</w:t>
            </w:r>
          </w:p>
        </w:tc>
        <w:tc>
          <w:tcPr>
            <w:tcW w:w="8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4,038,150</w:t>
            </w:r>
          </w:p>
        </w:tc>
        <w:tc>
          <w:tcPr>
            <w:tcW w:w="8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(976,192)</w:t>
            </w:r>
          </w:p>
        </w:tc>
        <w:tc>
          <w:tcPr>
            <w:tcW w:w="0" w:type="dxa"/>
            <w:vAlign w:val="bottom"/>
          </w:tcPr>
          <w:p>
            <w:pPr>
              <w:spacing w:after="0"/>
              <w:rPr>
                <w:sz w:val="1"/>
                <w:szCs w:val="1"/>
                <w:color w:val="auto"/>
              </w:rPr>
            </w:pPr>
          </w:p>
        </w:tc>
      </w:tr>
      <w:tr>
        <w:trPr>
          <w:trHeight w:val="243"/>
        </w:trPr>
        <w:tc>
          <w:tcPr>
            <w:tcW w:w="2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7,047,342</w:t>
            </w:r>
          </w:p>
        </w:tc>
        <w:tc>
          <w:tcPr>
            <w:tcW w:w="8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(40,284)</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(1,047,793)</w:t>
            </w:r>
          </w:p>
        </w:tc>
        <w:tc>
          <w:tcPr>
            <w:tcW w:w="8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5,959,265</w:t>
            </w:r>
          </w:p>
        </w:tc>
        <w:tc>
          <w:tcPr>
            <w:tcW w:w="8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(1,088,077)</w:t>
            </w:r>
          </w:p>
        </w:tc>
        <w:tc>
          <w:tcPr>
            <w:tcW w:w="0" w:type="dxa"/>
            <w:vAlign w:val="bottom"/>
          </w:tcPr>
          <w:p>
            <w:pPr>
              <w:spacing w:after="0"/>
              <w:rPr>
                <w:sz w:val="1"/>
                <w:szCs w:val="1"/>
                <w:color w:val="auto"/>
              </w:rPr>
            </w:pPr>
          </w:p>
        </w:tc>
      </w:tr>
      <w:tr>
        <w:trPr>
          <w:trHeight w:val="27"/>
        </w:trPr>
        <w:tc>
          <w:tcPr>
            <w:tcW w:w="23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top w:val="single" w:sz="8" w:color="auto"/>
              <w:bottom w:val="single" w:sz="8" w:color="auto"/>
            </w:tcBorders>
          </w:tcPr>
          <w:p>
            <w:pPr>
              <w:spacing w:after="0"/>
              <w:rPr>
                <w:sz w:val="2"/>
                <w:szCs w:val="2"/>
                <w:color w:val="auto"/>
              </w:rPr>
            </w:pPr>
          </w:p>
        </w:tc>
        <w:tc>
          <w:tcPr>
            <w:tcW w:w="118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top w:val="single" w:sz="8" w:color="auto"/>
              <w:bottom w:val="single" w:sz="8" w:color="auto"/>
            </w:tcBorders>
          </w:tcPr>
          <w:p>
            <w:pPr>
              <w:spacing w:after="0"/>
              <w:rPr>
                <w:sz w:val="2"/>
                <w:szCs w:val="2"/>
                <w:color w:val="auto"/>
              </w:rPr>
            </w:pPr>
          </w:p>
        </w:tc>
        <w:tc>
          <w:tcPr>
            <w:tcW w:w="118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top w:val="single" w:sz="8" w:color="auto"/>
              <w:bottom w:val="single" w:sz="8" w:color="auto"/>
            </w:tcBorders>
          </w:tcPr>
          <w:p>
            <w:pPr>
              <w:spacing w:after="0"/>
              <w:rPr>
                <w:sz w:val="2"/>
                <w:szCs w:val="2"/>
                <w:color w:val="auto"/>
              </w:rPr>
            </w:pPr>
          </w:p>
        </w:tc>
        <w:tc>
          <w:tcPr>
            <w:tcW w:w="128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top w:val="single" w:sz="8" w:color="auto"/>
              <w:bottom w:val="single" w:sz="8" w:color="auto"/>
            </w:tcBorders>
          </w:tcPr>
          <w:p>
            <w:pPr>
              <w:spacing w:after="0"/>
              <w:rPr>
                <w:sz w:val="2"/>
                <w:szCs w:val="2"/>
                <w:color w:val="auto"/>
              </w:rPr>
            </w:pPr>
          </w:p>
        </w:tc>
        <w:tc>
          <w:tcPr>
            <w:tcW w:w="130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top w:val="single" w:sz="8" w:color="auto"/>
              <w:bottom w:val="single" w:sz="8" w:color="auto"/>
            </w:tcBorders>
          </w:tcPr>
          <w:p>
            <w:pPr>
              <w:spacing w:after="0"/>
              <w:rPr>
                <w:sz w:val="2"/>
                <w:szCs w:val="2"/>
                <w:color w:val="auto"/>
              </w:rPr>
            </w:pPr>
          </w:p>
        </w:tc>
        <w:tc>
          <w:tcPr>
            <w:tcW w:w="116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top w:val="single" w:sz="8" w:color="auto"/>
              <w:bottom w:val="single" w:sz="8" w:color="auto"/>
            </w:tcBorders>
          </w:tcPr>
          <w:p>
            <w:pPr>
              <w:spacing w:after="0"/>
              <w:rPr>
                <w:sz w:val="2"/>
                <w:szCs w:val="2"/>
                <w:color w:val="auto"/>
              </w:rPr>
            </w:pPr>
          </w:p>
        </w:tc>
        <w:tc>
          <w:tcPr>
            <w:tcW w:w="1160" w:type="dxa"/>
            <w:vAlign w:val="bottom"/>
            <w:tcBorders>
              <w:top w:val="single" w:sz="8" w:color="auto"/>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Held-to-maturity U.S. Treasury securities are held in trust pursuant to various states’ minimum funds requirements.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amortized cost and estimated fair value of the Company’s investments in held-to-maturity securities by contractual maturity 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31, 2025 and December 31, 2024 is shown below:</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940" w:type="dxa"/>
            <w:vAlign w:val="bottom"/>
            <w:gridSpan w:val="5"/>
          </w:tcPr>
          <w:p>
            <w:pPr>
              <w:ind w:left="720"/>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200" w:type="dxa"/>
            <w:vAlign w:val="bottom"/>
          </w:tcPr>
          <w:p>
            <w:pPr>
              <w:spacing w:after="0"/>
              <w:rPr>
                <w:sz w:val="21"/>
                <w:szCs w:val="21"/>
                <w:color w:val="auto"/>
              </w:rPr>
            </w:pPr>
          </w:p>
        </w:tc>
        <w:tc>
          <w:tcPr>
            <w:tcW w:w="2860" w:type="dxa"/>
            <w:vAlign w:val="bottom"/>
            <w:gridSpan w:val="4"/>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December 31, 2024</w:t>
            </w:r>
          </w:p>
        </w:tc>
      </w:tr>
      <w:tr>
        <w:trPr>
          <w:trHeight w:val="221"/>
        </w:trPr>
        <w:tc>
          <w:tcPr>
            <w:tcW w:w="4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Cost or</w:t>
            </w:r>
          </w:p>
        </w:tc>
        <w:tc>
          <w:tcPr>
            <w:tcW w:w="22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Cost or</w:t>
            </w:r>
          </w:p>
        </w:tc>
        <w:tc>
          <w:tcPr>
            <w:tcW w:w="22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spacing w:after="0"/>
              <w:rPr>
                <w:sz w:val="19"/>
                <w:szCs w:val="19"/>
                <w:color w:val="auto"/>
              </w:rPr>
            </w:pPr>
          </w:p>
        </w:tc>
      </w:tr>
      <w:tr>
        <w:trPr>
          <w:trHeight w:val="203"/>
        </w:trPr>
        <w:tc>
          <w:tcPr>
            <w:tcW w:w="4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gridSpan w:val="2"/>
          </w:tcPr>
          <w:p>
            <w:pPr>
              <w:jc w:val="center"/>
              <w:ind w:right="340"/>
              <w:spacing w:after="0" w:line="202" w:lineRule="exact"/>
              <w:rPr>
                <w:sz w:val="20"/>
                <w:szCs w:val="20"/>
                <w:color w:val="auto"/>
              </w:rPr>
            </w:pPr>
            <w:r>
              <w:rPr>
                <w:rFonts w:ascii="Times New Roman" w:cs="Times New Roman" w:eastAsia="Times New Roman" w:hAnsi="Times New Roman"/>
                <w:sz w:val="18"/>
                <w:szCs w:val="18"/>
                <w:b w:val="1"/>
                <w:bCs w:val="1"/>
                <w:color w:val="auto"/>
                <w:w w:val="99"/>
              </w:rPr>
              <w:t>Amortized</w:t>
            </w:r>
          </w:p>
        </w:tc>
        <w:tc>
          <w:tcPr>
            <w:tcW w:w="220" w:type="dxa"/>
            <w:vAlign w:val="bottom"/>
          </w:tcPr>
          <w:p>
            <w:pPr>
              <w:spacing w:after="0"/>
              <w:rPr>
                <w:sz w:val="17"/>
                <w:szCs w:val="17"/>
                <w:color w:val="auto"/>
              </w:rPr>
            </w:pPr>
          </w:p>
        </w:tc>
        <w:tc>
          <w:tcPr>
            <w:tcW w:w="1360" w:type="dxa"/>
            <w:vAlign w:val="bottom"/>
            <w:gridSpan w:val="2"/>
          </w:tcPr>
          <w:p>
            <w:pPr>
              <w:ind w:left="120"/>
              <w:spacing w:after="0" w:line="202" w:lineRule="exact"/>
              <w:rPr>
                <w:sz w:val="20"/>
                <w:szCs w:val="20"/>
                <w:color w:val="auto"/>
              </w:rPr>
            </w:pPr>
            <w:r>
              <w:rPr>
                <w:rFonts w:ascii="Times New Roman" w:cs="Times New Roman" w:eastAsia="Times New Roman" w:hAnsi="Times New Roman"/>
                <w:sz w:val="18"/>
                <w:szCs w:val="18"/>
                <w:b w:val="1"/>
                <w:bCs w:val="1"/>
                <w:color w:val="auto"/>
              </w:rPr>
              <w:t>Estimated</w:t>
            </w:r>
          </w:p>
        </w:tc>
        <w:tc>
          <w:tcPr>
            <w:tcW w:w="200" w:type="dxa"/>
            <w:vAlign w:val="bottom"/>
          </w:tcPr>
          <w:p>
            <w:pPr>
              <w:spacing w:after="0"/>
              <w:rPr>
                <w:sz w:val="17"/>
                <w:szCs w:val="17"/>
                <w:color w:val="auto"/>
              </w:rPr>
            </w:pPr>
          </w:p>
        </w:tc>
        <w:tc>
          <w:tcPr>
            <w:tcW w:w="1380" w:type="dxa"/>
            <w:vAlign w:val="bottom"/>
            <w:gridSpan w:val="2"/>
          </w:tcPr>
          <w:p>
            <w:pPr>
              <w:jc w:val="center"/>
              <w:ind w:right="360"/>
              <w:spacing w:after="0" w:line="202" w:lineRule="exact"/>
              <w:rPr>
                <w:sz w:val="20"/>
                <w:szCs w:val="20"/>
                <w:color w:val="auto"/>
              </w:rPr>
            </w:pPr>
            <w:r>
              <w:rPr>
                <w:rFonts w:ascii="Times New Roman" w:cs="Times New Roman" w:eastAsia="Times New Roman" w:hAnsi="Times New Roman"/>
                <w:sz w:val="18"/>
                <w:szCs w:val="18"/>
                <w:b w:val="1"/>
                <w:bCs w:val="1"/>
                <w:color w:val="auto"/>
                <w:w w:val="99"/>
              </w:rPr>
              <w:t>Amortized</w:t>
            </w:r>
          </w:p>
        </w:tc>
        <w:tc>
          <w:tcPr>
            <w:tcW w:w="220" w:type="dxa"/>
            <w:vAlign w:val="bottom"/>
          </w:tcPr>
          <w:p>
            <w:pPr>
              <w:spacing w:after="0"/>
              <w:rPr>
                <w:sz w:val="17"/>
                <w:szCs w:val="17"/>
                <w:color w:val="auto"/>
              </w:rPr>
            </w:pPr>
          </w:p>
        </w:tc>
        <w:tc>
          <w:tcPr>
            <w:tcW w:w="1260" w:type="dxa"/>
            <w:vAlign w:val="bottom"/>
          </w:tcPr>
          <w:p>
            <w:pPr>
              <w:jc w:val="right"/>
              <w:ind w:right="270"/>
              <w:spacing w:after="0" w:line="202" w:lineRule="exact"/>
              <w:rPr>
                <w:sz w:val="20"/>
                <w:szCs w:val="20"/>
                <w:color w:val="auto"/>
              </w:rPr>
            </w:pPr>
            <w:r>
              <w:rPr>
                <w:rFonts w:ascii="Times New Roman" w:cs="Times New Roman" w:eastAsia="Times New Roman" w:hAnsi="Times New Roman"/>
                <w:sz w:val="18"/>
                <w:szCs w:val="18"/>
                <w:b w:val="1"/>
                <w:bCs w:val="1"/>
                <w:color w:val="auto"/>
              </w:rPr>
              <w:t>Estimated</w:t>
            </w:r>
          </w:p>
        </w:tc>
      </w:tr>
      <w:tr>
        <w:trPr>
          <w:trHeight w:val="252"/>
        </w:trPr>
        <w:tc>
          <w:tcPr>
            <w:tcW w:w="50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Remaining Time to Maturity</w:t>
            </w:r>
          </w:p>
        </w:tc>
        <w:tc>
          <w:tcPr>
            <w:tcW w:w="220" w:type="dxa"/>
            <w:vAlign w:val="bottom"/>
          </w:tcPr>
          <w:p>
            <w:pPr>
              <w:spacing w:after="0"/>
              <w:rPr>
                <w:sz w:val="21"/>
                <w:szCs w:val="21"/>
                <w:color w:val="auto"/>
              </w:rPr>
            </w:pPr>
          </w:p>
        </w:tc>
        <w:tc>
          <w:tcPr>
            <w:tcW w:w="13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7"/>
              </w:rPr>
              <w:t>Cost</w:t>
            </w:r>
          </w:p>
        </w:tc>
        <w:tc>
          <w:tcPr>
            <w:tcW w:w="220" w:type="dxa"/>
            <w:vAlign w:val="bottom"/>
          </w:tcPr>
          <w:p>
            <w:pPr>
              <w:spacing w:after="0"/>
              <w:rPr>
                <w:sz w:val="21"/>
                <w:szCs w:val="21"/>
                <w:color w:val="auto"/>
              </w:rPr>
            </w:pPr>
          </w:p>
        </w:tc>
        <w:tc>
          <w:tcPr>
            <w:tcW w:w="136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200" w:type="dxa"/>
            <w:vAlign w:val="bottom"/>
          </w:tcPr>
          <w:p>
            <w:pPr>
              <w:spacing w:after="0"/>
              <w:rPr>
                <w:sz w:val="21"/>
                <w:szCs w:val="21"/>
                <w:color w:val="auto"/>
              </w:rPr>
            </w:pPr>
          </w:p>
        </w:tc>
        <w:tc>
          <w:tcPr>
            <w:tcW w:w="13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Cost</w:t>
            </w:r>
          </w:p>
        </w:tc>
        <w:tc>
          <w:tcPr>
            <w:tcW w:w="220" w:type="dxa"/>
            <w:vAlign w:val="bottom"/>
          </w:tcPr>
          <w:p>
            <w:pPr>
              <w:spacing w:after="0"/>
              <w:rPr>
                <w:sz w:val="21"/>
                <w:szCs w:val="21"/>
                <w:color w:val="auto"/>
              </w:rPr>
            </w:pPr>
          </w:p>
        </w:tc>
        <w:tc>
          <w:tcPr>
            <w:tcW w:w="126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Fair Value</w:t>
            </w:r>
          </w:p>
        </w:tc>
      </w:tr>
      <w:tr>
        <w:trPr>
          <w:trHeight w:val="250"/>
        </w:trPr>
        <w:tc>
          <w:tcPr>
            <w:tcW w:w="494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2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2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2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260" w:type="dxa"/>
            <w:vAlign w:val="bottom"/>
            <w:tcBorders>
              <w:top w:val="single" w:sz="8" w:color="auto"/>
            </w:tcBorders>
          </w:tcPr>
          <w:p>
            <w:pPr>
              <w:spacing w:after="0"/>
              <w:rPr>
                <w:sz w:val="21"/>
                <w:szCs w:val="21"/>
                <w:color w:val="auto"/>
              </w:rPr>
            </w:pPr>
          </w:p>
        </w:tc>
      </w:tr>
      <w:tr>
        <w:trPr>
          <w:trHeight w:val="256"/>
        </w:trPr>
        <w:tc>
          <w:tcPr>
            <w:tcW w:w="5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than one year</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499,859</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499,820</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499,719</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499,065</w:t>
            </w:r>
          </w:p>
        </w:tc>
      </w:tr>
      <w:tr>
        <w:trPr>
          <w:trHeight w:val="250"/>
        </w:trPr>
        <w:tc>
          <w:tcPr>
            <w:tcW w:w="5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One to five years</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2,053,225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1,949,757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622,375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600,288</w:t>
            </w:r>
          </w:p>
        </w:tc>
      </w:tr>
      <w:tr>
        <w:trPr>
          <w:trHeight w:val="263"/>
        </w:trPr>
        <w:tc>
          <w:tcPr>
            <w:tcW w:w="5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Five to ten years</w:t>
            </w:r>
          </w:p>
        </w:tc>
        <w:tc>
          <w:tcPr>
            <w:tcW w:w="220" w:type="dxa"/>
            <w:vAlign w:val="bottom"/>
            <w:shd w:val="clear" w:color="auto" w:fill="CCEEFF"/>
          </w:tcPr>
          <w:p>
            <w:pPr>
              <w:spacing w:after="0"/>
              <w:rPr>
                <w:sz w:val="22"/>
                <w:szCs w:val="22"/>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2"/>
                <w:szCs w:val="22"/>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1,427,579</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1,323,600</w:t>
            </w:r>
          </w:p>
        </w:tc>
      </w:tr>
      <w:tr>
        <w:trPr>
          <w:trHeight w:val="250"/>
        </w:trPr>
        <w:tc>
          <w:tcPr>
            <w:tcW w:w="50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More than 10 years</w:t>
            </w: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4,492,939</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3,526,910</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4,497,669</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3,536,312</w:t>
            </w:r>
          </w:p>
        </w:tc>
      </w:tr>
      <w:tr>
        <w:trPr>
          <w:trHeight w:val="275"/>
        </w:trPr>
        <w:tc>
          <w:tcPr>
            <w:tcW w:w="50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7,046,023</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5,976,487</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7,047,342</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5,959,265</w:t>
            </w:r>
          </w:p>
        </w:tc>
      </w:tr>
      <w:tr>
        <w:trPr>
          <w:trHeight w:val="20"/>
        </w:trPr>
        <w:tc>
          <w:tcPr>
            <w:tcW w:w="49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actual maturities may differ from contractual maturities because certain borrowers have the right to call or prepay obligations with or without penalties.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was no allowance for credit losses on held-to-maturity fixed-maturity securities as of March 31, 2025 and December 31, 2024, respectively.</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Investment Income</w:t>
            </w:r>
          </w:p>
        </w:tc>
        <w:tc>
          <w:tcPr>
            <w:tcW w:w="36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453"/>
        </w:trPr>
        <w:tc>
          <w:tcPr>
            <w:tcW w:w="66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Major categories of the Company’s net investment income are summarized as follows:</w:t>
            </w:r>
          </w:p>
        </w:tc>
        <w:tc>
          <w:tcPr>
            <w:tcW w:w="46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450"/>
        </w:trPr>
        <w:tc>
          <w:tcPr>
            <w:tcW w:w="140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780" w:type="dxa"/>
            <w:vAlign w:val="bottom"/>
            <w:gridSpan w:val="4"/>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45"/>
        </w:trPr>
        <w:tc>
          <w:tcPr>
            <w:tcW w:w="1400" w:type="dxa"/>
            <w:vAlign w:val="bottom"/>
          </w:tcPr>
          <w:p>
            <w:pPr>
              <w:spacing w:after="0"/>
              <w:rPr>
                <w:sz w:val="21"/>
                <w:szCs w:val="21"/>
                <w:color w:val="auto"/>
              </w:rPr>
            </w:pPr>
          </w:p>
        </w:tc>
        <w:tc>
          <w:tcPr>
            <w:tcW w:w="362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72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060" w:type="dxa"/>
            <w:vAlign w:val="bottom"/>
            <w:tcBorders>
              <w:bottom w:val="single" w:sz="8" w:color="auto"/>
            </w:tcBorders>
          </w:tcPr>
          <w:p>
            <w:pPr>
              <w:spacing w:after="0"/>
              <w:rPr>
                <w:sz w:val="21"/>
                <w:szCs w:val="21"/>
                <w:color w:val="auto"/>
              </w:rPr>
            </w:pPr>
          </w:p>
        </w:tc>
      </w:tr>
      <w:tr>
        <w:trPr>
          <w:trHeight w:val="250"/>
        </w:trPr>
        <w:tc>
          <w:tcPr>
            <w:tcW w:w="1400" w:type="dxa"/>
            <w:vAlign w:val="bottom"/>
          </w:tcPr>
          <w:p>
            <w:pPr>
              <w:spacing w:after="0"/>
              <w:rPr>
                <w:sz w:val="21"/>
                <w:szCs w:val="21"/>
                <w:color w:val="auto"/>
              </w:rPr>
            </w:pPr>
          </w:p>
        </w:tc>
        <w:tc>
          <w:tcPr>
            <w:tcW w:w="362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36"/>
        </w:trPr>
        <w:tc>
          <w:tcPr>
            <w:tcW w:w="50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Income:</w:t>
            </w: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63"/>
        </w:trPr>
        <w:tc>
          <w:tcPr>
            <w:tcW w:w="5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Fixed-maturity securities</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1,931,298</w:t>
            </w:r>
          </w:p>
        </w:tc>
        <w:tc>
          <w:tcPr>
            <w:tcW w:w="100" w:type="dxa"/>
            <w:vAlign w:val="bottom"/>
            <w:shd w:val="clear" w:color="auto" w:fill="CCEEFF"/>
          </w:tcPr>
          <w:p>
            <w:pPr>
              <w:spacing w:after="0"/>
              <w:rPr>
                <w:sz w:val="22"/>
                <w:szCs w:val="22"/>
                <w:color w:val="auto"/>
              </w:rPr>
            </w:pPr>
          </w:p>
        </w:tc>
        <w:tc>
          <w:tcPr>
            <w:tcW w:w="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1,182,629</w:t>
            </w:r>
          </w:p>
        </w:tc>
      </w:tr>
      <w:tr>
        <w:trPr>
          <w:trHeight w:val="250"/>
        </w:trPr>
        <w:tc>
          <w:tcPr>
            <w:tcW w:w="5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Equity securities</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123,435</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177,169</w:t>
            </w:r>
          </w:p>
        </w:tc>
      </w:tr>
      <w:tr>
        <w:trPr>
          <w:trHeight w:val="263"/>
        </w:trPr>
        <w:tc>
          <w:tcPr>
            <w:tcW w:w="5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4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40,661</w:t>
            </w:r>
          </w:p>
        </w:tc>
        <w:tc>
          <w:tcPr>
            <w:tcW w:w="100" w:type="dxa"/>
            <w:vAlign w:val="bottom"/>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196,137</w:t>
            </w:r>
          </w:p>
        </w:tc>
      </w:tr>
      <w:tr>
        <w:trPr>
          <w:trHeight w:val="243"/>
        </w:trPr>
        <w:tc>
          <w:tcPr>
            <w:tcW w:w="50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2,095,394</w:t>
            </w:r>
          </w:p>
        </w:tc>
        <w:tc>
          <w:tcPr>
            <w:tcW w:w="100" w:type="dxa"/>
            <w:vAlign w:val="bottom"/>
            <w:tcBorders>
              <w:bottom w:val="single" w:sz="8" w:color="CCEEFF"/>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1,555,935</w:t>
            </w:r>
          </w:p>
        </w:tc>
      </w:tr>
      <w:tr>
        <w:trPr>
          <w:trHeight w:val="237"/>
        </w:trPr>
        <w:tc>
          <w:tcPr>
            <w:tcW w:w="50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3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r>
      <w:tr>
        <w:trPr>
          <w:trHeight w:val="250"/>
        </w:trPr>
        <w:tc>
          <w:tcPr>
            <w:tcW w:w="50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Investment expenses</w:t>
            </w:r>
          </w:p>
        </w:tc>
        <w:tc>
          <w:tcPr>
            <w:tcW w:w="3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46,798</w:t>
            </w:r>
          </w:p>
        </w:tc>
        <w:tc>
          <w:tcPr>
            <w:tcW w:w="100" w:type="dxa"/>
            <w:vAlign w:val="bottom"/>
            <w:tcBorders>
              <w:bottom w:val="single" w:sz="8" w:color="CCEEFF"/>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53,075</w:t>
            </w:r>
          </w:p>
        </w:tc>
      </w:tr>
      <w:tr>
        <w:trPr>
          <w:trHeight w:val="275"/>
        </w:trPr>
        <w:tc>
          <w:tcPr>
            <w:tcW w:w="50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investment income</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2,048,596</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1,502,860</w:t>
            </w:r>
          </w:p>
        </w:tc>
      </w:tr>
      <w:tr>
        <w:trPr>
          <w:trHeight w:val="20"/>
        </w:trPr>
        <w:tc>
          <w:tcPr>
            <w:tcW w:w="1400" w:type="dxa"/>
            <w:vAlign w:val="bottom"/>
            <w:tcBorders>
              <w:top w:val="single" w:sz="8" w:color="CCEEFF"/>
            </w:tcBorders>
          </w:tcPr>
          <w:p>
            <w:pPr>
              <w:spacing w:after="0" w:line="20" w:lineRule="exact"/>
              <w:rPr>
                <w:sz w:val="1"/>
                <w:szCs w:val="1"/>
                <w:color w:val="auto"/>
              </w:rPr>
            </w:pPr>
          </w:p>
        </w:tc>
        <w:tc>
          <w:tcPr>
            <w:tcW w:w="36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redemptions of fixed-maturity securities held-to-maturity the three months ended March 31, 2025 and 2024.</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Proceeds from the sale or maturity of fixed-maturity securities available-for-sale were $6,669,556 and $32,801,612 for the three months ended March 31, 2025 and 2024, respectively.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Proceeds from the sale of equity securities were $0 and $1,777,738 for the three months ended March 31, 2025 and 2024, respectively.</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9" w:right="35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i w:val="1"/>
                <w:iCs w:val="1"/>
                <w:color w:val="0000FF"/>
                <w:w w:val="98"/>
              </w:rPr>
              <w:t>Table of Contents</w:t>
            </w:r>
          </w:p>
        </w:tc>
        <w:tc>
          <w:tcPr>
            <w:tcW w:w="37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1047"/>
        </w:trPr>
        <w:tc>
          <w:tcPr>
            <w:tcW w:w="5600" w:type="dxa"/>
            <w:vAlign w:val="bottom"/>
            <w:gridSpan w:val="3"/>
          </w:tcPr>
          <w:p>
            <w:pPr>
              <w:spacing w:after="0"/>
              <w:rPr>
                <w:sz w:val="20"/>
                <w:szCs w:val="20"/>
                <w:color w:val="auto"/>
              </w:rPr>
            </w:pPr>
            <w:r>
              <w:rPr>
                <w:rFonts w:ascii="Times New Roman" w:cs="Times New Roman" w:eastAsia="Times New Roman" w:hAnsi="Times New Roman"/>
                <w:sz w:val="18"/>
                <w:szCs w:val="18"/>
                <w:color w:val="auto"/>
                <w:w w:val="99"/>
              </w:rPr>
              <w:t>The Company’s net gains (losses) on investments are summarized as follows:</w:t>
            </w: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450"/>
        </w:trPr>
        <w:tc>
          <w:tcPr>
            <w:tcW w:w="128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540" w:type="dxa"/>
            <w:vAlign w:val="bottom"/>
            <w:gridSpan w:val="4"/>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45"/>
        </w:trPr>
        <w:tc>
          <w:tcPr>
            <w:tcW w:w="1280" w:type="dxa"/>
            <w:vAlign w:val="bottom"/>
          </w:tcPr>
          <w:p>
            <w:pPr>
              <w:spacing w:after="0"/>
              <w:rPr>
                <w:sz w:val="21"/>
                <w:szCs w:val="21"/>
                <w:color w:val="auto"/>
              </w:rPr>
            </w:pPr>
          </w:p>
        </w:tc>
        <w:tc>
          <w:tcPr>
            <w:tcW w:w="3740" w:type="dxa"/>
            <w:vAlign w:val="bottom"/>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040" w:type="dxa"/>
            <w:vAlign w:val="bottom"/>
            <w:tcBorders>
              <w:bottom w:val="single" w:sz="8" w:color="auto"/>
            </w:tcBorders>
          </w:tcPr>
          <w:p>
            <w:pPr>
              <w:spacing w:after="0"/>
              <w:rPr>
                <w:sz w:val="21"/>
                <w:szCs w:val="21"/>
                <w:color w:val="auto"/>
              </w:rPr>
            </w:pPr>
          </w:p>
        </w:tc>
      </w:tr>
      <w:tr>
        <w:trPr>
          <w:trHeight w:val="250"/>
        </w:trPr>
        <w:tc>
          <w:tcPr>
            <w:tcW w:w="1280" w:type="dxa"/>
            <w:vAlign w:val="bottom"/>
          </w:tcPr>
          <w:p>
            <w:pPr>
              <w:spacing w:after="0"/>
              <w:rPr>
                <w:sz w:val="21"/>
                <w:szCs w:val="21"/>
                <w:color w:val="auto"/>
              </w:rPr>
            </w:pPr>
          </w:p>
        </w:tc>
        <w:tc>
          <w:tcPr>
            <w:tcW w:w="3740" w:type="dxa"/>
            <w:vAlign w:val="bottom"/>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w w:val="94"/>
              </w:rPr>
              <w:t>2025</w:t>
            </w:r>
          </w:p>
        </w:tc>
        <w:tc>
          <w:tcPr>
            <w:tcW w:w="100" w:type="dxa"/>
            <w:vAlign w:val="bottom"/>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30"/>
        </w:trPr>
        <w:tc>
          <w:tcPr>
            <w:tcW w:w="502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Realized (Losses) Gains</w:t>
            </w:r>
          </w:p>
        </w:tc>
        <w:tc>
          <w:tcPr>
            <w:tcW w:w="5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533"/>
        </w:trPr>
        <w:tc>
          <w:tcPr>
            <w:tcW w:w="502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Fixed-maturity securities:</w:t>
            </w:r>
          </w:p>
        </w:tc>
        <w:tc>
          <w:tcPr>
            <w:tcW w:w="5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63"/>
        </w:trPr>
        <w:tc>
          <w:tcPr>
            <w:tcW w:w="50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Gross realized gains</w:t>
            </w:r>
          </w:p>
        </w:tc>
        <w:tc>
          <w:tcPr>
            <w:tcW w:w="58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788</w:t>
            </w:r>
          </w:p>
        </w:tc>
        <w:tc>
          <w:tcPr>
            <w:tcW w:w="100" w:type="dxa"/>
            <w:vAlign w:val="bottom"/>
            <w:shd w:val="clear" w:color="auto" w:fill="CCEEFF"/>
          </w:tcPr>
          <w:p>
            <w:pPr>
              <w:spacing w:after="0"/>
              <w:rPr>
                <w:sz w:val="22"/>
                <w:szCs w:val="22"/>
                <w:color w:val="auto"/>
              </w:rPr>
            </w:pP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250"/>
        </w:trPr>
        <w:tc>
          <w:tcPr>
            <w:tcW w:w="502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color w:val="auto"/>
              </w:rPr>
              <w:t>Gross realized losses</w:t>
            </w:r>
          </w:p>
        </w:tc>
        <w:tc>
          <w:tcPr>
            <w:tcW w:w="5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(2,514)</w:t>
            </w:r>
          </w:p>
        </w:tc>
        <w:tc>
          <w:tcPr>
            <w:tcW w:w="100" w:type="dxa"/>
            <w:vAlign w:val="bottom"/>
            <w:tcBorders>
              <w:bottom w:val="single" w:sz="8" w:color="CCEEFF"/>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(2,951)</w:t>
            </w:r>
          </w:p>
        </w:tc>
      </w:tr>
      <w:tr>
        <w:trPr>
          <w:trHeight w:val="250"/>
        </w:trPr>
        <w:tc>
          <w:tcPr>
            <w:tcW w:w="1280" w:type="dxa"/>
            <w:vAlign w:val="bottom"/>
            <w:shd w:val="clear" w:color="auto" w:fill="CCEEFF"/>
          </w:tcPr>
          <w:p>
            <w:pPr>
              <w:spacing w:after="0"/>
              <w:rPr>
                <w:sz w:val="21"/>
                <w:szCs w:val="21"/>
                <w:color w:val="auto"/>
              </w:rPr>
            </w:pPr>
          </w:p>
        </w:tc>
        <w:tc>
          <w:tcPr>
            <w:tcW w:w="3740" w:type="dxa"/>
            <w:vAlign w:val="bottom"/>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(1,726)</w:t>
            </w:r>
          </w:p>
        </w:tc>
        <w:tc>
          <w:tcPr>
            <w:tcW w:w="100" w:type="dxa"/>
            <w:vAlign w:val="bottom"/>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(2,867)</w:t>
            </w:r>
          </w:p>
        </w:tc>
      </w:tr>
      <w:tr>
        <w:trPr>
          <w:trHeight w:val="257"/>
        </w:trPr>
        <w:tc>
          <w:tcPr>
            <w:tcW w:w="1280" w:type="dxa"/>
            <w:vAlign w:val="bottom"/>
          </w:tcPr>
          <w:p>
            <w:pPr>
              <w:spacing w:after="0"/>
              <w:rPr>
                <w:sz w:val="22"/>
                <w:szCs w:val="22"/>
                <w:color w:val="auto"/>
              </w:rPr>
            </w:pPr>
          </w:p>
        </w:tc>
        <w:tc>
          <w:tcPr>
            <w:tcW w:w="37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257"/>
        </w:trPr>
        <w:tc>
          <w:tcPr>
            <w:tcW w:w="50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Equity securities:</w:t>
            </w:r>
          </w:p>
        </w:tc>
        <w:tc>
          <w:tcPr>
            <w:tcW w:w="58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r>
      <w:tr>
        <w:trPr>
          <w:trHeight w:val="250"/>
        </w:trPr>
        <w:tc>
          <w:tcPr>
            <w:tcW w:w="50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Gross realized gains</w:t>
            </w:r>
          </w:p>
        </w:tc>
        <w:tc>
          <w:tcPr>
            <w:tcW w:w="5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5,120</w:t>
            </w:r>
          </w:p>
        </w:tc>
      </w:tr>
      <w:tr>
        <w:trPr>
          <w:trHeight w:val="257"/>
        </w:trPr>
        <w:tc>
          <w:tcPr>
            <w:tcW w:w="50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Gross realized losses</w:t>
            </w:r>
          </w:p>
        </w:tc>
        <w:tc>
          <w:tcPr>
            <w:tcW w:w="58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(94,610)</w:t>
            </w:r>
          </w:p>
        </w:tc>
      </w:tr>
      <w:tr>
        <w:trPr>
          <w:trHeight w:val="250"/>
        </w:trPr>
        <w:tc>
          <w:tcPr>
            <w:tcW w:w="1280" w:type="dxa"/>
            <w:vAlign w:val="bottom"/>
            <w:tcBorders>
              <w:bottom w:val="single" w:sz="8" w:color="CCEEFF"/>
            </w:tcBorders>
          </w:tcPr>
          <w:p>
            <w:pPr>
              <w:spacing w:after="0"/>
              <w:rPr>
                <w:sz w:val="21"/>
                <w:szCs w:val="21"/>
                <w:color w:val="auto"/>
              </w:rPr>
            </w:pPr>
          </w:p>
        </w:tc>
        <w:tc>
          <w:tcPr>
            <w:tcW w:w="3740" w:type="dxa"/>
            <w:vAlign w:val="bottom"/>
            <w:tcBorders>
              <w:bottom w:val="single" w:sz="8" w:color="CCEEFF"/>
            </w:tcBorders>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(89,490)</w:t>
            </w:r>
          </w:p>
        </w:tc>
      </w:tr>
      <w:tr>
        <w:trPr>
          <w:trHeight w:val="257"/>
        </w:trPr>
        <w:tc>
          <w:tcPr>
            <w:tcW w:w="1280" w:type="dxa"/>
            <w:vAlign w:val="bottom"/>
            <w:shd w:val="clear" w:color="auto" w:fill="CCEEFF"/>
          </w:tcPr>
          <w:p>
            <w:pPr>
              <w:spacing w:after="0"/>
              <w:rPr>
                <w:sz w:val="22"/>
                <w:szCs w:val="22"/>
                <w:color w:val="auto"/>
              </w:rPr>
            </w:pPr>
          </w:p>
        </w:tc>
        <w:tc>
          <w:tcPr>
            <w:tcW w:w="374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r>
      <w:tr>
        <w:trPr>
          <w:trHeight w:val="250"/>
        </w:trPr>
        <w:tc>
          <w:tcPr>
            <w:tcW w:w="5020" w:type="dxa"/>
            <w:vAlign w:val="bottom"/>
            <w:tcBorders>
              <w:bottom w:val="single" w:sz="8" w:color="CCEEFF"/>
            </w:tcBorders>
            <w:gridSpan w:val="2"/>
          </w:tcPr>
          <w:p>
            <w:pPr>
              <w:ind w:left="80"/>
              <w:spacing w:after="0"/>
              <w:rPr>
                <w:sz w:val="20"/>
                <w:szCs w:val="20"/>
                <w:color w:val="auto"/>
              </w:rPr>
            </w:pPr>
            <w:r>
              <w:rPr>
                <w:rFonts w:ascii="Times New Roman" w:cs="Times New Roman" w:eastAsia="Times New Roman" w:hAnsi="Times New Roman"/>
                <w:sz w:val="18"/>
                <w:szCs w:val="18"/>
                <w:color w:val="auto"/>
              </w:rPr>
              <w:t>Net realized losses</w:t>
            </w:r>
          </w:p>
        </w:tc>
        <w:tc>
          <w:tcPr>
            <w:tcW w:w="5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(1,726)</w:t>
            </w:r>
          </w:p>
        </w:tc>
        <w:tc>
          <w:tcPr>
            <w:tcW w:w="100" w:type="dxa"/>
            <w:vAlign w:val="bottom"/>
            <w:tcBorders>
              <w:bottom w:val="single" w:sz="8" w:color="CCEEFF"/>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(92,357)</w:t>
            </w:r>
          </w:p>
        </w:tc>
      </w:tr>
      <w:tr>
        <w:trPr>
          <w:trHeight w:val="256"/>
        </w:trPr>
        <w:tc>
          <w:tcPr>
            <w:tcW w:w="1280" w:type="dxa"/>
            <w:vAlign w:val="bottom"/>
            <w:shd w:val="clear" w:color="auto" w:fill="CCEEFF"/>
          </w:tcPr>
          <w:p>
            <w:pPr>
              <w:spacing w:after="0"/>
              <w:rPr>
                <w:sz w:val="22"/>
                <w:szCs w:val="22"/>
                <w:color w:val="auto"/>
              </w:rPr>
            </w:pPr>
          </w:p>
        </w:tc>
        <w:tc>
          <w:tcPr>
            <w:tcW w:w="374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r>
      <w:tr>
        <w:trPr>
          <w:trHeight w:val="250"/>
        </w:trPr>
        <w:tc>
          <w:tcPr>
            <w:tcW w:w="502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Unrealized (Losses) Gains</w:t>
            </w:r>
          </w:p>
        </w:tc>
        <w:tc>
          <w:tcPr>
            <w:tcW w:w="5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63"/>
        </w:trPr>
        <w:tc>
          <w:tcPr>
            <w:tcW w:w="5020" w:type="dxa"/>
            <w:vAlign w:val="bottom"/>
            <w:gridSpan w:val="2"/>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r>
      <w:tr>
        <w:trPr>
          <w:trHeight w:val="250"/>
        </w:trPr>
        <w:tc>
          <w:tcPr>
            <w:tcW w:w="502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Equity Securities:</w:t>
            </w:r>
          </w:p>
        </w:tc>
        <w:tc>
          <w:tcPr>
            <w:tcW w:w="5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63"/>
        </w:trPr>
        <w:tc>
          <w:tcPr>
            <w:tcW w:w="50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Gross gains</w:t>
            </w:r>
          </w:p>
        </w:tc>
        <w:tc>
          <w:tcPr>
            <w:tcW w:w="58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641,722</w:t>
            </w:r>
          </w:p>
        </w:tc>
      </w:tr>
      <w:tr>
        <w:trPr>
          <w:trHeight w:val="250"/>
        </w:trPr>
        <w:tc>
          <w:tcPr>
            <w:tcW w:w="502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color w:val="auto"/>
              </w:rPr>
              <w:t>Gross losses</w:t>
            </w:r>
          </w:p>
        </w:tc>
        <w:tc>
          <w:tcPr>
            <w:tcW w:w="5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(193,330)</w:t>
            </w:r>
          </w:p>
        </w:tc>
        <w:tc>
          <w:tcPr>
            <w:tcW w:w="100" w:type="dxa"/>
            <w:vAlign w:val="bottom"/>
            <w:tcBorders>
              <w:bottom w:val="single" w:sz="8" w:color="CCEEFF"/>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1280" w:type="dxa"/>
            <w:vAlign w:val="bottom"/>
            <w:shd w:val="clear" w:color="auto" w:fill="CCEEFF"/>
          </w:tcPr>
          <w:p>
            <w:pPr>
              <w:spacing w:after="0"/>
              <w:rPr>
                <w:sz w:val="21"/>
                <w:szCs w:val="21"/>
                <w:color w:val="auto"/>
              </w:rPr>
            </w:pPr>
          </w:p>
        </w:tc>
        <w:tc>
          <w:tcPr>
            <w:tcW w:w="3740" w:type="dxa"/>
            <w:vAlign w:val="bottom"/>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(193,330)</w:t>
            </w:r>
          </w:p>
        </w:tc>
        <w:tc>
          <w:tcPr>
            <w:tcW w:w="100" w:type="dxa"/>
            <w:vAlign w:val="bottom"/>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641,722</w:t>
            </w:r>
          </w:p>
        </w:tc>
      </w:tr>
      <w:tr>
        <w:trPr>
          <w:trHeight w:val="256"/>
        </w:trPr>
        <w:tc>
          <w:tcPr>
            <w:tcW w:w="1280" w:type="dxa"/>
            <w:vAlign w:val="bottom"/>
          </w:tcPr>
          <w:p>
            <w:pPr>
              <w:spacing w:after="0"/>
              <w:rPr>
                <w:sz w:val="22"/>
                <w:szCs w:val="22"/>
                <w:color w:val="auto"/>
              </w:rPr>
            </w:pPr>
          </w:p>
        </w:tc>
        <w:tc>
          <w:tcPr>
            <w:tcW w:w="37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257"/>
        </w:trPr>
        <w:tc>
          <w:tcPr>
            <w:tcW w:w="50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Other Investments:</w:t>
            </w:r>
          </w:p>
        </w:tc>
        <w:tc>
          <w:tcPr>
            <w:tcW w:w="58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r>
      <w:tr>
        <w:trPr>
          <w:trHeight w:val="250"/>
        </w:trPr>
        <w:tc>
          <w:tcPr>
            <w:tcW w:w="50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Gross gains</w:t>
            </w:r>
          </w:p>
        </w:tc>
        <w:tc>
          <w:tcPr>
            <w:tcW w:w="5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57,077</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177,026</w:t>
            </w:r>
          </w:p>
        </w:tc>
      </w:tr>
      <w:tr>
        <w:trPr>
          <w:trHeight w:val="257"/>
        </w:trPr>
        <w:tc>
          <w:tcPr>
            <w:tcW w:w="50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Gross losses</w:t>
            </w:r>
          </w:p>
        </w:tc>
        <w:tc>
          <w:tcPr>
            <w:tcW w:w="58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1280" w:type="dxa"/>
            <w:vAlign w:val="bottom"/>
            <w:tcBorders>
              <w:bottom w:val="single" w:sz="8" w:color="CCEEFF"/>
            </w:tcBorders>
          </w:tcPr>
          <w:p>
            <w:pPr>
              <w:spacing w:after="0"/>
              <w:rPr>
                <w:sz w:val="21"/>
                <w:szCs w:val="21"/>
                <w:color w:val="auto"/>
              </w:rPr>
            </w:pPr>
          </w:p>
        </w:tc>
        <w:tc>
          <w:tcPr>
            <w:tcW w:w="3740" w:type="dxa"/>
            <w:vAlign w:val="bottom"/>
            <w:tcBorders>
              <w:bottom w:val="single" w:sz="8" w:color="CCEEFF"/>
            </w:tcBorders>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57,077</w:t>
            </w:r>
          </w:p>
        </w:tc>
        <w:tc>
          <w:tcPr>
            <w:tcW w:w="100" w:type="dxa"/>
            <w:vAlign w:val="bottom"/>
            <w:tcBorders>
              <w:bottom w:val="single" w:sz="8" w:color="CCEEFF"/>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177,026</w:t>
            </w:r>
          </w:p>
        </w:tc>
      </w:tr>
      <w:tr>
        <w:trPr>
          <w:trHeight w:val="257"/>
        </w:trPr>
        <w:tc>
          <w:tcPr>
            <w:tcW w:w="1280" w:type="dxa"/>
            <w:vAlign w:val="bottom"/>
            <w:shd w:val="clear" w:color="auto" w:fill="CCEEFF"/>
          </w:tcPr>
          <w:p>
            <w:pPr>
              <w:spacing w:after="0"/>
              <w:rPr>
                <w:sz w:val="22"/>
                <w:szCs w:val="22"/>
                <w:color w:val="auto"/>
              </w:rPr>
            </w:pPr>
          </w:p>
        </w:tc>
        <w:tc>
          <w:tcPr>
            <w:tcW w:w="374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r>
      <w:tr>
        <w:trPr>
          <w:trHeight w:val="250"/>
        </w:trPr>
        <w:tc>
          <w:tcPr>
            <w:tcW w:w="5020" w:type="dxa"/>
            <w:vAlign w:val="bottom"/>
            <w:tcBorders>
              <w:bottom w:val="single" w:sz="8" w:color="CCEEFF"/>
            </w:tcBorders>
            <w:gridSpan w:val="2"/>
          </w:tcPr>
          <w:p>
            <w:pPr>
              <w:ind w:left="480"/>
              <w:spacing w:after="0"/>
              <w:rPr>
                <w:sz w:val="20"/>
                <w:szCs w:val="20"/>
                <w:color w:val="auto"/>
              </w:rPr>
            </w:pPr>
            <w:r>
              <w:rPr>
                <w:rFonts w:ascii="Times New Roman" w:cs="Times New Roman" w:eastAsia="Times New Roman" w:hAnsi="Times New Roman"/>
                <w:sz w:val="18"/>
                <w:szCs w:val="18"/>
                <w:color w:val="auto"/>
              </w:rPr>
              <w:t>Net unrealized (losses) gains</w:t>
            </w:r>
          </w:p>
        </w:tc>
        <w:tc>
          <w:tcPr>
            <w:tcW w:w="5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(136,253)</w:t>
            </w:r>
          </w:p>
        </w:tc>
        <w:tc>
          <w:tcPr>
            <w:tcW w:w="100" w:type="dxa"/>
            <w:vAlign w:val="bottom"/>
            <w:tcBorders>
              <w:bottom w:val="single" w:sz="8" w:color="CCEEFF"/>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818,748</w:t>
            </w:r>
          </w:p>
        </w:tc>
      </w:tr>
      <w:tr>
        <w:trPr>
          <w:trHeight w:val="256"/>
        </w:trPr>
        <w:tc>
          <w:tcPr>
            <w:tcW w:w="1280" w:type="dxa"/>
            <w:vAlign w:val="bottom"/>
            <w:shd w:val="clear" w:color="auto" w:fill="CCEEFF"/>
          </w:tcPr>
          <w:p>
            <w:pPr>
              <w:spacing w:after="0"/>
              <w:rPr>
                <w:sz w:val="22"/>
                <w:szCs w:val="22"/>
                <w:color w:val="auto"/>
              </w:rPr>
            </w:pPr>
          </w:p>
        </w:tc>
        <w:tc>
          <w:tcPr>
            <w:tcW w:w="374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r>
      <w:tr>
        <w:trPr>
          <w:trHeight w:val="250"/>
        </w:trPr>
        <w:tc>
          <w:tcPr>
            <w:tcW w:w="50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Net (losses) gains on investments</w:t>
            </w:r>
          </w:p>
        </w:tc>
        <w:tc>
          <w:tcPr>
            <w:tcW w:w="5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(137,979)</w:t>
            </w:r>
          </w:p>
        </w:tc>
        <w:tc>
          <w:tcPr>
            <w:tcW w:w="100" w:type="dxa"/>
            <w:vAlign w:val="bottom"/>
          </w:tcPr>
          <w:p>
            <w:pPr>
              <w:spacing w:after="0"/>
              <w:rPr>
                <w:sz w:val="21"/>
                <w:szCs w:val="21"/>
                <w:color w:val="auto"/>
              </w:rPr>
            </w:pPr>
          </w:p>
        </w:tc>
        <w:tc>
          <w:tcPr>
            <w:tcW w:w="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726,391</w:t>
            </w:r>
          </w:p>
        </w:tc>
      </w:tr>
      <w:tr>
        <w:trPr>
          <w:trHeight w:val="27"/>
        </w:trPr>
        <w:tc>
          <w:tcPr>
            <w:tcW w:w="1280" w:type="dxa"/>
            <w:vAlign w:val="bottom"/>
          </w:tcPr>
          <w:p>
            <w:pPr>
              <w:spacing w:after="0"/>
              <w:rPr>
                <w:sz w:val="2"/>
                <w:szCs w:val="2"/>
                <w:color w:val="auto"/>
              </w:rPr>
            </w:pPr>
          </w:p>
        </w:tc>
        <w:tc>
          <w:tcPr>
            <w:tcW w:w="374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bl>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Allowance for Credit Loss</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For available-for-sale fixed maturity securities, a credit loss exists if the present value of cash flows expected to be collected is less than the amortized cost basis. The allowance for credit losses related to available-for-sale fixed maturity securities is the difference between the present value of cash flows expected to be collected and the amortized cost basis, limited by the amount that the fair value is less than the amortized cost basis. The Company considers all available evidence when determining whether an investment requires a credit loss write-down or allowance to be recorded, which is recognized in net loss through an allowance for credit losses. Any remaining decline in fair value represents the noncredit portion of the impairment, which is recognized in other comprehensive income (loss).</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did not identify any available-for-sale securities as of March 31, 2025 and December 31, 2024 which presented a risk of loss due to credit deterioration of the security.</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At March 31, 2025 and December 31, 2024, there were 179 and 204 fixed-maturity securities, respectively, that accounted for the gross unrealized losses. The Company determined that none of the unrealized losses were deemed to be credit losses</w:t>
      </w:r>
    </w:p>
    <w:p>
      <w:pPr>
        <w:sectPr>
          <w:pgSz w:w="11900" w:h="16838" w:orient="portrait"/>
          <w:cols w:equalWidth="0" w:num="1">
            <w:col w:w="11240"/>
          </w:cols>
          <w:pgMar w:left="320" w:top="108" w:right="339" w:bottom="1440" w:gutter="0" w:footer="0" w:header="0"/>
        </w:sectPr>
      </w:pP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19" w:name="page20"/>
    <w:bookmarkEnd w:id="19"/>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its portfolio of investments for the three months ended March 31, 2025 and 2024. Significant factors influencing the Company’s determination that unrealized losses were temporary included credit quality considerations, the magnitude of the unrealized losses in relation to each security’s cost, the nature of the investment and interest rate environment factors, and management’s intent and ability to hold the investment for a period of time sufficient to allow for an anticipated recovery of estimated fair value to the Company’s cost basis.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held available-for-sale securities with unrealized losses representing declines that were considered temporary at March 31, 2025 as follows: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300" w:type="dxa"/>
            <w:vAlign w:val="bottom"/>
            <w:gridSpan w:val="5"/>
          </w:tcPr>
          <w:p>
            <w:pPr>
              <w:ind w:left="580"/>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4"/>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4"/>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3"/>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30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Less than 12 months</w:t>
            </w: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32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12 months or more</w:t>
            </w: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Total</w:t>
            </w: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8"/>
        </w:trPr>
        <w:tc>
          <w:tcPr>
            <w:tcW w:w="1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jc w:val="right"/>
              <w:ind w:right="208"/>
              <w:spacing w:after="0" w:line="158" w:lineRule="exact"/>
              <w:rPr>
                <w:sz w:val="20"/>
                <w:szCs w:val="20"/>
                <w:color w:val="auto"/>
              </w:rPr>
            </w:pPr>
            <w:r>
              <w:rPr>
                <w:rFonts w:ascii="Times New Roman" w:cs="Times New Roman" w:eastAsia="Times New Roman" w:hAnsi="Times New Roman"/>
                <w:sz w:val="14"/>
                <w:szCs w:val="14"/>
                <w:b w:val="1"/>
                <w:bCs w:val="1"/>
                <w:color w:val="auto"/>
              </w:rPr>
              <w:t>Estimated</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gridSpan w:val="2"/>
          </w:tcPr>
          <w:p>
            <w:pPr>
              <w:jc w:val="center"/>
              <w:ind w:right="120"/>
              <w:spacing w:after="0" w:line="158" w:lineRule="exact"/>
              <w:rPr>
                <w:sz w:val="20"/>
                <w:szCs w:val="20"/>
                <w:color w:val="auto"/>
              </w:rPr>
            </w:pPr>
            <w:r>
              <w:rPr>
                <w:rFonts w:ascii="Times New Roman" w:cs="Times New Roman" w:eastAsia="Times New Roman" w:hAnsi="Times New Roman"/>
                <w:sz w:val="14"/>
                <w:szCs w:val="14"/>
                <w:b w:val="1"/>
                <w:bCs w:val="1"/>
                <w:color w:val="auto"/>
              </w:rPr>
              <w:t>No. of</w:t>
            </w:r>
          </w:p>
        </w:tc>
        <w:tc>
          <w:tcPr>
            <w:tcW w:w="160" w:type="dxa"/>
            <w:vAlign w:val="bottom"/>
          </w:tcPr>
          <w:p>
            <w:pPr>
              <w:spacing w:after="0"/>
              <w:rPr>
                <w:sz w:val="13"/>
                <w:szCs w:val="13"/>
                <w:color w:val="auto"/>
              </w:rPr>
            </w:pPr>
          </w:p>
        </w:tc>
        <w:tc>
          <w:tcPr>
            <w:tcW w:w="980" w:type="dxa"/>
            <w:vAlign w:val="bottom"/>
          </w:tcPr>
          <w:p>
            <w:pPr>
              <w:jc w:val="right"/>
              <w:ind w:right="208"/>
              <w:spacing w:after="0" w:line="158" w:lineRule="exact"/>
              <w:rPr>
                <w:sz w:val="20"/>
                <w:szCs w:val="20"/>
                <w:color w:val="auto"/>
              </w:rPr>
            </w:pPr>
            <w:r>
              <w:rPr>
                <w:rFonts w:ascii="Times New Roman" w:cs="Times New Roman" w:eastAsia="Times New Roman" w:hAnsi="Times New Roman"/>
                <w:sz w:val="14"/>
                <w:szCs w:val="14"/>
                <w:b w:val="1"/>
                <w:bCs w:val="1"/>
                <w:color w:val="auto"/>
              </w:rPr>
              <w:t>Estimated</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gridSpan w:val="2"/>
          </w:tcPr>
          <w:p>
            <w:pPr>
              <w:jc w:val="center"/>
              <w:ind w:right="140"/>
              <w:spacing w:after="0" w:line="158" w:lineRule="exact"/>
              <w:rPr>
                <w:sz w:val="20"/>
                <w:szCs w:val="20"/>
                <w:color w:val="auto"/>
              </w:rPr>
            </w:pPr>
            <w:r>
              <w:rPr>
                <w:rFonts w:ascii="Times New Roman" w:cs="Times New Roman" w:eastAsia="Times New Roman" w:hAnsi="Times New Roman"/>
                <w:sz w:val="14"/>
                <w:szCs w:val="14"/>
                <w:b w:val="1"/>
                <w:bCs w:val="1"/>
                <w:color w:val="auto"/>
              </w:rPr>
              <w:t>No. of</w:t>
            </w:r>
          </w:p>
        </w:tc>
        <w:tc>
          <w:tcPr>
            <w:tcW w:w="160" w:type="dxa"/>
            <w:vAlign w:val="bottom"/>
          </w:tcPr>
          <w:p>
            <w:pPr>
              <w:spacing w:after="0"/>
              <w:rPr>
                <w:sz w:val="13"/>
                <w:szCs w:val="13"/>
                <w:color w:val="auto"/>
              </w:rPr>
            </w:pPr>
          </w:p>
        </w:tc>
        <w:tc>
          <w:tcPr>
            <w:tcW w:w="1060" w:type="dxa"/>
            <w:vAlign w:val="bottom"/>
            <w:gridSpan w:val="2"/>
          </w:tcPr>
          <w:p>
            <w:pPr>
              <w:jc w:val="center"/>
              <w:ind w:right="280"/>
              <w:spacing w:after="0" w:line="158" w:lineRule="exact"/>
              <w:rPr>
                <w:sz w:val="20"/>
                <w:szCs w:val="20"/>
                <w:color w:val="auto"/>
              </w:rPr>
            </w:pPr>
            <w:r>
              <w:rPr>
                <w:rFonts w:ascii="Times New Roman" w:cs="Times New Roman" w:eastAsia="Times New Roman" w:hAnsi="Times New Roman"/>
                <w:sz w:val="14"/>
                <w:szCs w:val="14"/>
                <w:b w:val="1"/>
                <w:bCs w:val="1"/>
                <w:color w:val="auto"/>
              </w:rPr>
              <w:t>Estimated</w:t>
            </w:r>
          </w:p>
        </w:tc>
        <w:tc>
          <w:tcPr>
            <w:tcW w:w="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14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Category</w:t>
            </w:r>
          </w:p>
        </w:tc>
        <w:tc>
          <w:tcPr>
            <w:tcW w:w="100" w:type="dxa"/>
            <w:vAlign w:val="bottom"/>
            <w:vMerge w:val="restart"/>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Fair</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Positions</w:t>
            </w:r>
          </w:p>
        </w:tc>
        <w:tc>
          <w:tcPr>
            <w:tcW w:w="160" w:type="dxa"/>
            <w:vAlign w:val="bottom"/>
          </w:tcPr>
          <w:p>
            <w:pPr>
              <w:spacing w:after="0"/>
              <w:rPr>
                <w:sz w:val="15"/>
                <w:szCs w:val="15"/>
                <w:color w:val="auto"/>
              </w:rPr>
            </w:pPr>
          </w:p>
        </w:tc>
        <w:tc>
          <w:tcPr>
            <w:tcW w:w="980" w:type="dxa"/>
            <w:vAlign w:val="bottom"/>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Fair</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12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Positions</w:t>
            </w:r>
          </w:p>
        </w:tc>
        <w:tc>
          <w:tcPr>
            <w:tcW w:w="160" w:type="dxa"/>
            <w:vAlign w:val="bottom"/>
          </w:tcPr>
          <w:p>
            <w:pPr>
              <w:spacing w:after="0"/>
              <w:rPr>
                <w:sz w:val="15"/>
                <w:szCs w:val="15"/>
                <w:color w:val="auto"/>
              </w:rPr>
            </w:pPr>
          </w:p>
        </w:tc>
        <w:tc>
          <w:tcPr>
            <w:tcW w:w="10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Fair</w:t>
            </w:r>
          </w:p>
        </w:tc>
        <w:tc>
          <w:tcPr>
            <w:tcW w:w="180" w:type="dxa"/>
            <w:vAlign w:val="bottom"/>
          </w:tcPr>
          <w:p>
            <w:pPr>
              <w:spacing w:after="0"/>
              <w:rPr>
                <w:sz w:val="15"/>
                <w:szCs w:val="15"/>
                <w:color w:val="auto"/>
              </w:rPr>
            </w:pPr>
          </w:p>
        </w:tc>
        <w:tc>
          <w:tcPr>
            <w:tcW w:w="960" w:type="dxa"/>
            <w:vAlign w:val="bottom"/>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0" w:type="dxa"/>
            <w:vAlign w:val="bottom"/>
          </w:tcPr>
          <w:p>
            <w:pPr>
              <w:spacing w:after="0"/>
              <w:rPr>
                <w:sz w:val="1"/>
                <w:szCs w:val="1"/>
                <w:color w:val="auto"/>
              </w:rPr>
            </w:pPr>
          </w:p>
        </w:tc>
      </w:tr>
      <w:tr>
        <w:trPr>
          <w:trHeight w:val="198"/>
        </w:trPr>
        <w:tc>
          <w:tcPr>
            <w:tcW w:w="1480" w:type="dxa"/>
            <w:vAlign w:val="bottom"/>
            <w:tcBorders>
              <w:bottom w:val="single" w:sz="8" w:color="auto"/>
            </w:tcBorders>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Value</w:t>
            </w:r>
          </w:p>
        </w:tc>
        <w:tc>
          <w:tcPr>
            <w:tcW w:w="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00" w:type="dxa"/>
            <w:vAlign w:val="bottom"/>
          </w:tcPr>
          <w:p>
            <w:pPr>
              <w:spacing w:after="0"/>
              <w:rPr>
                <w:sz w:val="17"/>
                <w:szCs w:val="17"/>
                <w:color w:val="auto"/>
              </w:rPr>
            </w:pPr>
          </w:p>
        </w:tc>
        <w:tc>
          <w:tcPr>
            <w:tcW w:w="112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Held</w:t>
            </w:r>
          </w:p>
        </w:tc>
        <w:tc>
          <w:tcPr>
            <w:tcW w:w="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00" w:type="dxa"/>
            <w:vAlign w:val="bottom"/>
          </w:tcPr>
          <w:p>
            <w:pPr>
              <w:spacing w:after="0"/>
              <w:rPr>
                <w:sz w:val="17"/>
                <w:szCs w:val="17"/>
                <w:color w:val="auto"/>
              </w:rPr>
            </w:pPr>
          </w:p>
        </w:tc>
        <w:tc>
          <w:tcPr>
            <w:tcW w:w="112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Held</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Value</w:t>
            </w:r>
          </w:p>
        </w:tc>
        <w:tc>
          <w:tcPr>
            <w:tcW w:w="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0" w:type="dxa"/>
            <w:vAlign w:val="bottom"/>
          </w:tcPr>
          <w:p>
            <w:pPr>
              <w:spacing w:after="0"/>
              <w:rPr>
                <w:sz w:val="1"/>
                <w:szCs w:val="1"/>
                <w:color w:val="auto"/>
              </w:rPr>
            </w:pPr>
          </w:p>
        </w:tc>
      </w:tr>
      <w:tr>
        <w:trPr>
          <w:trHeight w:val="379"/>
        </w:trPr>
        <w:tc>
          <w:tcPr>
            <w:tcW w:w="15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Available-for-Sale</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15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Securities:</w:t>
            </w: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9"/>
        </w:trPr>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6"/>
        </w:trPr>
        <w:tc>
          <w:tcPr>
            <w:tcW w:w="1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U.S. Treasury securities</w:t>
            </w: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and obligations of U.S.</w:t>
            </w: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government</w:t>
            </w: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1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corporations and</w:t>
            </w: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15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agencies</w:t>
            </w:r>
          </w:p>
        </w:tc>
        <w:tc>
          <w:tcPr>
            <w:tcW w:w="1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6"/>
        </w:trPr>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1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Political subdivisions of</w:t>
            </w: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States, Territories and</w:t>
            </w: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15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Possessions</w:t>
            </w:r>
          </w:p>
        </w:tc>
        <w:tc>
          <w:tcPr>
            <w:tcW w:w="16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13,539,593</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(2,945,087)</w:t>
            </w:r>
          </w:p>
        </w:tc>
        <w:tc>
          <w:tcPr>
            <w:tcW w:w="10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13,539,593</w:t>
            </w: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(2,945,087)</w:t>
            </w:r>
          </w:p>
        </w:tc>
        <w:tc>
          <w:tcPr>
            <w:tcW w:w="0" w:type="dxa"/>
            <w:vAlign w:val="bottom"/>
          </w:tcPr>
          <w:p>
            <w:pPr>
              <w:spacing w:after="0"/>
              <w:rPr>
                <w:sz w:val="1"/>
                <w:szCs w:val="1"/>
                <w:color w:val="auto"/>
              </w:rPr>
            </w:pPr>
          </w:p>
        </w:tc>
      </w:tr>
      <w:tr>
        <w:trPr>
          <w:trHeight w:val="216"/>
        </w:trPr>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1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Corporate and other</w:t>
            </w: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bonds industrial and</w:t>
            </w: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15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miscellaneous</w:t>
            </w:r>
          </w:p>
        </w:tc>
        <w:tc>
          <w:tcPr>
            <w:tcW w:w="16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51,949,158</w:t>
            </w: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(495,587)</w:t>
            </w:r>
          </w:p>
        </w:tc>
        <w:tc>
          <w:tcPr>
            <w:tcW w:w="10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60</w:t>
            </w: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51,520,947</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(3,992,684)</w:t>
            </w:r>
          </w:p>
        </w:tc>
        <w:tc>
          <w:tcPr>
            <w:tcW w:w="10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103,470,105</w:t>
            </w: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(4,488,271)</w:t>
            </w:r>
          </w:p>
        </w:tc>
        <w:tc>
          <w:tcPr>
            <w:tcW w:w="0" w:type="dxa"/>
            <w:vAlign w:val="bottom"/>
          </w:tcPr>
          <w:p>
            <w:pPr>
              <w:spacing w:after="0"/>
              <w:rPr>
                <w:sz w:val="1"/>
                <w:szCs w:val="1"/>
                <w:color w:val="auto"/>
              </w:rPr>
            </w:pPr>
          </w:p>
        </w:tc>
      </w:tr>
      <w:tr>
        <w:trPr>
          <w:trHeight w:val="216"/>
        </w:trPr>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1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Residential mortgage</w:t>
            </w: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and other asset backed</w:t>
            </w: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15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securities</w:t>
            </w:r>
          </w:p>
        </w:tc>
        <w:tc>
          <w:tcPr>
            <w:tcW w:w="16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5,884,488</w:t>
            </w: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(17,773)</w:t>
            </w:r>
          </w:p>
        </w:tc>
        <w:tc>
          <w:tcPr>
            <w:tcW w:w="10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w:t>
            </w: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35,096,038</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(5,533,927)</w:t>
            </w:r>
          </w:p>
        </w:tc>
        <w:tc>
          <w:tcPr>
            <w:tcW w:w="10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40,980,526</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(5,551,700)</w:t>
            </w:r>
          </w:p>
        </w:tc>
        <w:tc>
          <w:tcPr>
            <w:tcW w:w="0" w:type="dxa"/>
            <w:vAlign w:val="bottom"/>
          </w:tcPr>
          <w:p>
            <w:pPr>
              <w:spacing w:after="0"/>
              <w:rPr>
                <w:sz w:val="1"/>
                <w:szCs w:val="1"/>
                <w:color w:val="auto"/>
              </w:rPr>
            </w:pPr>
          </w:p>
        </w:tc>
      </w:tr>
      <w:tr>
        <w:trPr>
          <w:trHeight w:val="210"/>
        </w:trPr>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1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fixed-maturity</w:t>
            </w:r>
          </w:p>
        </w:tc>
        <w:tc>
          <w:tcPr>
            <w:tcW w:w="16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57,833,646</w:t>
            </w:r>
          </w:p>
        </w:tc>
        <w:tc>
          <w:tcPr>
            <w:tcW w:w="24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(513,360)</w:t>
            </w:r>
          </w:p>
        </w:tc>
        <w:tc>
          <w:tcPr>
            <w:tcW w:w="10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68</w:t>
            </w:r>
          </w:p>
        </w:tc>
        <w:tc>
          <w:tcPr>
            <w:tcW w:w="80" w:type="dxa"/>
            <w:vAlign w:val="bottom"/>
            <w:shd w:val="clear" w:color="auto" w:fill="CCEEFF"/>
          </w:tcPr>
          <w:p>
            <w:pPr>
              <w:spacing w:after="0"/>
              <w:rPr>
                <w:sz w:val="14"/>
                <w:szCs w:val="14"/>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100,156,578</w:t>
            </w:r>
          </w:p>
        </w:tc>
        <w:tc>
          <w:tcPr>
            <w:tcW w:w="26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(12,471,698)</w:t>
            </w:r>
          </w:p>
        </w:tc>
        <w:tc>
          <w:tcPr>
            <w:tcW w:w="10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w:t>
            </w:r>
          </w:p>
        </w:tc>
        <w:tc>
          <w:tcPr>
            <w:tcW w:w="100" w:type="dxa"/>
            <w:vAlign w:val="bottom"/>
            <w:shd w:val="clear" w:color="auto" w:fill="CCEEFF"/>
          </w:tcPr>
          <w:p>
            <w:pPr>
              <w:spacing w:after="0"/>
              <w:rPr>
                <w:sz w:val="14"/>
                <w:szCs w:val="14"/>
                <w:color w:val="auto"/>
              </w:rPr>
            </w:pPr>
          </w:p>
        </w:tc>
        <w:tc>
          <w:tcPr>
            <w:tcW w:w="16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157,990,224</w:t>
            </w:r>
          </w:p>
        </w:tc>
        <w:tc>
          <w:tcPr>
            <w:tcW w:w="80" w:type="dxa"/>
            <w:vAlign w:val="bottom"/>
            <w:shd w:val="clear" w:color="auto" w:fill="CCEEFF"/>
          </w:tcPr>
          <w:p>
            <w:pPr>
              <w:spacing w:after="0"/>
              <w:rPr>
                <w:sz w:val="14"/>
                <w:szCs w:val="14"/>
                <w:color w:val="auto"/>
              </w:rPr>
            </w:pPr>
          </w:p>
        </w:tc>
        <w:tc>
          <w:tcPr>
            <w:tcW w:w="18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(12,985,058)</w:t>
            </w:r>
          </w:p>
        </w:tc>
        <w:tc>
          <w:tcPr>
            <w:tcW w:w="0" w:type="dxa"/>
            <w:vAlign w:val="bottom"/>
          </w:tcPr>
          <w:p>
            <w:pPr>
              <w:spacing w:after="0"/>
              <w:rPr>
                <w:sz w:val="1"/>
                <w:szCs w:val="1"/>
                <w:color w:val="auto"/>
              </w:rPr>
            </w:pPr>
          </w:p>
        </w:tc>
      </w:tr>
      <w:tr>
        <w:trPr>
          <w:trHeight w:val="205"/>
        </w:trPr>
        <w:tc>
          <w:tcPr>
            <w:tcW w:w="1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securities</w:t>
            </w:r>
          </w:p>
        </w:tc>
        <w:tc>
          <w:tcPr>
            <w:tcW w:w="160" w:type="dxa"/>
            <w:vAlign w:val="bottom"/>
            <w:vMerge w:val="continue"/>
            <w:shd w:val="clear" w:color="auto" w:fill="CCEEFF"/>
          </w:tcPr>
          <w:p>
            <w:pPr>
              <w:spacing w:after="0"/>
              <w:rPr>
                <w:sz w:val="17"/>
                <w:szCs w:val="17"/>
                <w:color w:val="auto"/>
              </w:rPr>
            </w:pPr>
          </w:p>
        </w:tc>
        <w:tc>
          <w:tcPr>
            <w:tcW w:w="960" w:type="dxa"/>
            <w:vAlign w:val="bottom"/>
            <w:vMerge w:val="continue"/>
            <w:shd w:val="clear" w:color="auto" w:fill="CCEEFF"/>
          </w:tcPr>
          <w:p>
            <w:pPr>
              <w:spacing w:after="0"/>
              <w:rPr>
                <w:sz w:val="17"/>
                <w:szCs w:val="17"/>
                <w:color w:val="auto"/>
              </w:rPr>
            </w:pPr>
          </w:p>
        </w:tc>
        <w:tc>
          <w:tcPr>
            <w:tcW w:w="240" w:type="dxa"/>
            <w:vAlign w:val="bottom"/>
            <w:gridSpan w:val="2"/>
            <w:vMerge w:val="continue"/>
            <w:shd w:val="clear" w:color="auto" w:fill="CCEEFF"/>
          </w:tcPr>
          <w:p>
            <w:pPr>
              <w:spacing w:after="0"/>
              <w:rPr>
                <w:sz w:val="17"/>
                <w:szCs w:val="17"/>
                <w:color w:val="auto"/>
              </w:rPr>
            </w:pPr>
          </w:p>
        </w:tc>
        <w:tc>
          <w:tcPr>
            <w:tcW w:w="9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vMerge w:val="continue"/>
            <w:shd w:val="clear" w:color="auto" w:fill="CCEEFF"/>
          </w:tcPr>
          <w:p>
            <w:pPr>
              <w:spacing w:after="0"/>
              <w:rPr>
                <w:sz w:val="17"/>
                <w:szCs w:val="17"/>
                <w:color w:val="auto"/>
              </w:rPr>
            </w:pPr>
          </w:p>
        </w:tc>
        <w:tc>
          <w:tcPr>
            <w:tcW w:w="980" w:type="dxa"/>
            <w:vAlign w:val="bottom"/>
            <w:vMerge w:val="continue"/>
            <w:shd w:val="clear" w:color="auto" w:fill="CCEEFF"/>
          </w:tcPr>
          <w:p>
            <w:pPr>
              <w:spacing w:after="0"/>
              <w:rPr>
                <w:sz w:val="17"/>
                <w:szCs w:val="17"/>
                <w:color w:val="auto"/>
              </w:rPr>
            </w:pPr>
          </w:p>
        </w:tc>
        <w:tc>
          <w:tcPr>
            <w:tcW w:w="260" w:type="dxa"/>
            <w:vAlign w:val="bottom"/>
            <w:gridSpan w:val="2"/>
            <w:vMerge w:val="continue"/>
            <w:shd w:val="clear" w:color="auto" w:fill="CCEEFF"/>
          </w:tcPr>
          <w:p>
            <w:pPr>
              <w:spacing w:after="0"/>
              <w:rPr>
                <w:sz w:val="17"/>
                <w:szCs w:val="17"/>
                <w:color w:val="auto"/>
              </w:rPr>
            </w:pPr>
          </w:p>
        </w:tc>
        <w:tc>
          <w:tcPr>
            <w:tcW w:w="9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vMerge w:val="continue"/>
            <w:shd w:val="clear" w:color="auto" w:fill="CCEEFF"/>
          </w:tcPr>
          <w:p>
            <w:pPr>
              <w:spacing w:after="0"/>
              <w:rPr>
                <w:sz w:val="17"/>
                <w:szCs w:val="17"/>
                <w:color w:val="auto"/>
              </w:rPr>
            </w:pPr>
          </w:p>
        </w:tc>
        <w:tc>
          <w:tcPr>
            <w:tcW w:w="98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vMerge w:val="continue"/>
            <w:shd w:val="clear" w:color="auto" w:fill="CCEEFF"/>
          </w:tcPr>
          <w:p>
            <w:pPr>
              <w:spacing w:after="0"/>
              <w:rPr>
                <w:sz w:val="17"/>
                <w:szCs w:val="17"/>
                <w:color w:val="auto"/>
              </w:rPr>
            </w:pPr>
          </w:p>
        </w:tc>
        <w:tc>
          <w:tcPr>
            <w:tcW w:w="9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4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Company held available-for-sale securities with unrealized losses representing declines that were considered temporary at December 31, 2024 as follows: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300" w:type="dxa"/>
            <w:vAlign w:val="bottom"/>
            <w:gridSpan w:val="5"/>
          </w:tcPr>
          <w:p>
            <w:pPr>
              <w:ind w:left="46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4"/>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4"/>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3"/>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30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Less than 12 months</w:t>
            </w: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32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12 months or more</w:t>
            </w: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Total</w:t>
            </w: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8"/>
        </w:trPr>
        <w:tc>
          <w:tcPr>
            <w:tcW w:w="1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jc w:val="right"/>
              <w:ind w:right="208"/>
              <w:spacing w:after="0" w:line="158" w:lineRule="exact"/>
              <w:rPr>
                <w:sz w:val="20"/>
                <w:szCs w:val="20"/>
                <w:color w:val="auto"/>
              </w:rPr>
            </w:pPr>
            <w:r>
              <w:rPr>
                <w:rFonts w:ascii="Times New Roman" w:cs="Times New Roman" w:eastAsia="Times New Roman" w:hAnsi="Times New Roman"/>
                <w:sz w:val="14"/>
                <w:szCs w:val="14"/>
                <w:b w:val="1"/>
                <w:bCs w:val="1"/>
                <w:color w:val="auto"/>
              </w:rPr>
              <w:t>Estimated</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gridSpan w:val="2"/>
          </w:tcPr>
          <w:p>
            <w:pPr>
              <w:jc w:val="center"/>
              <w:ind w:right="120"/>
              <w:spacing w:after="0" w:line="158" w:lineRule="exact"/>
              <w:rPr>
                <w:sz w:val="20"/>
                <w:szCs w:val="20"/>
                <w:color w:val="auto"/>
              </w:rPr>
            </w:pPr>
            <w:r>
              <w:rPr>
                <w:rFonts w:ascii="Times New Roman" w:cs="Times New Roman" w:eastAsia="Times New Roman" w:hAnsi="Times New Roman"/>
                <w:sz w:val="14"/>
                <w:szCs w:val="14"/>
                <w:b w:val="1"/>
                <w:bCs w:val="1"/>
                <w:color w:val="auto"/>
              </w:rPr>
              <w:t>No. of</w:t>
            </w:r>
          </w:p>
        </w:tc>
        <w:tc>
          <w:tcPr>
            <w:tcW w:w="160" w:type="dxa"/>
            <w:vAlign w:val="bottom"/>
          </w:tcPr>
          <w:p>
            <w:pPr>
              <w:spacing w:after="0"/>
              <w:rPr>
                <w:sz w:val="13"/>
                <w:szCs w:val="13"/>
                <w:color w:val="auto"/>
              </w:rPr>
            </w:pPr>
          </w:p>
        </w:tc>
        <w:tc>
          <w:tcPr>
            <w:tcW w:w="980" w:type="dxa"/>
            <w:vAlign w:val="bottom"/>
          </w:tcPr>
          <w:p>
            <w:pPr>
              <w:jc w:val="right"/>
              <w:ind w:right="208"/>
              <w:spacing w:after="0" w:line="158" w:lineRule="exact"/>
              <w:rPr>
                <w:sz w:val="20"/>
                <w:szCs w:val="20"/>
                <w:color w:val="auto"/>
              </w:rPr>
            </w:pPr>
            <w:r>
              <w:rPr>
                <w:rFonts w:ascii="Times New Roman" w:cs="Times New Roman" w:eastAsia="Times New Roman" w:hAnsi="Times New Roman"/>
                <w:sz w:val="14"/>
                <w:szCs w:val="14"/>
                <w:b w:val="1"/>
                <w:bCs w:val="1"/>
                <w:color w:val="auto"/>
              </w:rPr>
              <w:t>Estimated</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gridSpan w:val="2"/>
          </w:tcPr>
          <w:p>
            <w:pPr>
              <w:jc w:val="center"/>
              <w:ind w:right="140"/>
              <w:spacing w:after="0" w:line="158" w:lineRule="exact"/>
              <w:rPr>
                <w:sz w:val="20"/>
                <w:szCs w:val="20"/>
                <w:color w:val="auto"/>
              </w:rPr>
            </w:pPr>
            <w:r>
              <w:rPr>
                <w:rFonts w:ascii="Times New Roman" w:cs="Times New Roman" w:eastAsia="Times New Roman" w:hAnsi="Times New Roman"/>
                <w:sz w:val="14"/>
                <w:szCs w:val="14"/>
                <w:b w:val="1"/>
                <w:bCs w:val="1"/>
                <w:color w:val="auto"/>
              </w:rPr>
              <w:t>No. of</w:t>
            </w:r>
          </w:p>
        </w:tc>
        <w:tc>
          <w:tcPr>
            <w:tcW w:w="160" w:type="dxa"/>
            <w:vAlign w:val="bottom"/>
          </w:tcPr>
          <w:p>
            <w:pPr>
              <w:spacing w:after="0"/>
              <w:rPr>
                <w:sz w:val="13"/>
                <w:szCs w:val="13"/>
                <w:color w:val="auto"/>
              </w:rPr>
            </w:pPr>
          </w:p>
        </w:tc>
        <w:tc>
          <w:tcPr>
            <w:tcW w:w="1060" w:type="dxa"/>
            <w:vAlign w:val="bottom"/>
            <w:gridSpan w:val="2"/>
          </w:tcPr>
          <w:p>
            <w:pPr>
              <w:jc w:val="center"/>
              <w:ind w:right="280"/>
              <w:spacing w:after="0" w:line="158" w:lineRule="exact"/>
              <w:rPr>
                <w:sz w:val="20"/>
                <w:szCs w:val="20"/>
                <w:color w:val="auto"/>
              </w:rPr>
            </w:pPr>
            <w:r>
              <w:rPr>
                <w:rFonts w:ascii="Times New Roman" w:cs="Times New Roman" w:eastAsia="Times New Roman" w:hAnsi="Times New Roman"/>
                <w:sz w:val="14"/>
                <w:szCs w:val="14"/>
                <w:b w:val="1"/>
                <w:bCs w:val="1"/>
                <w:color w:val="auto"/>
              </w:rPr>
              <w:t>Estimated</w:t>
            </w:r>
          </w:p>
        </w:tc>
        <w:tc>
          <w:tcPr>
            <w:tcW w:w="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14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Category</w:t>
            </w:r>
          </w:p>
        </w:tc>
        <w:tc>
          <w:tcPr>
            <w:tcW w:w="100" w:type="dxa"/>
            <w:vAlign w:val="bottom"/>
            <w:vMerge w:val="restart"/>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Fair</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Positions</w:t>
            </w:r>
          </w:p>
        </w:tc>
        <w:tc>
          <w:tcPr>
            <w:tcW w:w="160" w:type="dxa"/>
            <w:vAlign w:val="bottom"/>
          </w:tcPr>
          <w:p>
            <w:pPr>
              <w:spacing w:after="0"/>
              <w:rPr>
                <w:sz w:val="15"/>
                <w:szCs w:val="15"/>
                <w:color w:val="auto"/>
              </w:rPr>
            </w:pPr>
          </w:p>
        </w:tc>
        <w:tc>
          <w:tcPr>
            <w:tcW w:w="980" w:type="dxa"/>
            <w:vAlign w:val="bottom"/>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Fair</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12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Positions</w:t>
            </w:r>
          </w:p>
        </w:tc>
        <w:tc>
          <w:tcPr>
            <w:tcW w:w="160" w:type="dxa"/>
            <w:vAlign w:val="bottom"/>
          </w:tcPr>
          <w:p>
            <w:pPr>
              <w:spacing w:after="0"/>
              <w:rPr>
                <w:sz w:val="15"/>
                <w:szCs w:val="15"/>
                <w:color w:val="auto"/>
              </w:rPr>
            </w:pPr>
          </w:p>
        </w:tc>
        <w:tc>
          <w:tcPr>
            <w:tcW w:w="10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Fair</w:t>
            </w:r>
          </w:p>
        </w:tc>
        <w:tc>
          <w:tcPr>
            <w:tcW w:w="180" w:type="dxa"/>
            <w:vAlign w:val="bottom"/>
          </w:tcPr>
          <w:p>
            <w:pPr>
              <w:spacing w:after="0"/>
              <w:rPr>
                <w:sz w:val="15"/>
                <w:szCs w:val="15"/>
                <w:color w:val="auto"/>
              </w:rPr>
            </w:pPr>
          </w:p>
        </w:tc>
        <w:tc>
          <w:tcPr>
            <w:tcW w:w="960" w:type="dxa"/>
            <w:vAlign w:val="bottom"/>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0" w:type="dxa"/>
            <w:vAlign w:val="bottom"/>
          </w:tcPr>
          <w:p>
            <w:pPr>
              <w:spacing w:after="0"/>
              <w:rPr>
                <w:sz w:val="1"/>
                <w:szCs w:val="1"/>
                <w:color w:val="auto"/>
              </w:rPr>
            </w:pPr>
          </w:p>
        </w:tc>
      </w:tr>
      <w:tr>
        <w:trPr>
          <w:trHeight w:val="198"/>
        </w:trPr>
        <w:tc>
          <w:tcPr>
            <w:tcW w:w="1480" w:type="dxa"/>
            <w:vAlign w:val="bottom"/>
            <w:tcBorders>
              <w:bottom w:val="single" w:sz="8" w:color="auto"/>
            </w:tcBorders>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Value</w:t>
            </w:r>
          </w:p>
        </w:tc>
        <w:tc>
          <w:tcPr>
            <w:tcW w:w="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00" w:type="dxa"/>
            <w:vAlign w:val="bottom"/>
          </w:tcPr>
          <w:p>
            <w:pPr>
              <w:spacing w:after="0"/>
              <w:rPr>
                <w:sz w:val="17"/>
                <w:szCs w:val="17"/>
                <w:color w:val="auto"/>
              </w:rPr>
            </w:pPr>
          </w:p>
        </w:tc>
        <w:tc>
          <w:tcPr>
            <w:tcW w:w="112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Held</w:t>
            </w:r>
          </w:p>
        </w:tc>
        <w:tc>
          <w:tcPr>
            <w:tcW w:w="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00" w:type="dxa"/>
            <w:vAlign w:val="bottom"/>
          </w:tcPr>
          <w:p>
            <w:pPr>
              <w:spacing w:after="0"/>
              <w:rPr>
                <w:sz w:val="17"/>
                <w:szCs w:val="17"/>
                <w:color w:val="auto"/>
              </w:rPr>
            </w:pPr>
          </w:p>
        </w:tc>
        <w:tc>
          <w:tcPr>
            <w:tcW w:w="112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Held</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Value</w:t>
            </w:r>
          </w:p>
        </w:tc>
        <w:tc>
          <w:tcPr>
            <w:tcW w:w="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0" w:type="dxa"/>
            <w:vAlign w:val="bottom"/>
          </w:tcPr>
          <w:p>
            <w:pPr>
              <w:spacing w:after="0"/>
              <w:rPr>
                <w:sz w:val="1"/>
                <w:szCs w:val="1"/>
                <w:color w:val="auto"/>
              </w:rPr>
            </w:pPr>
          </w:p>
        </w:tc>
      </w:tr>
      <w:tr>
        <w:trPr>
          <w:trHeight w:val="365"/>
        </w:trPr>
        <w:tc>
          <w:tcPr>
            <w:tcW w:w="15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Available-for-Sale</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15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Securities:</w:t>
            </w: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1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U.S. Treasury securities</w:t>
            </w: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and obligations of U.S.</w:t>
            </w: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government</w:t>
            </w: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1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corporations and</w:t>
            </w: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15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agencies</w:t>
            </w:r>
          </w:p>
        </w:tc>
        <w:tc>
          <w:tcPr>
            <w:tcW w:w="1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70"/>
        </w:trPr>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6"/>
        </w:trPr>
        <w:tc>
          <w:tcPr>
            <w:tcW w:w="1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Political subdivisions of</w:t>
            </w: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States, Territories and</w:t>
            </w: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15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Possessions</w:t>
            </w:r>
          </w:p>
        </w:tc>
        <w:tc>
          <w:tcPr>
            <w:tcW w:w="16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7,705,370</w:t>
            </w: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(73,589)</w:t>
            </w:r>
          </w:p>
        </w:tc>
        <w:tc>
          <w:tcPr>
            <w:tcW w:w="10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13,167,726</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(3,324,491)</w:t>
            </w:r>
          </w:p>
        </w:tc>
        <w:tc>
          <w:tcPr>
            <w:tcW w:w="10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20,873,096</w:t>
            </w: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(3,398,080)</w:t>
            </w:r>
          </w:p>
        </w:tc>
        <w:tc>
          <w:tcPr>
            <w:tcW w:w="0" w:type="dxa"/>
            <w:vAlign w:val="bottom"/>
          </w:tcPr>
          <w:p>
            <w:pPr>
              <w:spacing w:after="0"/>
              <w:rPr>
                <w:sz w:val="1"/>
                <w:szCs w:val="1"/>
                <w:color w:val="auto"/>
              </w:rPr>
            </w:pPr>
          </w:p>
        </w:tc>
      </w:tr>
      <w:tr>
        <w:trPr>
          <w:trHeight w:val="270"/>
        </w:trPr>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6"/>
        </w:trPr>
        <w:tc>
          <w:tcPr>
            <w:tcW w:w="1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Corporate and other</w:t>
            </w: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bonds industrial and</w:t>
            </w: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15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miscellaneous</w:t>
            </w:r>
          </w:p>
        </w:tc>
        <w:tc>
          <w:tcPr>
            <w:tcW w:w="16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51,411,296</w:t>
            </w: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(1,024,461)</w:t>
            </w:r>
          </w:p>
        </w:tc>
        <w:tc>
          <w:tcPr>
            <w:tcW w:w="10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60</w:t>
            </w: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55,381,083</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(4,690,597)</w:t>
            </w:r>
          </w:p>
        </w:tc>
        <w:tc>
          <w:tcPr>
            <w:tcW w:w="10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106,792,379</w:t>
            </w: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(5,715,058)</w:t>
            </w:r>
          </w:p>
        </w:tc>
        <w:tc>
          <w:tcPr>
            <w:tcW w:w="0" w:type="dxa"/>
            <w:vAlign w:val="bottom"/>
          </w:tcPr>
          <w:p>
            <w:pPr>
              <w:spacing w:after="0"/>
              <w:rPr>
                <w:sz w:val="1"/>
                <w:szCs w:val="1"/>
                <w:color w:val="auto"/>
              </w:rPr>
            </w:pPr>
          </w:p>
        </w:tc>
      </w:tr>
      <w:tr>
        <w:trPr>
          <w:trHeight w:val="216"/>
        </w:trPr>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1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Residential mortgage</w:t>
            </w: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and other asset backed</w:t>
            </w: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15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securities</w:t>
            </w:r>
          </w:p>
        </w:tc>
        <w:tc>
          <w:tcPr>
            <w:tcW w:w="16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19,315,521</w:t>
            </w: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(209,890)</w:t>
            </w:r>
          </w:p>
        </w:tc>
        <w:tc>
          <w:tcPr>
            <w:tcW w:w="10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22</w:t>
            </w: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35,206,442</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(6,211,339)</w:t>
            </w:r>
          </w:p>
        </w:tc>
        <w:tc>
          <w:tcPr>
            <w:tcW w:w="10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54,521,963</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(6,421,229)</w:t>
            </w:r>
          </w:p>
        </w:tc>
        <w:tc>
          <w:tcPr>
            <w:tcW w:w="0" w:type="dxa"/>
            <w:vAlign w:val="bottom"/>
          </w:tcPr>
          <w:p>
            <w:pPr>
              <w:spacing w:after="0"/>
              <w:rPr>
                <w:sz w:val="1"/>
                <w:szCs w:val="1"/>
                <w:color w:val="auto"/>
              </w:rPr>
            </w:pPr>
          </w:p>
        </w:tc>
      </w:tr>
      <w:tr>
        <w:trPr>
          <w:trHeight w:val="210"/>
        </w:trPr>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1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fixed-maturity</w:t>
            </w:r>
          </w:p>
        </w:tc>
        <w:tc>
          <w:tcPr>
            <w:tcW w:w="16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78,432,187</w:t>
            </w:r>
          </w:p>
        </w:tc>
        <w:tc>
          <w:tcPr>
            <w:tcW w:w="24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(1,307,940)</w:t>
            </w:r>
          </w:p>
        </w:tc>
        <w:tc>
          <w:tcPr>
            <w:tcW w:w="10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88</w:t>
            </w:r>
          </w:p>
        </w:tc>
        <w:tc>
          <w:tcPr>
            <w:tcW w:w="80" w:type="dxa"/>
            <w:vAlign w:val="bottom"/>
            <w:shd w:val="clear" w:color="auto" w:fill="CCEEFF"/>
          </w:tcPr>
          <w:p>
            <w:pPr>
              <w:spacing w:after="0"/>
              <w:rPr>
                <w:sz w:val="14"/>
                <w:szCs w:val="14"/>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103,755,251</w:t>
            </w:r>
          </w:p>
        </w:tc>
        <w:tc>
          <w:tcPr>
            <w:tcW w:w="26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(14,226,427)</w:t>
            </w:r>
          </w:p>
        </w:tc>
        <w:tc>
          <w:tcPr>
            <w:tcW w:w="10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w:t>
            </w:r>
          </w:p>
        </w:tc>
        <w:tc>
          <w:tcPr>
            <w:tcW w:w="100" w:type="dxa"/>
            <w:vAlign w:val="bottom"/>
            <w:shd w:val="clear" w:color="auto" w:fill="CCEEFF"/>
          </w:tcPr>
          <w:p>
            <w:pPr>
              <w:spacing w:after="0"/>
              <w:rPr>
                <w:sz w:val="14"/>
                <w:szCs w:val="14"/>
                <w:color w:val="auto"/>
              </w:rPr>
            </w:pPr>
          </w:p>
        </w:tc>
        <w:tc>
          <w:tcPr>
            <w:tcW w:w="16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182,187,438</w:t>
            </w:r>
          </w:p>
        </w:tc>
        <w:tc>
          <w:tcPr>
            <w:tcW w:w="80" w:type="dxa"/>
            <w:vAlign w:val="bottom"/>
            <w:shd w:val="clear" w:color="auto" w:fill="CCEEFF"/>
          </w:tcPr>
          <w:p>
            <w:pPr>
              <w:spacing w:after="0"/>
              <w:rPr>
                <w:sz w:val="14"/>
                <w:szCs w:val="14"/>
                <w:color w:val="auto"/>
              </w:rPr>
            </w:pPr>
          </w:p>
        </w:tc>
        <w:tc>
          <w:tcPr>
            <w:tcW w:w="18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(15,534,367)</w:t>
            </w:r>
          </w:p>
        </w:tc>
        <w:tc>
          <w:tcPr>
            <w:tcW w:w="0" w:type="dxa"/>
            <w:vAlign w:val="bottom"/>
          </w:tcPr>
          <w:p>
            <w:pPr>
              <w:spacing w:after="0"/>
              <w:rPr>
                <w:sz w:val="1"/>
                <w:szCs w:val="1"/>
                <w:color w:val="auto"/>
              </w:rPr>
            </w:pPr>
          </w:p>
        </w:tc>
      </w:tr>
      <w:tr>
        <w:trPr>
          <w:trHeight w:val="205"/>
        </w:trPr>
        <w:tc>
          <w:tcPr>
            <w:tcW w:w="1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securities</w:t>
            </w:r>
          </w:p>
        </w:tc>
        <w:tc>
          <w:tcPr>
            <w:tcW w:w="160" w:type="dxa"/>
            <w:vAlign w:val="bottom"/>
            <w:vMerge w:val="continue"/>
            <w:shd w:val="clear" w:color="auto" w:fill="CCEEFF"/>
          </w:tcPr>
          <w:p>
            <w:pPr>
              <w:spacing w:after="0"/>
              <w:rPr>
                <w:sz w:val="17"/>
                <w:szCs w:val="17"/>
                <w:color w:val="auto"/>
              </w:rPr>
            </w:pPr>
          </w:p>
        </w:tc>
        <w:tc>
          <w:tcPr>
            <w:tcW w:w="960" w:type="dxa"/>
            <w:vAlign w:val="bottom"/>
            <w:vMerge w:val="continue"/>
            <w:shd w:val="clear" w:color="auto" w:fill="CCEEFF"/>
          </w:tcPr>
          <w:p>
            <w:pPr>
              <w:spacing w:after="0"/>
              <w:rPr>
                <w:sz w:val="17"/>
                <w:szCs w:val="17"/>
                <w:color w:val="auto"/>
              </w:rPr>
            </w:pPr>
          </w:p>
        </w:tc>
        <w:tc>
          <w:tcPr>
            <w:tcW w:w="240" w:type="dxa"/>
            <w:vAlign w:val="bottom"/>
            <w:gridSpan w:val="2"/>
            <w:vMerge w:val="continue"/>
            <w:shd w:val="clear" w:color="auto" w:fill="CCEEFF"/>
          </w:tcPr>
          <w:p>
            <w:pPr>
              <w:spacing w:after="0"/>
              <w:rPr>
                <w:sz w:val="17"/>
                <w:szCs w:val="17"/>
                <w:color w:val="auto"/>
              </w:rPr>
            </w:pPr>
          </w:p>
        </w:tc>
        <w:tc>
          <w:tcPr>
            <w:tcW w:w="9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vMerge w:val="continue"/>
            <w:shd w:val="clear" w:color="auto" w:fill="CCEEFF"/>
          </w:tcPr>
          <w:p>
            <w:pPr>
              <w:spacing w:after="0"/>
              <w:rPr>
                <w:sz w:val="17"/>
                <w:szCs w:val="17"/>
                <w:color w:val="auto"/>
              </w:rPr>
            </w:pPr>
          </w:p>
        </w:tc>
        <w:tc>
          <w:tcPr>
            <w:tcW w:w="980" w:type="dxa"/>
            <w:vAlign w:val="bottom"/>
            <w:vMerge w:val="continue"/>
            <w:shd w:val="clear" w:color="auto" w:fill="CCEEFF"/>
          </w:tcPr>
          <w:p>
            <w:pPr>
              <w:spacing w:after="0"/>
              <w:rPr>
                <w:sz w:val="17"/>
                <w:szCs w:val="17"/>
                <w:color w:val="auto"/>
              </w:rPr>
            </w:pPr>
          </w:p>
        </w:tc>
        <w:tc>
          <w:tcPr>
            <w:tcW w:w="260" w:type="dxa"/>
            <w:vAlign w:val="bottom"/>
            <w:gridSpan w:val="2"/>
            <w:vMerge w:val="continue"/>
            <w:shd w:val="clear" w:color="auto" w:fill="CCEEFF"/>
          </w:tcPr>
          <w:p>
            <w:pPr>
              <w:spacing w:after="0"/>
              <w:rPr>
                <w:sz w:val="17"/>
                <w:szCs w:val="17"/>
                <w:color w:val="auto"/>
              </w:rPr>
            </w:pPr>
          </w:p>
        </w:tc>
        <w:tc>
          <w:tcPr>
            <w:tcW w:w="9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vMerge w:val="continue"/>
            <w:shd w:val="clear" w:color="auto" w:fill="CCEEFF"/>
          </w:tcPr>
          <w:p>
            <w:pPr>
              <w:spacing w:after="0"/>
              <w:rPr>
                <w:sz w:val="17"/>
                <w:szCs w:val="17"/>
                <w:color w:val="auto"/>
              </w:rPr>
            </w:pPr>
          </w:p>
        </w:tc>
        <w:tc>
          <w:tcPr>
            <w:tcW w:w="98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vMerge w:val="continue"/>
            <w:shd w:val="clear" w:color="auto" w:fill="CCEEFF"/>
          </w:tcPr>
          <w:p>
            <w:pPr>
              <w:spacing w:after="0"/>
              <w:rPr>
                <w:sz w:val="17"/>
                <w:szCs w:val="17"/>
                <w:color w:val="auto"/>
              </w:rPr>
            </w:pPr>
          </w:p>
        </w:tc>
        <w:tc>
          <w:tcPr>
            <w:tcW w:w="9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4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Fair Value Measurements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information about the Company’s investments that are measured at fair value on a recurring basis at March 31, 2025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2024 indicating the level of the fair value hierarchy of the valuation inputs the Company utilized to determine such fair value:</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02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2460" w:type="dxa"/>
            <w:vAlign w:val="bottom"/>
            <w:tcBorders>
              <w:bottom w:val="single" w:sz="8" w:color="auto"/>
            </w:tcBorders>
            <w:gridSpan w:val="3"/>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3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0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300" w:type="dxa"/>
            <w:vAlign w:val="bottom"/>
          </w:tcPr>
          <w:p>
            <w:pPr>
              <w:spacing w:after="0"/>
              <w:rPr>
                <w:sz w:val="21"/>
                <w:szCs w:val="21"/>
                <w:color w:val="auto"/>
              </w:rPr>
            </w:pPr>
          </w:p>
        </w:tc>
        <w:tc>
          <w:tcPr>
            <w:tcW w:w="128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18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506"/>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Fixed-maturity securities available-for-sale</w:t>
            </w:r>
          </w:p>
        </w:tc>
        <w:tc>
          <w:tcPr>
            <w:tcW w:w="30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Treasury securities and obligations of U.S. government</w:t>
            </w: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corporations and agencies</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4,991,750</w:t>
            </w: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97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4,991,750</w:t>
            </w:r>
          </w:p>
        </w:tc>
        <w:tc>
          <w:tcPr>
            <w:tcW w:w="0" w:type="dxa"/>
            <w:vAlign w:val="bottom"/>
          </w:tcPr>
          <w:p>
            <w:pPr>
              <w:spacing w:after="0"/>
              <w:rPr>
                <w:sz w:val="1"/>
                <w:szCs w:val="1"/>
                <w:color w:val="auto"/>
              </w:rPr>
            </w:pPr>
          </w:p>
        </w:tc>
      </w:tr>
      <w:tr>
        <w:trPr>
          <w:trHeight w:val="257"/>
        </w:trPr>
        <w:tc>
          <w:tcPr>
            <w:tcW w:w="50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7"/>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Political subdivisions of States, Territories and Possessions</w:t>
            </w:r>
          </w:p>
        </w:tc>
        <w:tc>
          <w:tcPr>
            <w:tcW w:w="30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21,384,042</w:t>
            </w:r>
          </w:p>
        </w:tc>
        <w:tc>
          <w:tcPr>
            <w:tcW w:w="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21,384,042</w:t>
            </w:r>
          </w:p>
        </w:tc>
        <w:tc>
          <w:tcPr>
            <w:tcW w:w="0" w:type="dxa"/>
            <w:vAlign w:val="bottom"/>
          </w:tcPr>
          <w:p>
            <w:pPr>
              <w:spacing w:after="0"/>
              <w:rPr>
                <w:sz w:val="1"/>
                <w:szCs w:val="1"/>
                <w:color w:val="auto"/>
              </w:rPr>
            </w:pPr>
          </w:p>
        </w:tc>
      </w:tr>
      <w:tr>
        <w:trPr>
          <w:trHeight w:val="256"/>
        </w:trPr>
        <w:tc>
          <w:tcPr>
            <w:tcW w:w="50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7"/>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and other bonds industrial and miscellaneous</w:t>
            </w:r>
          </w:p>
        </w:tc>
        <w:tc>
          <w:tcPr>
            <w:tcW w:w="30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105,136,971</w:t>
            </w:r>
          </w:p>
        </w:tc>
        <w:tc>
          <w:tcPr>
            <w:tcW w:w="8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105,136,971</w:t>
            </w:r>
          </w:p>
        </w:tc>
        <w:tc>
          <w:tcPr>
            <w:tcW w:w="0" w:type="dxa"/>
            <w:vAlign w:val="bottom"/>
          </w:tcPr>
          <w:p>
            <w:pPr>
              <w:spacing w:after="0"/>
              <w:rPr>
                <w:sz w:val="1"/>
                <w:szCs w:val="1"/>
                <w:color w:val="auto"/>
              </w:rPr>
            </w:pPr>
          </w:p>
        </w:tc>
      </w:tr>
      <w:tr>
        <w:trPr>
          <w:trHeight w:val="256"/>
        </w:trPr>
        <w:tc>
          <w:tcPr>
            <w:tcW w:w="50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7"/>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Residential mortgage and other asset backed securities</w:t>
            </w:r>
          </w:p>
        </w:tc>
        <w:tc>
          <w:tcPr>
            <w:tcW w:w="300" w:type="dxa"/>
            <w:vAlign w:val="bottom"/>
            <w:tcBorders>
              <w:bottom w:val="single" w:sz="8" w:color="auto"/>
            </w:tcBorders>
            <w:shd w:val="clear" w:color="auto" w:fill="CCEEFF"/>
          </w:tcPr>
          <w:p>
            <w:pPr>
              <w:spacing w:after="0"/>
              <w:rPr>
                <w:sz w:val="24"/>
                <w:szCs w:val="2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72,769,606</w:t>
            </w:r>
          </w:p>
        </w:tc>
        <w:tc>
          <w:tcPr>
            <w:tcW w:w="80" w:type="dxa"/>
            <w:vAlign w:val="bottom"/>
            <w:shd w:val="clear" w:color="auto" w:fill="CCEEFF"/>
          </w:tcPr>
          <w:p>
            <w:pPr>
              <w:spacing w:after="0"/>
              <w:rPr>
                <w:sz w:val="24"/>
                <w:szCs w:val="24"/>
                <w:color w:val="auto"/>
              </w:rPr>
            </w:pPr>
          </w:p>
        </w:tc>
        <w:tc>
          <w:tcPr>
            <w:tcW w:w="1180" w:type="dxa"/>
            <w:vAlign w:val="bottom"/>
            <w:tcBorders>
              <w:bottom w:val="single" w:sz="8" w:color="auto"/>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100" w:type="dxa"/>
            <w:vAlign w:val="bottom"/>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72,769,606</w:t>
            </w:r>
          </w:p>
        </w:tc>
        <w:tc>
          <w:tcPr>
            <w:tcW w:w="0" w:type="dxa"/>
            <w:vAlign w:val="bottom"/>
          </w:tcPr>
          <w:p>
            <w:pPr>
              <w:spacing w:after="0"/>
              <w:rPr>
                <w:sz w:val="1"/>
                <w:szCs w:val="1"/>
                <w:color w:val="auto"/>
              </w:rPr>
            </w:pPr>
          </w:p>
        </w:tc>
      </w:tr>
      <w:tr>
        <w:trPr>
          <w:trHeight w:val="284"/>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fixed maturities</w:t>
            </w:r>
          </w:p>
        </w:tc>
        <w:tc>
          <w:tcPr>
            <w:tcW w:w="30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110,128,721</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94,153,648</w:t>
            </w:r>
          </w:p>
        </w:tc>
        <w:tc>
          <w:tcPr>
            <w:tcW w:w="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204,282,369</w:t>
            </w:r>
          </w:p>
        </w:tc>
        <w:tc>
          <w:tcPr>
            <w:tcW w:w="0" w:type="dxa"/>
            <w:vAlign w:val="bottom"/>
          </w:tcPr>
          <w:p>
            <w:pPr>
              <w:spacing w:after="0"/>
              <w:rPr>
                <w:sz w:val="1"/>
                <w:szCs w:val="1"/>
                <w:color w:val="auto"/>
              </w:rPr>
            </w:pPr>
          </w:p>
        </w:tc>
      </w:tr>
      <w:tr>
        <w:trPr>
          <w:trHeight w:val="304"/>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Equity securities</w:t>
            </w:r>
          </w:p>
        </w:tc>
        <w:tc>
          <w:tcPr>
            <w:tcW w:w="300" w:type="dxa"/>
            <w:vAlign w:val="bottom"/>
            <w:tcBorders>
              <w:bottom w:val="single" w:sz="8" w:color="auto"/>
            </w:tcBorders>
            <w:shd w:val="clear" w:color="auto" w:fill="CCEEFF"/>
          </w:tcPr>
          <w:p>
            <w:pPr>
              <w:spacing w:after="0"/>
              <w:rPr>
                <w:sz w:val="24"/>
                <w:szCs w:val="2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10,103,175</w:t>
            </w:r>
          </w:p>
        </w:tc>
        <w:tc>
          <w:tcPr>
            <w:tcW w:w="80" w:type="dxa"/>
            <w:vAlign w:val="bottom"/>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4"/>
                <w:szCs w:val="24"/>
                <w:color w:val="auto"/>
              </w:rPr>
            </w:pPr>
          </w:p>
        </w:tc>
        <w:tc>
          <w:tcPr>
            <w:tcW w:w="1180" w:type="dxa"/>
            <w:vAlign w:val="bottom"/>
            <w:tcBorders>
              <w:bottom w:val="single" w:sz="8" w:color="auto"/>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100" w:type="dxa"/>
            <w:vAlign w:val="bottom"/>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10,103,175</w:t>
            </w:r>
          </w:p>
        </w:tc>
        <w:tc>
          <w:tcPr>
            <w:tcW w:w="0" w:type="dxa"/>
            <w:vAlign w:val="bottom"/>
          </w:tcPr>
          <w:p>
            <w:pPr>
              <w:spacing w:after="0"/>
              <w:rPr>
                <w:sz w:val="1"/>
                <w:szCs w:val="1"/>
                <w:color w:val="auto"/>
              </w:rPr>
            </w:pPr>
          </w:p>
        </w:tc>
      </w:tr>
      <w:tr>
        <w:trPr>
          <w:trHeight w:val="243"/>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investments, at fair value</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120,231,896</w:t>
            </w:r>
          </w:p>
        </w:tc>
        <w:tc>
          <w:tcPr>
            <w:tcW w:w="80" w:type="dxa"/>
            <w:vAlign w:val="bottom"/>
          </w:tcPr>
          <w:p>
            <w:pPr>
              <w:spacing w:after="0"/>
              <w:rPr>
                <w:sz w:val="21"/>
                <w:szCs w:val="21"/>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94,153,648</w:t>
            </w:r>
          </w:p>
        </w:tc>
        <w:tc>
          <w:tcPr>
            <w:tcW w:w="80" w:type="dxa"/>
            <w:vAlign w:val="bottom"/>
          </w:tcPr>
          <w:p>
            <w:pPr>
              <w:spacing w:after="0"/>
              <w:rPr>
                <w:sz w:val="21"/>
                <w:szCs w:val="21"/>
                <w:color w:val="auto"/>
              </w:rPr>
            </w:pPr>
          </w:p>
        </w:tc>
        <w:tc>
          <w:tcPr>
            <w:tcW w:w="1180" w:type="dxa"/>
            <w:vAlign w:val="bottom"/>
            <w:tcBorders>
              <w:bottom w:val="single" w:sz="8" w:color="auto"/>
            </w:tcBorders>
          </w:tcPr>
          <w:p>
            <w:pPr>
              <w:jc w:val="right"/>
              <w:ind w:right="97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214,385,544</w:t>
            </w:r>
          </w:p>
        </w:tc>
        <w:tc>
          <w:tcPr>
            <w:tcW w:w="0" w:type="dxa"/>
            <w:vAlign w:val="bottom"/>
          </w:tcPr>
          <w:p>
            <w:pPr>
              <w:spacing w:after="0"/>
              <w:rPr>
                <w:sz w:val="1"/>
                <w:szCs w:val="1"/>
                <w:color w:val="auto"/>
              </w:rPr>
            </w:pPr>
          </w:p>
        </w:tc>
      </w:tr>
      <w:tr>
        <w:trPr>
          <w:trHeight w:val="27"/>
        </w:trPr>
        <w:tc>
          <w:tcPr>
            <w:tcW w:w="50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00"/>
        </w:trPr>
        <w:tc>
          <w:tcPr>
            <w:tcW w:w="50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gridSpan w:val="3"/>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0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300" w:type="dxa"/>
            <w:vAlign w:val="bottom"/>
          </w:tcPr>
          <w:p>
            <w:pPr>
              <w:spacing w:after="0"/>
              <w:rPr>
                <w:sz w:val="21"/>
                <w:szCs w:val="21"/>
                <w:color w:val="auto"/>
              </w:rPr>
            </w:pPr>
          </w:p>
        </w:tc>
        <w:tc>
          <w:tcPr>
            <w:tcW w:w="128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18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506"/>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Fixed-maturity securities available-for-sale</w:t>
            </w:r>
          </w:p>
        </w:tc>
        <w:tc>
          <w:tcPr>
            <w:tcW w:w="30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1"/>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Treasury securities and obligations of U.S. government</w:t>
            </w:r>
          </w:p>
        </w:tc>
        <w:tc>
          <w:tcPr>
            <w:tcW w:w="300" w:type="dxa"/>
            <w:vAlign w:val="bottom"/>
            <w:vMerge w:val="restart"/>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300" w:type="dxa"/>
            <w:vAlign w:val="bottom"/>
            <w:vMerge w:val="restart"/>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180" w:type="dxa"/>
            <w:vAlign w:val="bottom"/>
            <w:vMerge w:val="restart"/>
            <w:shd w:val="clear" w:color="auto" w:fill="CCEEFF"/>
          </w:tcPr>
          <w:p>
            <w:pPr>
              <w:jc w:val="right"/>
              <w:ind w:right="97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300" w:type="dxa"/>
            <w:vAlign w:val="bottom"/>
            <w:vMerge w:val="restart"/>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corporations and agencies</w:t>
            </w:r>
          </w:p>
        </w:tc>
        <w:tc>
          <w:tcPr>
            <w:tcW w:w="300" w:type="dxa"/>
            <w:vAlign w:val="bottom"/>
            <w:vMerge w:val="continue"/>
            <w:shd w:val="clear" w:color="auto" w:fill="CCEEFF"/>
          </w:tcPr>
          <w:p>
            <w:pPr>
              <w:spacing w:after="0"/>
              <w:rPr>
                <w:sz w:val="20"/>
                <w:szCs w:val="20"/>
                <w:color w:val="auto"/>
              </w:rPr>
            </w:pPr>
          </w:p>
        </w:tc>
        <w:tc>
          <w:tcPr>
            <w:tcW w:w="120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00" w:type="dxa"/>
            <w:vAlign w:val="bottom"/>
            <w:vMerge w:val="continue"/>
            <w:shd w:val="clear" w:color="auto" w:fill="CCEEFF"/>
          </w:tcPr>
          <w:p>
            <w:pPr>
              <w:spacing w:after="0"/>
              <w:rPr>
                <w:sz w:val="20"/>
                <w:szCs w:val="20"/>
                <w:color w:val="auto"/>
              </w:rPr>
            </w:pPr>
          </w:p>
        </w:tc>
        <w:tc>
          <w:tcPr>
            <w:tcW w:w="120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180" w:type="dxa"/>
            <w:vAlign w:val="bottom"/>
            <w:vMerge w:val="continue"/>
            <w:shd w:val="clear" w:color="auto" w:fill="CCEEFF"/>
          </w:tcPr>
          <w:p>
            <w:pPr>
              <w:spacing w:after="0"/>
              <w:rPr>
                <w:sz w:val="20"/>
                <w:szCs w:val="20"/>
                <w:color w:val="auto"/>
              </w:rPr>
            </w:pPr>
          </w:p>
        </w:tc>
        <w:tc>
          <w:tcPr>
            <w:tcW w:w="30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vMerge w:val="continue"/>
            <w:shd w:val="clear" w:color="auto" w:fill="CCEEFF"/>
          </w:tcPr>
          <w:p>
            <w:pPr>
              <w:spacing w:after="0"/>
              <w:rPr>
                <w:sz w:val="20"/>
                <w:szCs w:val="20"/>
                <w:color w:val="auto"/>
              </w:rPr>
            </w:pPr>
          </w:p>
        </w:tc>
        <w:tc>
          <w:tcPr>
            <w:tcW w:w="118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50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Political subdivisions of States, Territories and Possessions</w:t>
            </w:r>
          </w:p>
        </w:tc>
        <w:tc>
          <w:tcPr>
            <w:tcW w:w="30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20,873,097</w:t>
            </w:r>
          </w:p>
        </w:tc>
        <w:tc>
          <w:tcPr>
            <w:tcW w:w="8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20,873,097</w:t>
            </w:r>
          </w:p>
        </w:tc>
        <w:tc>
          <w:tcPr>
            <w:tcW w:w="0" w:type="dxa"/>
            <w:vAlign w:val="bottom"/>
          </w:tcPr>
          <w:p>
            <w:pPr>
              <w:spacing w:after="0"/>
              <w:rPr>
                <w:sz w:val="1"/>
                <w:szCs w:val="1"/>
                <w:color w:val="auto"/>
              </w:rPr>
            </w:pPr>
          </w:p>
        </w:tc>
      </w:tr>
      <w:tr>
        <w:trPr>
          <w:trHeight w:val="257"/>
        </w:trPr>
        <w:tc>
          <w:tcPr>
            <w:tcW w:w="50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and other bonds industrial and miscellaneous</w:t>
            </w:r>
          </w:p>
        </w:tc>
        <w:tc>
          <w:tcPr>
            <w:tcW w:w="30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106,792,378</w:t>
            </w:r>
          </w:p>
        </w:tc>
        <w:tc>
          <w:tcPr>
            <w:tcW w:w="8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106,792,378</w:t>
            </w:r>
          </w:p>
        </w:tc>
        <w:tc>
          <w:tcPr>
            <w:tcW w:w="0" w:type="dxa"/>
            <w:vAlign w:val="bottom"/>
          </w:tcPr>
          <w:p>
            <w:pPr>
              <w:spacing w:after="0"/>
              <w:rPr>
                <w:sz w:val="1"/>
                <w:szCs w:val="1"/>
                <w:color w:val="auto"/>
              </w:rPr>
            </w:pPr>
          </w:p>
        </w:tc>
      </w:tr>
      <w:tr>
        <w:trPr>
          <w:trHeight w:val="257"/>
        </w:trPr>
        <w:tc>
          <w:tcPr>
            <w:tcW w:w="50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Residential mortgage and other asset backed securities</w:t>
            </w:r>
          </w:p>
        </w:tc>
        <w:tc>
          <w:tcPr>
            <w:tcW w:w="30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59,227,963</w:t>
            </w:r>
          </w:p>
        </w:tc>
        <w:tc>
          <w:tcPr>
            <w:tcW w:w="80" w:type="dxa"/>
            <w:vAlign w:val="bottom"/>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59,227,963</w:t>
            </w:r>
          </w:p>
        </w:tc>
        <w:tc>
          <w:tcPr>
            <w:tcW w:w="0" w:type="dxa"/>
            <w:vAlign w:val="bottom"/>
          </w:tcPr>
          <w:p>
            <w:pPr>
              <w:spacing w:after="0"/>
              <w:rPr>
                <w:sz w:val="1"/>
                <w:szCs w:val="1"/>
                <w:color w:val="auto"/>
              </w:rPr>
            </w:pPr>
          </w:p>
        </w:tc>
      </w:tr>
      <w:tr>
        <w:trPr>
          <w:trHeight w:val="243"/>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fixed maturities</w:t>
            </w:r>
          </w:p>
        </w:tc>
        <w:tc>
          <w:tcPr>
            <w:tcW w:w="3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106,792,378</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80,101,060</w:t>
            </w:r>
          </w:p>
        </w:tc>
        <w:tc>
          <w:tcPr>
            <w:tcW w:w="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186,893,438</w:t>
            </w:r>
          </w:p>
        </w:tc>
        <w:tc>
          <w:tcPr>
            <w:tcW w:w="0" w:type="dxa"/>
            <w:vAlign w:val="bottom"/>
          </w:tcPr>
          <w:p>
            <w:pPr>
              <w:spacing w:after="0"/>
              <w:rPr>
                <w:sz w:val="1"/>
                <w:szCs w:val="1"/>
                <w:color w:val="auto"/>
              </w:rPr>
            </w:pPr>
          </w:p>
        </w:tc>
      </w:tr>
      <w:tr>
        <w:trPr>
          <w:trHeight w:val="263"/>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Equity securities</w:t>
            </w:r>
          </w:p>
        </w:tc>
        <w:tc>
          <w:tcPr>
            <w:tcW w:w="30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10,296,505</w:t>
            </w:r>
          </w:p>
        </w:tc>
        <w:tc>
          <w:tcPr>
            <w:tcW w:w="8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10,296,505</w:t>
            </w:r>
          </w:p>
        </w:tc>
        <w:tc>
          <w:tcPr>
            <w:tcW w:w="0" w:type="dxa"/>
            <w:vAlign w:val="bottom"/>
          </w:tcPr>
          <w:p>
            <w:pPr>
              <w:spacing w:after="0"/>
              <w:rPr>
                <w:sz w:val="1"/>
                <w:szCs w:val="1"/>
                <w:color w:val="auto"/>
              </w:rPr>
            </w:pPr>
          </w:p>
        </w:tc>
      </w:tr>
      <w:tr>
        <w:trPr>
          <w:trHeight w:val="243"/>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investments, at fair value</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117,088,883</w:t>
            </w:r>
          </w:p>
        </w:tc>
        <w:tc>
          <w:tcPr>
            <w:tcW w:w="80" w:type="dxa"/>
            <w:vAlign w:val="bottom"/>
          </w:tcPr>
          <w:p>
            <w:pPr>
              <w:spacing w:after="0"/>
              <w:rPr>
                <w:sz w:val="21"/>
                <w:szCs w:val="21"/>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80,101,060</w:t>
            </w:r>
          </w:p>
        </w:tc>
        <w:tc>
          <w:tcPr>
            <w:tcW w:w="80" w:type="dxa"/>
            <w:vAlign w:val="bottom"/>
          </w:tcPr>
          <w:p>
            <w:pPr>
              <w:spacing w:after="0"/>
              <w:rPr>
                <w:sz w:val="21"/>
                <w:szCs w:val="21"/>
                <w:color w:val="auto"/>
              </w:rPr>
            </w:pPr>
          </w:p>
        </w:tc>
        <w:tc>
          <w:tcPr>
            <w:tcW w:w="1180" w:type="dxa"/>
            <w:vAlign w:val="bottom"/>
            <w:tcBorders>
              <w:bottom w:val="single" w:sz="8" w:color="auto"/>
            </w:tcBorders>
          </w:tcPr>
          <w:p>
            <w:pPr>
              <w:jc w:val="right"/>
              <w:ind w:right="97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197,189,943</w:t>
            </w:r>
          </w:p>
        </w:tc>
        <w:tc>
          <w:tcPr>
            <w:tcW w:w="0" w:type="dxa"/>
            <w:vAlign w:val="bottom"/>
          </w:tcPr>
          <w:p>
            <w:pPr>
              <w:spacing w:after="0"/>
              <w:rPr>
                <w:sz w:val="1"/>
                <w:szCs w:val="1"/>
                <w:color w:val="auto"/>
              </w:rPr>
            </w:pPr>
          </w:p>
        </w:tc>
      </w:tr>
      <w:tr>
        <w:trPr>
          <w:trHeight w:val="27"/>
        </w:trPr>
        <w:tc>
          <w:tcPr>
            <w:tcW w:w="50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912"/>
        </w:trPr>
        <w:tc>
          <w:tcPr>
            <w:tcW w:w="5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jc w:val="right"/>
              <w:ind w:right="710"/>
              <w:spacing w:after="0"/>
              <w:rPr>
                <w:sz w:val="20"/>
                <w:szCs w:val="20"/>
                <w:color w:val="auto"/>
              </w:rPr>
            </w:pPr>
            <w:r>
              <w:rPr>
                <w:rFonts w:ascii="Times New Roman" w:cs="Times New Roman" w:eastAsia="Times New Roman" w:hAnsi="Times New Roman"/>
                <w:sz w:val="18"/>
                <w:szCs w:val="18"/>
                <w:color w:val="auto"/>
              </w:rPr>
              <w:t>20</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502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120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120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18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118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 sets forth the Company’s investment in a hedge fund measured at Net Asset Value (“NAV”) per share as of March 31, 2025 and December 31, 2024. The Company measures this investment at fair value on a recurring basis. Fair value using NAV per share is as follows as of the dates indicated: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45"/>
        </w:trPr>
        <w:tc>
          <w:tcPr>
            <w:tcW w:w="8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Category</w:t>
            </w:r>
          </w:p>
        </w:tc>
        <w:tc>
          <w:tcPr>
            <w:tcW w:w="1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1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452"/>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Other Investments</w:t>
            </w: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82"/>
        </w:trPr>
        <w:tc>
          <w:tcPr>
            <w:tcW w:w="81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Hedge fund</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4,437,733</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4,380,656</w:t>
            </w:r>
          </w:p>
        </w:tc>
      </w:tr>
      <w:tr>
        <w:trPr>
          <w:trHeight w:val="20"/>
        </w:trPr>
        <w:tc>
          <w:tcPr>
            <w:tcW w:w="8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hedge fund investment is generally redeemable with at least 45 days prior written notice. The hedge fund investment is accounted for as a limited partnership by the Company. Income is earned based upon the Company’s allocated share of the partnership's changes in unrealized gains and losses to its partners. Such amounts have been recorded in the condensed consolidated statements of income and comprehensive income within net (losses) gains on investments.</w:t>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Fair Value of Financial Instruments and Real Estate</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estimated fair values of the Company’s financial instruments and real estate, including their fair value level as of March 31, 2025 and December 31, 2024 are as follows: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0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940" w:type="dxa"/>
            <w:vAlign w:val="bottom"/>
            <w:tcBorders>
              <w:bottom w:val="single" w:sz="8" w:color="auto"/>
            </w:tcBorders>
            <w:gridSpan w:val="4"/>
          </w:tcPr>
          <w:p>
            <w:pPr>
              <w:jc w:val="right"/>
              <w:ind w:right="850"/>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1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940" w:type="dxa"/>
            <w:vAlign w:val="bottom"/>
            <w:tcBorders>
              <w:bottom w:val="single" w:sz="8" w:color="auto"/>
            </w:tcBorders>
            <w:gridSpan w:val="4"/>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December 31, 2024</w:t>
            </w:r>
          </w:p>
        </w:tc>
      </w:tr>
      <w:tr>
        <w:trPr>
          <w:trHeight w:val="250"/>
        </w:trPr>
        <w:tc>
          <w:tcPr>
            <w:tcW w:w="5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Carrying Value</w:t>
            </w:r>
          </w:p>
        </w:tc>
        <w:tc>
          <w:tcPr>
            <w:tcW w:w="220" w:type="dxa"/>
            <w:vAlign w:val="bottom"/>
          </w:tcPr>
          <w:p>
            <w:pPr>
              <w:spacing w:after="0"/>
              <w:rPr>
                <w:sz w:val="21"/>
                <w:szCs w:val="21"/>
                <w:color w:val="auto"/>
              </w:rPr>
            </w:pPr>
          </w:p>
        </w:tc>
        <w:tc>
          <w:tcPr>
            <w:tcW w:w="136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20" w:type="dxa"/>
            <w:vAlign w:val="bottom"/>
          </w:tcPr>
          <w:p>
            <w:pPr>
              <w:spacing w:after="0"/>
              <w:rPr>
                <w:sz w:val="21"/>
                <w:szCs w:val="21"/>
                <w:color w:val="auto"/>
              </w:rPr>
            </w:pPr>
          </w:p>
        </w:tc>
        <w:tc>
          <w:tcPr>
            <w:tcW w:w="14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Carrying Value</w:t>
            </w:r>
          </w:p>
        </w:tc>
        <w:tc>
          <w:tcPr>
            <w:tcW w:w="220" w:type="dxa"/>
            <w:vAlign w:val="bottom"/>
          </w:tcPr>
          <w:p>
            <w:pPr>
              <w:spacing w:after="0"/>
              <w:rPr>
                <w:sz w:val="21"/>
                <w:szCs w:val="21"/>
                <w:color w:val="auto"/>
              </w:rPr>
            </w:pPr>
          </w:p>
        </w:tc>
        <w:tc>
          <w:tcPr>
            <w:tcW w:w="126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Fair Value</w:t>
            </w:r>
          </w:p>
        </w:tc>
      </w:tr>
      <w:tr>
        <w:trPr>
          <w:trHeight w:val="257"/>
        </w:trPr>
        <w:tc>
          <w:tcPr>
            <w:tcW w:w="502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3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12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3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1260" w:type="dxa"/>
            <w:vAlign w:val="bottom"/>
            <w:tcBorders>
              <w:top w:val="single" w:sz="8" w:color="auto"/>
            </w:tcBorders>
          </w:tcPr>
          <w:p>
            <w:pPr>
              <w:spacing w:after="0"/>
              <w:rPr>
                <w:sz w:val="22"/>
                <w:szCs w:val="22"/>
                <w:color w:val="auto"/>
              </w:rPr>
            </w:pPr>
          </w:p>
        </w:tc>
      </w:tr>
      <w:tr>
        <w:trPr>
          <w:trHeight w:val="256"/>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Fixed-maturity securities, held-to maturity, Level 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7,046,023</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5,976,487</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7,047,342</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5,959,265</w:t>
            </w:r>
          </w:p>
        </w:tc>
      </w:tr>
      <w:tr>
        <w:trPr>
          <w:trHeight w:val="250"/>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Fixed-maturity securities, available-for-sale, Level 1</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110,128,721</w:t>
            </w:r>
          </w:p>
        </w:tc>
        <w:tc>
          <w:tcPr>
            <w:tcW w:w="10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110,128,721</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106,792,378</w:t>
            </w:r>
          </w:p>
        </w:tc>
        <w:tc>
          <w:tcPr>
            <w:tcW w:w="10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106,792,378</w:t>
            </w:r>
          </w:p>
        </w:tc>
      </w:tr>
      <w:tr>
        <w:trPr>
          <w:trHeight w:val="263"/>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Fixed-maturity securities, available-for-sale, Level 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94,153,648</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94,153,648</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80,101,060</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80,101,060</w:t>
            </w:r>
          </w:p>
        </w:tc>
      </w:tr>
      <w:tr>
        <w:trPr>
          <w:trHeight w:val="250"/>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 Level 1</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37,490,182</w:t>
            </w:r>
          </w:p>
        </w:tc>
        <w:tc>
          <w:tcPr>
            <w:tcW w:w="10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37,490,182</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28,669,441</w:t>
            </w:r>
          </w:p>
        </w:tc>
        <w:tc>
          <w:tcPr>
            <w:tcW w:w="10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28,669,441</w:t>
            </w:r>
          </w:p>
        </w:tc>
      </w:tr>
      <w:tr>
        <w:trPr>
          <w:trHeight w:val="263"/>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Premiums receivable, net, Level 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17,012,840</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17,012,840</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21,766,988</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21,766,988</w:t>
            </w:r>
          </w:p>
        </w:tc>
      </w:tr>
      <w:tr>
        <w:trPr>
          <w:trHeight w:val="250"/>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Reinsurance receivables, net, Level 3</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60,818,148</w:t>
            </w:r>
          </w:p>
        </w:tc>
        <w:tc>
          <w:tcPr>
            <w:tcW w:w="10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60,818,148</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69,322,436</w:t>
            </w:r>
          </w:p>
        </w:tc>
        <w:tc>
          <w:tcPr>
            <w:tcW w:w="10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69,322,436</w:t>
            </w:r>
          </w:p>
        </w:tc>
      </w:tr>
      <w:tr>
        <w:trPr>
          <w:trHeight w:val="263"/>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Real estate, net of accumulated depreciation, Level 3 (1)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460,031</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940,000</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1,913,390</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3,540,000</w:t>
            </w:r>
          </w:p>
        </w:tc>
      </w:tr>
      <w:tr>
        <w:trPr>
          <w:trHeight w:val="250"/>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Reinsurance balances payable, Level 3</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5,815,948</w:t>
            </w:r>
          </w:p>
        </w:tc>
        <w:tc>
          <w:tcPr>
            <w:tcW w:w="10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5,815,948</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10,509,121</w:t>
            </w:r>
          </w:p>
        </w:tc>
        <w:tc>
          <w:tcPr>
            <w:tcW w:w="10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10,509,121</w:t>
            </w:r>
          </w:p>
        </w:tc>
      </w:tr>
      <w:tr>
        <w:trPr>
          <w:trHeight w:val="263"/>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Debt - 13.75 Senior Notes due 2026, Level 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5,508,000</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5,553,785</w:t>
            </w:r>
          </w:p>
        </w:tc>
      </w:tr>
    </w:tbl>
    <w:p>
      <w:pPr>
        <w:spacing w:after="0" w:line="279" w:lineRule="exact"/>
        <w:rPr>
          <w:sz w:val="20"/>
          <w:szCs w:val="20"/>
          <w:color w:val="auto"/>
        </w:rPr>
      </w:pPr>
    </w:p>
    <w:p>
      <w:pPr>
        <w:ind w:firstLine="8"/>
        <w:spacing w:after="0" w:line="242" w:lineRule="auto"/>
        <w:tabs>
          <w:tab w:leader="none" w:pos="2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2024, real estate consisted of a complex which included an office building, a house and vacant land located in Kingston, New York. In March 2025, the office building and house were sold, leaving the vacant land as the only remaining real estate as of March 31, 2025. See Note 14 - Sale of Real Estate.</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Note 6 – Property and Casualty Insurance Activity</w:t>
            </w: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392"/>
        </w:trPr>
        <w:tc>
          <w:tcPr>
            <w:tcW w:w="1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Premiums Earned</w:t>
            </w:r>
          </w:p>
        </w:tc>
        <w:tc>
          <w:tcPr>
            <w:tcW w:w="3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453"/>
        </w:trPr>
        <w:tc>
          <w:tcPr>
            <w:tcW w:w="5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Premiums written, ceded and earned are as follows:</w:t>
            </w: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493"/>
        </w:trPr>
        <w:tc>
          <w:tcPr>
            <w:tcW w:w="130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8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Direct</w:t>
            </w:r>
          </w:p>
        </w:tc>
        <w:tc>
          <w:tcPr>
            <w:tcW w:w="240" w:type="dxa"/>
            <w:vAlign w:val="bottom"/>
          </w:tcPr>
          <w:p>
            <w:pPr>
              <w:spacing w:after="0"/>
              <w:rPr>
                <w:sz w:val="24"/>
                <w:szCs w:val="24"/>
                <w:color w:val="auto"/>
              </w:rPr>
            </w:pPr>
          </w:p>
        </w:tc>
        <w:tc>
          <w:tcPr>
            <w:tcW w:w="134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Assumed</w:t>
            </w:r>
          </w:p>
        </w:tc>
        <w:tc>
          <w:tcPr>
            <w:tcW w:w="300" w:type="dxa"/>
            <w:vAlign w:val="bottom"/>
          </w:tcPr>
          <w:p>
            <w:pPr>
              <w:spacing w:after="0"/>
              <w:rPr>
                <w:sz w:val="24"/>
                <w:szCs w:val="24"/>
                <w:color w:val="auto"/>
              </w:rPr>
            </w:pPr>
          </w:p>
        </w:tc>
        <w:tc>
          <w:tcPr>
            <w:tcW w:w="128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Ceded</w:t>
            </w:r>
          </w:p>
        </w:tc>
        <w:tc>
          <w:tcPr>
            <w:tcW w:w="320" w:type="dxa"/>
            <w:vAlign w:val="bottom"/>
          </w:tcPr>
          <w:p>
            <w:pPr>
              <w:spacing w:after="0"/>
              <w:rPr>
                <w:sz w:val="24"/>
                <w:szCs w:val="24"/>
                <w:color w:val="auto"/>
              </w:rPr>
            </w:pPr>
          </w:p>
        </w:tc>
        <w:tc>
          <w:tcPr>
            <w:tcW w:w="116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Net</w:t>
            </w:r>
          </w:p>
        </w:tc>
      </w:tr>
      <w:tr>
        <w:trPr>
          <w:trHeight w:val="506"/>
        </w:trPr>
        <w:tc>
          <w:tcPr>
            <w:tcW w:w="50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March 31, 2025</w:t>
            </w:r>
          </w:p>
        </w:tc>
        <w:tc>
          <w:tcPr>
            <w:tcW w:w="30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r>
      <w:tr>
        <w:trPr>
          <w:trHeight w:val="263"/>
        </w:trPr>
        <w:tc>
          <w:tcPr>
            <w:tcW w:w="5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Premiums written</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58,174,996</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2,834,411</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61,009,407</w:t>
            </w:r>
          </w:p>
        </w:tc>
      </w:tr>
      <w:tr>
        <w:trPr>
          <w:trHeight w:val="250"/>
        </w:trPr>
        <w:tc>
          <w:tcPr>
            <w:tcW w:w="50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Change in unearned premiums</w:t>
            </w:r>
          </w:p>
        </w:tc>
        <w:tc>
          <w:tcPr>
            <w:tcW w:w="3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2,470,381</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(19,956,725)</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(17,486,344)</w:t>
            </w:r>
          </w:p>
        </w:tc>
      </w:tr>
      <w:tr>
        <w:trPr>
          <w:trHeight w:val="275"/>
        </w:trPr>
        <w:tc>
          <w:tcPr>
            <w:tcW w:w="50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Premiums earned</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60,645,377</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(17,122,314)</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43,523,063</w:t>
            </w:r>
          </w:p>
        </w:tc>
      </w:tr>
      <w:tr>
        <w:trPr>
          <w:trHeight w:val="20"/>
        </w:trPr>
        <w:tc>
          <w:tcPr>
            <w:tcW w:w="5020" w:type="dxa"/>
            <w:vAlign w:val="bottom"/>
            <w:tcBorders>
              <w:top w:val="single" w:sz="8" w:color="CCEEFF"/>
            </w:tcBorders>
            <w:gridSpan w:val="2"/>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r>
        <w:trPr>
          <w:trHeight w:val="237"/>
        </w:trPr>
        <w:tc>
          <w:tcPr>
            <w:tcW w:w="1300" w:type="dxa"/>
            <w:vAlign w:val="bottom"/>
          </w:tcPr>
          <w:p>
            <w:pPr>
              <w:spacing w:after="0"/>
              <w:rPr>
                <w:sz w:val="20"/>
                <w:szCs w:val="20"/>
                <w:color w:val="auto"/>
              </w:rPr>
            </w:pPr>
          </w:p>
        </w:tc>
        <w:tc>
          <w:tcPr>
            <w:tcW w:w="37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257"/>
        </w:trPr>
        <w:tc>
          <w:tcPr>
            <w:tcW w:w="5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March 31, 2024</w:t>
            </w:r>
          </w:p>
        </w:tc>
        <w:tc>
          <w:tcPr>
            <w:tcW w:w="30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r>
      <w:tr>
        <w:trPr>
          <w:trHeight w:val="250"/>
        </w:trPr>
        <w:tc>
          <w:tcPr>
            <w:tcW w:w="5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Premiums written</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49,324,616</w:t>
            </w:r>
          </w:p>
        </w:tc>
        <w:tc>
          <w:tcPr>
            <w:tcW w:w="10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(11,229,217)</w:t>
            </w:r>
          </w:p>
        </w:tc>
        <w:tc>
          <w:tcPr>
            <w:tcW w:w="10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38,095,399</w:t>
            </w:r>
          </w:p>
        </w:tc>
      </w:tr>
      <w:tr>
        <w:trPr>
          <w:trHeight w:val="263"/>
        </w:trPr>
        <w:tc>
          <w:tcPr>
            <w:tcW w:w="5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unearned premiums</w:t>
            </w:r>
          </w:p>
        </w:tc>
        <w:tc>
          <w:tcPr>
            <w:tcW w:w="30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671,762</w:t>
            </w:r>
          </w:p>
        </w:tc>
        <w:tc>
          <w:tcPr>
            <w:tcW w:w="10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(9,947,259)</w:t>
            </w:r>
          </w:p>
        </w:tc>
        <w:tc>
          <w:tcPr>
            <w:tcW w:w="10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(9,275,497)</w:t>
            </w:r>
          </w:p>
        </w:tc>
      </w:tr>
      <w:tr>
        <w:trPr>
          <w:trHeight w:val="244"/>
        </w:trPr>
        <w:tc>
          <w:tcPr>
            <w:tcW w:w="5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Premiums earned</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49,996,378</w:t>
            </w:r>
          </w:p>
        </w:tc>
        <w:tc>
          <w:tcPr>
            <w:tcW w:w="100" w:type="dxa"/>
            <w:vAlign w:val="bottom"/>
          </w:tcPr>
          <w:p>
            <w:pPr>
              <w:spacing w:after="0"/>
              <w:rPr>
                <w:sz w:val="21"/>
                <w:szCs w:val="21"/>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(21,176,476)</w:t>
            </w:r>
          </w:p>
        </w:tc>
        <w:tc>
          <w:tcPr>
            <w:tcW w:w="100" w:type="dxa"/>
            <w:vAlign w:val="bottom"/>
          </w:tcPr>
          <w:p>
            <w:pPr>
              <w:spacing w:after="0"/>
              <w:rPr>
                <w:sz w:val="21"/>
                <w:szCs w:val="21"/>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28,819,902</w:t>
            </w:r>
          </w:p>
        </w:tc>
      </w:tr>
      <w:tr>
        <w:trPr>
          <w:trHeight w:val="27"/>
        </w:trPr>
        <w:tc>
          <w:tcPr>
            <w:tcW w:w="1300" w:type="dxa"/>
            <w:vAlign w:val="bottom"/>
          </w:tcPr>
          <w:p>
            <w:pPr>
              <w:spacing w:after="0"/>
              <w:rPr>
                <w:sz w:val="2"/>
                <w:szCs w:val="2"/>
                <w:color w:val="auto"/>
              </w:rPr>
            </w:pPr>
          </w:p>
        </w:tc>
        <w:tc>
          <w:tcPr>
            <w:tcW w:w="37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bl>
    <w:p>
      <w:pPr>
        <w:spacing w:after="0" w:line="18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Premium receipts in advance of the policy effective date are recorded as advance premiums. The balance of advance premiums as of March 31, 2025 and December 31, 2024 was $4,079,775 and $3,503,063, respectively.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Loss and Loss Adjustment Expense Reserves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a reconciliation of the beginning and ending balances for unpaid loss and LAE reserves: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18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2840" w:type="dxa"/>
            <w:vAlign w:val="bottom"/>
            <w:tcBorders>
              <w:bottom w:val="single" w:sz="8" w:color="auto"/>
            </w:tcBorders>
            <w:gridSpan w:val="4"/>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50"/>
        </w:trPr>
        <w:tc>
          <w:tcPr>
            <w:tcW w:w="818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57"/>
        </w:trPr>
        <w:tc>
          <w:tcPr>
            <w:tcW w:w="81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80" w:type="dxa"/>
            <w:vAlign w:val="bottom"/>
          </w:tcPr>
          <w:p>
            <w:pPr>
              <w:spacing w:after="0"/>
              <w:rPr>
                <w:sz w:val="22"/>
                <w:szCs w:val="22"/>
                <w:color w:val="auto"/>
              </w:rPr>
            </w:pPr>
          </w:p>
        </w:tc>
      </w:tr>
      <w:tr>
        <w:trPr>
          <w:trHeight w:val="257"/>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126,210,428</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121,817,862</w:t>
            </w:r>
          </w:p>
        </w:tc>
      </w:tr>
      <w:tr>
        <w:trPr>
          <w:trHeight w:val="250"/>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reinsurance recoverables</w:t>
            </w: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(32,322,637)</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(33,288,650)</w:t>
            </w:r>
          </w:p>
        </w:tc>
      </w:tr>
      <w:tr>
        <w:trPr>
          <w:trHeight w:val="25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balance, beginning of period</w:t>
            </w:r>
          </w:p>
        </w:tc>
        <w:tc>
          <w:tcPr>
            <w:tcW w:w="22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93,887,791</w:t>
            </w:r>
          </w:p>
        </w:tc>
        <w:tc>
          <w:tcPr>
            <w:tcW w:w="10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88,529,212</w:t>
            </w:r>
          </w:p>
        </w:tc>
      </w:tr>
      <w:tr>
        <w:trPr>
          <w:trHeight w:val="257"/>
        </w:trPr>
        <w:tc>
          <w:tcPr>
            <w:tcW w:w="81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80" w:type="dxa"/>
            <w:vAlign w:val="bottom"/>
          </w:tcPr>
          <w:p>
            <w:pPr>
              <w:spacing w:after="0"/>
              <w:rPr>
                <w:sz w:val="22"/>
                <w:szCs w:val="22"/>
                <w:color w:val="auto"/>
              </w:rPr>
            </w:pPr>
          </w:p>
        </w:tc>
      </w:tr>
      <w:tr>
        <w:trPr>
          <w:trHeight w:val="257"/>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Incurred related to:</w:t>
            </w: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year</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27,774,353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18,425,855</w:t>
            </w:r>
          </w:p>
        </w:tc>
      </w:tr>
      <w:tr>
        <w:trPr>
          <w:trHeight w:val="26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Prior years</w:t>
            </w:r>
          </w:p>
        </w:tc>
        <w:tc>
          <w:tcPr>
            <w:tcW w:w="22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(599,275)</w:t>
            </w:r>
          </w:p>
        </w:tc>
        <w:tc>
          <w:tcPr>
            <w:tcW w:w="10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(566,268)</w:t>
            </w:r>
          </w:p>
        </w:tc>
      </w:tr>
      <w:tr>
        <w:trPr>
          <w:trHeight w:val="243"/>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incurred</w:t>
            </w: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27,175,078</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17,859,587</w:t>
            </w:r>
          </w:p>
        </w:tc>
      </w:tr>
      <w:tr>
        <w:trPr>
          <w:trHeight w:val="257"/>
        </w:trPr>
        <w:tc>
          <w:tcPr>
            <w:tcW w:w="81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Paid related to:</w:t>
            </w: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6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year</w:t>
            </w: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5,217,256</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4,671,653</w:t>
            </w:r>
          </w:p>
        </w:tc>
      </w:tr>
      <w:tr>
        <w:trPr>
          <w:trHeight w:val="250"/>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Prior years</w:t>
            </w: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13,752,485</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11,942,843</w:t>
            </w:r>
          </w:p>
        </w:tc>
      </w:tr>
      <w:tr>
        <w:trPr>
          <w:trHeight w:val="25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paid</w:t>
            </w:r>
          </w:p>
        </w:tc>
        <w:tc>
          <w:tcPr>
            <w:tcW w:w="22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18,969,741</w:t>
            </w:r>
          </w:p>
        </w:tc>
        <w:tc>
          <w:tcPr>
            <w:tcW w:w="10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16,614,496</w:t>
            </w:r>
          </w:p>
        </w:tc>
      </w:tr>
      <w:tr>
        <w:trPr>
          <w:trHeight w:val="256"/>
        </w:trPr>
        <w:tc>
          <w:tcPr>
            <w:tcW w:w="81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80" w:type="dxa"/>
            <w:vAlign w:val="bottom"/>
          </w:tcPr>
          <w:p>
            <w:pPr>
              <w:spacing w:after="0"/>
              <w:rPr>
                <w:sz w:val="22"/>
                <w:szCs w:val="22"/>
                <w:color w:val="auto"/>
              </w:rPr>
            </w:pPr>
          </w:p>
        </w:tc>
      </w:tr>
      <w:tr>
        <w:trPr>
          <w:trHeight w:val="256"/>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balance at end of period</w:t>
            </w: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102,093,128</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89,774,303</w:t>
            </w:r>
          </w:p>
        </w:tc>
      </w:tr>
      <w:tr>
        <w:trPr>
          <w:trHeight w:val="250"/>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Add reinsurance recoverables</w:t>
            </w: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33,241,595</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32,724,136</w:t>
            </w:r>
          </w:p>
        </w:tc>
      </w:tr>
      <w:tr>
        <w:trPr>
          <w:trHeight w:val="275"/>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end of period</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135,334,723</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122,498,439</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Incurred losses and LAE are presented net of reinsurance recoveries under reinsurance contracts of $7,059,344 and $4,861,500 for the three months ended March 31, 2025 and 2024, respectively.</w:t>
      </w:r>
    </w:p>
    <w:p>
      <w:pPr>
        <w:sectPr>
          <w:pgSz w:w="11900" w:h="16838" w:orient="portrait"/>
          <w:cols w:equalWidth="0" w:num="1">
            <w:col w:w="11240"/>
          </w:cols>
          <w:pgMar w:left="320" w:top="119" w:right="339" w:bottom="1440" w:gutter="0" w:footer="0" w:header="0"/>
        </w:sect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24" w:name="page25"/>
    <w:bookmarkEnd w:id="24"/>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Prior year incurred loss and LAE development is based upon estimates by line of business and accident year. Prior year loss and LAE development incurred during the three months ended March 31, 2025 and 2024 was $(599,275) favorable and $(566,268) favorable, respectively. Management, on a quarterly basis, performs a review of open liability claims to assess carried case and incurred but not reported (“IBNR”) reserve levels, giving consideration to both Company and industry trends.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Loss and LAE Reserves</w:t>
      </w:r>
    </w:p>
    <w:p>
      <w:pPr>
        <w:spacing w:after="0" w:line="2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reserving process for loss and LAE reserves provides for the Company’s best estimate at a particular point in time of the ultimate unpaid cost of all losses and LAE incurred, including settlement and administration of losses, and is based on facts and circumstances then known including losses that have occurred but that have not yet been reported. The process relies on standard actuarial reserving methodologies, judgments relative to estimates of ultimate claim severity and frequency, the length of time before losses will develop to their ultimate level (‘tail’ factors), and the likelihood of changes in the law or other external factors that are beyond the Company’s control. Several actuarial reserving methodologies are used to estimate required loss reserves. The process produces carried reserves set by management based upon the actuaries’ best estimate and is the cumulative combination of the best estimates made by line of business, accident year, and loss and LAE. The amount of loss and LAE reserves for individual reported claims (the “case reserve”) is determined by the claims department and changes over time as new information is gathered. Such information is critical to the review of appropriate IBNR reserves and includes a review of coverage applicability, comparative liability on the part of the insured, injury severity, property damage, replacement cost estimates, and any other information considered pertinent to estimating the exposure presented by the claim. The amounts of loss and LAE reserves for unreported claims and development on known claims (IBNR reserves) are determined using historical information aggregated by line of insurance as adjusted to current conditions. Since this process produces loss reserves set by management based upon the actuaries’ best estimate, there is no explicit or implicit provision for uncertainty in the carried loss reserves.</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Due to the inherent uncertainty associated with the reserving process, the ultimate liability may differ, perhaps substantially, from the original estimate. Such estimates are regularly reviewed and updated and any resulting adjustments are included in the current period’s results. Reserves are closely monitored and are recomputed periodically using the most recent information on reported claims and a variety of statistical techniques. On at least a quarterly basis, the Company reviews by line of business existing reserves, new claims, changes to existing case reserves, and paid losses with respect to the current and prior periods. Several methods are used, varying by line of business and accident year, in order to select the estimated period-end loss reserves. These methods include the following:</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Paid Loss Development </w:t>
      </w:r>
      <w:r>
        <w:rPr>
          <w:rFonts w:ascii="Times New Roman" w:cs="Times New Roman" w:eastAsia="Times New Roman" w:hAnsi="Times New Roman"/>
          <w:sz w:val="18"/>
          <w:szCs w:val="18"/>
          <w:color w:val="auto"/>
        </w:rPr>
        <w:t>– historical patterns of paid loss development are used to project future paid loss emergence in order to estimate required reserves.</w:t>
      </w:r>
    </w:p>
    <w:p>
      <w:pPr>
        <w:spacing w:after="0" w:line="225"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Incurred Loss Development </w:t>
      </w:r>
      <w:r>
        <w:rPr>
          <w:rFonts w:ascii="Times New Roman" w:cs="Times New Roman" w:eastAsia="Times New Roman" w:hAnsi="Times New Roman"/>
          <w:sz w:val="18"/>
          <w:szCs w:val="18"/>
          <w:color w:val="auto"/>
        </w:rPr>
        <w:t>– historical patterns of incurred loss development, reflecting both paid losses and changes in case reserves, are used to project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future incurred loss emergence in order to estimate required reserves.</w:t>
      </w:r>
    </w:p>
    <w:p>
      <w:pPr>
        <w:spacing w:after="0" w:line="15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Paid Bornhuetter-Ferguson (“BF”) </w:t>
      </w:r>
      <w:r>
        <w:rPr>
          <w:rFonts w:ascii="Times New Roman" w:cs="Times New Roman" w:eastAsia="Times New Roman" w:hAnsi="Times New Roman"/>
          <w:sz w:val="18"/>
          <w:szCs w:val="18"/>
          <w:color w:val="auto"/>
        </w:rPr>
        <w:t>– an estimated loss ratio for a particular accident year is determined, and is weighted against the portion of the accident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year claims that have been paid, based on historical paid loss development patterns. The estimate of required reserves assumes that the remaining unpaid portion of a particular accident year will pay out at a rate consistent with the estimated loss ratio for that year. This method can be useful for situations where an unusually high or low amount of paid losses exists at the early stages of the claims development process.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Incurred Bornhuetter-Ferguson (“BF”) </w:t>
      </w:r>
      <w:r>
        <w:rPr>
          <w:rFonts w:ascii="Times New Roman" w:cs="Times New Roman" w:eastAsia="Times New Roman" w:hAnsi="Times New Roman"/>
          <w:sz w:val="18"/>
          <w:szCs w:val="18"/>
          <w:color w:val="auto"/>
        </w:rPr>
        <w:t>- an estimated loss ratio for a particular accident year is determined, and is weighted against the portion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accident year claims that have been reported, based on historical incurred loss development patterns. The estimate of required reserves assumes that the remaining unreported portion of a particular accident year will pay out at a rate consistent with the estimated loss ratio for that year. This method can be useful for situations where an unusually high or low amount of reported losses exists at the early stages of the claims development process.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Incremental Claim-Based Methods </w:t>
      </w:r>
      <w:r>
        <w:rPr>
          <w:rFonts w:ascii="Times New Roman" w:cs="Times New Roman" w:eastAsia="Times New Roman" w:hAnsi="Times New Roman"/>
          <w:sz w:val="18"/>
          <w:szCs w:val="18"/>
          <w:color w:val="auto"/>
        </w:rPr>
        <w:t>– historical patterns of incremental incurred losses and paid LAE during various stages of development are reviewed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assumptions are made regarding average loss and LAE development applied to remaining claims inventory. Such methods more properly reflect changes in the speed of claims closure and the relative adequacy of case reserve levels at various stages of development. These methods may provide a more accurate estimate of IBNR for lines of business with relatively few remaining open claims but for which significant recent settlement activity has occurred.</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Frequency / Severity Based Methods </w:t>
      </w:r>
      <w:r>
        <w:rPr>
          <w:rFonts w:ascii="Times New Roman" w:cs="Times New Roman" w:eastAsia="Times New Roman" w:hAnsi="Times New Roman"/>
          <w:sz w:val="18"/>
          <w:szCs w:val="18"/>
          <w:color w:val="auto"/>
        </w:rPr>
        <w:t>– historical measurements of claim frequency and average paid claim size (severity) are reviewed for more mature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accident years where a majority of claims have been reported and/or closed. These historical averages are trended forward to more recent periods in order to estimate ultimate losses for newer accident years that are not yet fully developed. These methods are useful for lines of business with slow and/or volatile loss development patterns, such as liability lines where information pertaining to individual cases may not be completely known for many years. The claim frequency and severity information for older periods can then be used as reasonable measures for developing a range of estimates for more recent immature periods.</w:t>
      </w:r>
    </w:p>
    <w:p>
      <w:pPr>
        <w:spacing w:after="0" w:line="1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Management’s best estimate of required reserves is generally based on an average of the methods above, with appropriate weighting of methods based on the line of business and accident year being projected. In some cases, additional methods or historical data from industry sources are employed to supplement the projections derived from the methods listed above.</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Three key assumptions that materially affect the estimate of loss reserves are the loss ratio estimate for the current accident year used in the BF methods, the loss development factor selections used in the loss development methods, and the loss severity assumptions used in the frequency / severity method described above. The loss ratio estimates used in the BF methods are selected after reviewing historical accident year loss ratios adjusted for rate changes, trend, and mix of business. The severity assumptions used in the frequency / severity method are determined by reviewing historical average claim severity for older more mature accident periods, trended forward to less mature accident periods.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reviews the carried reserves levels on a regular basis as additional information becomes available and makes adjustments in the periods in which such adjustments are determined to be necessary. The Company is not aware of any claim trends that have emerged or that would cause future adverse development that have not already been contemplated in setting current carried reserves levels.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New York State, lawsuits for negligence are subject to certain limitations and must be commenced within three years from the date of the accident or are otherwise barred. Accordingly, the Company’s exposure to unreported claims (“pure” IBNR) for accident dates of March 31, 2022 and prior is limited, although there remains the possibility of adverse development on reported claims (“case development” IBNR). In certain rare circumstances states have retroactively revised a statute of limitations. The Company is not aware of any such effort that would have a material impact on the Company’s results.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following is information about incurred and paid claims development as of March 31, 2025, net of reinsurance, as well as the cumulative reported claims by accident year and total IBNR reserves as of March 31, 2025 included in the net incurred loss and allocated expense amounts. The historical information regarding incurred and paid claims development for the years ended December 31, 2016 to December 31, 2024 is presented as supplementary unaudited information.</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All Lines of Business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 thousands, except reported claims data)</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60" w:type="dxa"/>
            <w:vAlign w:val="bottom"/>
            <w:gridSpan w:val="17"/>
            <w:vMerge w:val="restart"/>
          </w:tcPr>
          <w:p>
            <w:pPr>
              <w:jc w:val="right"/>
              <w:ind w:right="340"/>
              <w:spacing w:after="0"/>
              <w:rPr>
                <w:sz w:val="20"/>
                <w:szCs w:val="20"/>
                <w:color w:val="auto"/>
              </w:rPr>
            </w:pPr>
            <w:r>
              <w:rPr>
                <w:rFonts w:ascii="Times New Roman" w:cs="Times New Roman" w:eastAsia="Times New Roman" w:hAnsi="Times New Roman"/>
                <w:sz w:val="13"/>
                <w:szCs w:val="13"/>
                <w:b w:val="1"/>
                <w:bCs w:val="1"/>
                <w:color w:val="auto"/>
              </w:rPr>
              <w:t>Incurred Loss and Allocated Loss Adjustment Expenses, Net of Reinsurance</w:t>
            </w: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jc w:val="right"/>
              <w:ind w:right="657"/>
              <w:spacing w:after="0"/>
              <w:rPr>
                <w:sz w:val="20"/>
                <w:szCs w:val="20"/>
                <w:color w:val="auto"/>
              </w:rPr>
            </w:pPr>
            <w:r>
              <w:rPr>
                <w:rFonts w:ascii="Times New Roman" w:cs="Times New Roman" w:eastAsia="Times New Roman" w:hAnsi="Times New Roman"/>
                <w:sz w:val="13"/>
                <w:szCs w:val="13"/>
                <w:b w:val="1"/>
                <w:bCs w:val="1"/>
                <w:color w:val="auto"/>
                <w:w w:val="97"/>
              </w:rPr>
              <w:t>As of</w:t>
            </w:r>
          </w:p>
        </w:tc>
        <w:tc>
          <w:tcPr>
            <w:tcW w:w="0" w:type="dxa"/>
            <w:vAlign w:val="bottom"/>
          </w:tcPr>
          <w:p>
            <w:pPr>
              <w:spacing w:after="0"/>
              <w:rPr>
                <w:sz w:val="1"/>
                <w:szCs w:val="1"/>
                <w:color w:val="auto"/>
              </w:rPr>
            </w:pPr>
          </w:p>
        </w:tc>
      </w:tr>
      <w:tr>
        <w:trPr>
          <w:trHeight w:val="176"/>
        </w:trPr>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4860" w:type="dxa"/>
            <w:vAlign w:val="bottom"/>
            <w:tcBorders>
              <w:bottom w:val="single" w:sz="8" w:color="auto"/>
            </w:tcBorders>
            <w:gridSpan w:val="17"/>
            <w:vMerge w:val="continue"/>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gridSpan w:val="3"/>
          </w:tcPr>
          <w:p>
            <w:pPr>
              <w:jc w:val="right"/>
              <w:ind w:right="377"/>
              <w:spacing w:after="0"/>
              <w:rPr>
                <w:sz w:val="20"/>
                <w:szCs w:val="20"/>
                <w:color w:val="auto"/>
              </w:rPr>
            </w:pPr>
            <w:r>
              <w:rPr>
                <w:rFonts w:ascii="Times New Roman" w:cs="Times New Roman" w:eastAsia="Times New Roman" w:hAnsi="Times New Roman"/>
                <w:sz w:val="13"/>
                <w:szCs w:val="13"/>
                <w:b w:val="1"/>
                <w:bCs w:val="1"/>
                <w:color w:val="auto"/>
              </w:rPr>
              <w:t>March 31, 2025</w:t>
            </w:r>
          </w:p>
        </w:tc>
        <w:tc>
          <w:tcPr>
            <w:tcW w:w="0" w:type="dxa"/>
            <w:vAlign w:val="bottom"/>
          </w:tcPr>
          <w:p>
            <w:pPr>
              <w:spacing w:after="0"/>
              <w:rPr>
                <w:sz w:val="1"/>
                <w:szCs w:val="1"/>
                <w:color w:val="auto"/>
              </w:rPr>
            </w:pPr>
          </w:p>
        </w:tc>
      </w:tr>
      <w:tr>
        <w:trPr>
          <w:trHeight w:val="155"/>
        </w:trPr>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Cumulative</w:t>
            </w:r>
          </w:p>
        </w:tc>
        <w:tc>
          <w:tcPr>
            <w:tcW w:w="0" w:type="dxa"/>
            <w:vAlign w:val="bottom"/>
          </w:tcPr>
          <w:p>
            <w:pPr>
              <w:spacing w:after="0"/>
              <w:rPr>
                <w:sz w:val="1"/>
                <w:szCs w:val="1"/>
                <w:color w:val="auto"/>
              </w:rPr>
            </w:pPr>
          </w:p>
        </w:tc>
      </w:tr>
      <w:tr>
        <w:trPr>
          <w:trHeight w:val="135"/>
        </w:trPr>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jc w:val="center"/>
              <w:ind w:right="77"/>
              <w:spacing w:after="0" w:line="135" w:lineRule="exact"/>
              <w:rPr>
                <w:sz w:val="20"/>
                <w:szCs w:val="20"/>
                <w:color w:val="auto"/>
              </w:rPr>
            </w:pPr>
            <w:r>
              <w:rPr>
                <w:rFonts w:ascii="Times New Roman" w:cs="Times New Roman" w:eastAsia="Times New Roman" w:hAnsi="Times New Roman"/>
                <w:sz w:val="13"/>
                <w:szCs w:val="13"/>
                <w:b w:val="1"/>
                <w:bCs w:val="1"/>
                <w:color w:val="auto"/>
                <w:w w:val="96"/>
              </w:rPr>
              <w:t>Three</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Number of</w:t>
            </w:r>
          </w:p>
        </w:tc>
        <w:tc>
          <w:tcPr>
            <w:tcW w:w="0" w:type="dxa"/>
            <w:vAlign w:val="bottom"/>
          </w:tcPr>
          <w:p>
            <w:pPr>
              <w:spacing w:after="0"/>
              <w:rPr>
                <w:sz w:val="1"/>
                <w:szCs w:val="1"/>
                <w:color w:val="auto"/>
              </w:rPr>
            </w:pPr>
          </w:p>
        </w:tc>
      </w:tr>
      <w:tr>
        <w:trPr>
          <w:trHeight w:val="148"/>
        </w:trPr>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jc w:val="center"/>
              <w:ind w:right="117"/>
              <w:spacing w:after="0"/>
              <w:rPr>
                <w:sz w:val="20"/>
                <w:szCs w:val="20"/>
                <w:color w:val="auto"/>
              </w:rPr>
            </w:pPr>
            <w:r>
              <w:rPr>
                <w:rFonts w:ascii="Times New Roman" w:cs="Times New Roman" w:eastAsia="Times New Roman" w:hAnsi="Times New Roman"/>
                <w:sz w:val="13"/>
                <w:szCs w:val="13"/>
                <w:b w:val="1"/>
                <w:bCs w:val="1"/>
                <w:color w:val="auto"/>
                <w:w w:val="93"/>
              </w:rPr>
              <w:t>Months</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Reported</w:t>
            </w:r>
          </w:p>
        </w:tc>
        <w:tc>
          <w:tcPr>
            <w:tcW w:w="0" w:type="dxa"/>
            <w:vAlign w:val="bottom"/>
          </w:tcPr>
          <w:p>
            <w:pPr>
              <w:spacing w:after="0"/>
              <w:rPr>
                <w:sz w:val="1"/>
                <w:szCs w:val="1"/>
                <w:color w:val="auto"/>
              </w:rPr>
            </w:pPr>
          </w:p>
        </w:tc>
      </w:tr>
      <w:tr>
        <w:trPr>
          <w:trHeight w:val="148"/>
        </w:trPr>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340" w:type="dxa"/>
            <w:vAlign w:val="bottom"/>
            <w:gridSpan w:val="8"/>
            <w:vMerge w:val="restart"/>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5"/>
              </w:rPr>
              <w:t>For the Years Ended December 31,</w:t>
            </w: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jc w:val="center"/>
              <w:ind w:right="77"/>
              <w:spacing w:after="0"/>
              <w:rPr>
                <w:sz w:val="20"/>
                <w:szCs w:val="20"/>
                <w:color w:val="auto"/>
              </w:rPr>
            </w:pPr>
            <w:r>
              <w:rPr>
                <w:rFonts w:ascii="Times New Roman" w:cs="Times New Roman" w:eastAsia="Times New Roman" w:hAnsi="Times New Roman"/>
                <w:sz w:val="13"/>
                <w:szCs w:val="13"/>
                <w:b w:val="1"/>
                <w:bCs w:val="1"/>
                <w:color w:val="auto"/>
                <w:w w:val="99"/>
              </w:rPr>
              <w:t>Ended</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Claims by</w:t>
            </w:r>
          </w:p>
        </w:tc>
        <w:tc>
          <w:tcPr>
            <w:tcW w:w="0" w:type="dxa"/>
            <w:vAlign w:val="bottom"/>
          </w:tcPr>
          <w:p>
            <w:pPr>
              <w:spacing w:after="0"/>
              <w:rPr>
                <w:sz w:val="1"/>
                <w:szCs w:val="1"/>
                <w:color w:val="auto"/>
              </w:rPr>
            </w:pPr>
          </w:p>
        </w:tc>
      </w:tr>
      <w:tr>
        <w:trPr>
          <w:trHeight w:val="72"/>
        </w:trPr>
        <w:tc>
          <w:tcPr>
            <w:tcW w:w="840" w:type="dxa"/>
            <w:vAlign w:val="bottom"/>
            <w:gridSpan w:val="2"/>
            <w:vMerge w:val="restart"/>
          </w:tcPr>
          <w:p>
            <w:pPr>
              <w:jc w:val="center"/>
              <w:ind w:right="80"/>
              <w:spacing w:after="0" w:line="115" w:lineRule="exact"/>
              <w:rPr>
                <w:sz w:val="20"/>
                <w:szCs w:val="20"/>
                <w:color w:val="auto"/>
              </w:rPr>
            </w:pPr>
            <w:r>
              <w:rPr>
                <w:rFonts w:ascii="Times New Roman" w:cs="Times New Roman" w:eastAsia="Times New Roman" w:hAnsi="Times New Roman"/>
                <w:sz w:val="13"/>
                <w:szCs w:val="13"/>
                <w:b w:val="1"/>
                <w:bCs w:val="1"/>
                <w:color w:val="auto"/>
                <w:w w:val="97"/>
              </w:rPr>
              <w:t>Accident</w:t>
            </w:r>
          </w:p>
        </w:tc>
        <w:tc>
          <w:tcPr>
            <w:tcW w:w="16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2340" w:type="dxa"/>
            <w:vAlign w:val="bottom"/>
            <w:gridSpan w:val="8"/>
            <w:vMerge w:val="continue"/>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900" w:type="dxa"/>
            <w:vAlign w:val="bottom"/>
            <w:vMerge w:val="restart"/>
          </w:tcPr>
          <w:p>
            <w:pPr>
              <w:jc w:val="center"/>
              <w:ind w:right="77"/>
              <w:spacing w:after="0" w:line="115" w:lineRule="exact"/>
              <w:rPr>
                <w:sz w:val="20"/>
                <w:szCs w:val="20"/>
                <w:color w:val="auto"/>
              </w:rPr>
            </w:pPr>
            <w:r>
              <w:rPr>
                <w:rFonts w:ascii="Times New Roman" w:cs="Times New Roman" w:eastAsia="Times New Roman" w:hAnsi="Times New Roman"/>
                <w:sz w:val="13"/>
                <w:szCs w:val="13"/>
                <w:b w:val="1"/>
                <w:bCs w:val="1"/>
                <w:color w:val="auto"/>
                <w:w w:val="98"/>
              </w:rPr>
              <w:t>March 31,</w:t>
            </w: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5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20" w:type="dxa"/>
            <w:vAlign w:val="bottom"/>
            <w:vMerge w:val="restart"/>
          </w:tcPr>
          <w:p>
            <w:pPr>
              <w:jc w:val="center"/>
              <w:spacing w:after="0" w:line="115" w:lineRule="exact"/>
              <w:rPr>
                <w:sz w:val="20"/>
                <w:szCs w:val="20"/>
                <w:color w:val="auto"/>
              </w:rPr>
            </w:pPr>
            <w:r>
              <w:rPr>
                <w:rFonts w:ascii="Times New Roman" w:cs="Times New Roman" w:eastAsia="Times New Roman" w:hAnsi="Times New Roman"/>
                <w:sz w:val="13"/>
                <w:szCs w:val="13"/>
                <w:b w:val="1"/>
                <w:bCs w:val="1"/>
                <w:color w:val="auto"/>
                <w:w w:val="97"/>
              </w:rPr>
              <w:t>Accident</w:t>
            </w:r>
          </w:p>
        </w:tc>
        <w:tc>
          <w:tcPr>
            <w:tcW w:w="0" w:type="dxa"/>
            <w:vAlign w:val="bottom"/>
          </w:tcPr>
          <w:p>
            <w:pPr>
              <w:spacing w:after="0"/>
              <w:rPr>
                <w:sz w:val="1"/>
                <w:szCs w:val="1"/>
                <w:color w:val="auto"/>
              </w:rPr>
            </w:pPr>
          </w:p>
        </w:tc>
      </w:tr>
      <w:tr>
        <w:trPr>
          <w:trHeight w:val="43"/>
        </w:trPr>
        <w:tc>
          <w:tcPr>
            <w:tcW w:w="840" w:type="dxa"/>
            <w:vAlign w:val="bottom"/>
            <w:gridSpan w:val="2"/>
            <w:vMerge w:val="continue"/>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0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89"/>
        </w:trPr>
        <w:tc>
          <w:tcPr>
            <w:tcW w:w="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87"/>
              </w:rPr>
              <w:t>Year</w:t>
            </w:r>
          </w:p>
        </w:tc>
        <w:tc>
          <w:tcPr>
            <w:tcW w:w="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3"/>
                <w:szCs w:val="13"/>
                <w:b w:val="1"/>
                <w:bCs w:val="1"/>
                <w:color w:val="auto"/>
              </w:rPr>
              <w:t>2016</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3"/>
                <w:szCs w:val="13"/>
                <w:b w:val="1"/>
                <w:bCs w:val="1"/>
                <w:color w:val="auto"/>
              </w:rPr>
              <w:t>2017</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ind w:right="197"/>
              <w:spacing w:after="0"/>
              <w:rPr>
                <w:sz w:val="20"/>
                <w:szCs w:val="20"/>
                <w:color w:val="auto"/>
              </w:rPr>
            </w:pPr>
            <w:r>
              <w:rPr>
                <w:rFonts w:ascii="Times New Roman" w:cs="Times New Roman" w:eastAsia="Times New Roman" w:hAnsi="Times New Roman"/>
                <w:sz w:val="13"/>
                <w:szCs w:val="13"/>
                <w:b w:val="1"/>
                <w:bCs w:val="1"/>
                <w:color w:val="auto"/>
              </w:rPr>
              <w:t>2018</w:t>
            </w:r>
          </w:p>
        </w:tc>
        <w:tc>
          <w:tcPr>
            <w:tcW w:w="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ind w:right="197"/>
              <w:spacing w:after="0"/>
              <w:rPr>
                <w:sz w:val="20"/>
                <w:szCs w:val="20"/>
                <w:color w:val="auto"/>
              </w:rPr>
            </w:pPr>
            <w:r>
              <w:rPr>
                <w:rFonts w:ascii="Times New Roman" w:cs="Times New Roman" w:eastAsia="Times New Roman" w:hAnsi="Times New Roman"/>
                <w:sz w:val="13"/>
                <w:szCs w:val="13"/>
                <w:b w:val="1"/>
                <w:bCs w:val="1"/>
                <w:color w:val="auto"/>
              </w:rPr>
              <w:t>2019</w:t>
            </w:r>
          </w:p>
        </w:tc>
        <w:tc>
          <w:tcPr>
            <w:tcW w:w="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center"/>
              <w:ind w:right="77"/>
              <w:spacing w:after="0"/>
              <w:rPr>
                <w:sz w:val="20"/>
                <w:szCs w:val="20"/>
                <w:color w:val="auto"/>
              </w:rPr>
            </w:pPr>
            <w:r>
              <w:rPr>
                <w:rFonts w:ascii="Times New Roman" w:cs="Times New Roman" w:eastAsia="Times New Roman" w:hAnsi="Times New Roman"/>
                <w:sz w:val="13"/>
                <w:szCs w:val="13"/>
                <w:b w:val="1"/>
                <w:bCs w:val="1"/>
                <w:color w:val="auto"/>
                <w:w w:val="92"/>
              </w:rPr>
              <w:t>2020</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3"/>
                <w:szCs w:val="13"/>
                <w:b w:val="1"/>
                <w:bCs w:val="1"/>
                <w:color w:val="auto"/>
                <w:w w:val="99"/>
              </w:rPr>
              <w:t>2021</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3"/>
                <w:szCs w:val="13"/>
                <w:b w:val="1"/>
                <w:bCs w:val="1"/>
                <w:color w:val="auto"/>
              </w:rPr>
              <w:t>2022</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3"/>
                <w:szCs w:val="13"/>
                <w:b w:val="1"/>
                <w:bCs w:val="1"/>
                <w:color w:val="auto"/>
              </w:rPr>
              <w:t>2023</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3"/>
                <w:szCs w:val="13"/>
                <w:b w:val="1"/>
                <w:bCs w:val="1"/>
                <w:color w:val="auto"/>
              </w:rPr>
              <w:t>2024</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77"/>
              <w:spacing w:after="0"/>
              <w:rPr>
                <w:sz w:val="20"/>
                <w:szCs w:val="20"/>
                <w:color w:val="auto"/>
              </w:rPr>
            </w:pPr>
            <w:r>
              <w:rPr>
                <w:rFonts w:ascii="Times New Roman" w:cs="Times New Roman" w:eastAsia="Times New Roman" w:hAnsi="Times New Roman"/>
                <w:sz w:val="13"/>
                <w:szCs w:val="13"/>
                <w:b w:val="1"/>
                <w:bCs w:val="1"/>
                <w:color w:val="auto"/>
                <w:w w:val="92"/>
              </w:rPr>
              <w:t>2025</w:t>
            </w: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right"/>
              <w:ind w:right="97"/>
              <w:spacing w:after="0"/>
              <w:rPr>
                <w:sz w:val="20"/>
                <w:szCs w:val="20"/>
                <w:color w:val="auto"/>
              </w:rPr>
            </w:pPr>
            <w:r>
              <w:rPr>
                <w:rFonts w:ascii="Times New Roman" w:cs="Times New Roman" w:eastAsia="Times New Roman" w:hAnsi="Times New Roman"/>
                <w:sz w:val="13"/>
                <w:szCs w:val="13"/>
                <w:b w:val="1"/>
                <w:bCs w:val="1"/>
                <w:color w:val="auto"/>
              </w:rPr>
              <w:t>IBNR</w:t>
            </w:r>
          </w:p>
        </w:tc>
        <w:tc>
          <w:tcPr>
            <w:tcW w:w="80" w:type="dxa"/>
            <w:vAlign w:val="bottom"/>
          </w:tcPr>
          <w:p>
            <w:pPr>
              <w:spacing w:after="0"/>
              <w:rPr>
                <w:sz w:val="16"/>
                <w:szCs w:val="16"/>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Year</w:t>
            </w:r>
          </w:p>
        </w:tc>
        <w:tc>
          <w:tcPr>
            <w:tcW w:w="0" w:type="dxa"/>
            <w:vAlign w:val="bottom"/>
          </w:tcPr>
          <w:p>
            <w:pPr>
              <w:spacing w:after="0"/>
              <w:rPr>
                <w:sz w:val="1"/>
                <w:szCs w:val="1"/>
                <w:color w:val="auto"/>
              </w:rPr>
            </w:pPr>
          </w:p>
        </w:tc>
      </w:tr>
      <w:tr>
        <w:trPr>
          <w:trHeight w:val="213"/>
        </w:trPr>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20" w:type="dxa"/>
            <w:vAlign w:val="bottom"/>
            <w:gridSpan w:val="6"/>
          </w:tcPr>
          <w:p>
            <w:pPr>
              <w:jc w:val="center"/>
              <w:ind w:left="317"/>
              <w:spacing w:after="0"/>
              <w:rPr>
                <w:sz w:val="20"/>
                <w:szCs w:val="20"/>
                <w:color w:val="auto"/>
              </w:rPr>
            </w:pPr>
            <w:r>
              <w:rPr>
                <w:rFonts w:ascii="Times New Roman" w:cs="Times New Roman" w:eastAsia="Times New Roman" w:hAnsi="Times New Roman"/>
                <w:sz w:val="13"/>
                <w:szCs w:val="13"/>
                <w:b w:val="1"/>
                <w:bCs w:val="1"/>
                <w:color w:val="auto"/>
                <w:w w:val="97"/>
              </w:rPr>
              <w:t>(Unaudited 2015 - 2024)</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center"/>
              <w:ind w:right="77"/>
              <w:spacing w:after="0"/>
              <w:rPr>
                <w:sz w:val="20"/>
                <w:szCs w:val="20"/>
                <w:color w:val="auto"/>
              </w:rPr>
            </w:pPr>
            <w:r>
              <w:rPr>
                <w:rFonts w:ascii="Times New Roman" w:cs="Times New Roman" w:eastAsia="Times New Roman" w:hAnsi="Times New Roman"/>
                <w:sz w:val="13"/>
                <w:szCs w:val="13"/>
                <w:b w:val="1"/>
                <w:bCs w:val="1"/>
                <w:color w:val="auto"/>
                <w:w w:val="95"/>
              </w:rPr>
              <w:t>(Unaudited)</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
        </w:trPr>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7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2"/>
              </w:rPr>
              <w:t>2016</w:t>
            </w:r>
          </w:p>
        </w:tc>
        <w:tc>
          <w:tcPr>
            <w:tcW w:w="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26,062</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24,941</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24,789</w:t>
            </w: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27,887</w:t>
            </w:r>
          </w:p>
        </w:tc>
        <w:tc>
          <w:tcPr>
            <w:tcW w:w="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27,966</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27,417</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27,352</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27,271</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27,247</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27,244</w:t>
            </w:r>
          </w:p>
        </w:tc>
        <w:tc>
          <w:tcPr>
            <w:tcW w:w="2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w:t>
            </w:r>
          </w:p>
        </w:tc>
        <w:tc>
          <w:tcPr>
            <w:tcW w:w="8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2,884</w:t>
            </w:r>
          </w:p>
        </w:tc>
        <w:tc>
          <w:tcPr>
            <w:tcW w:w="0" w:type="dxa"/>
            <w:vAlign w:val="bottom"/>
          </w:tcPr>
          <w:p>
            <w:pPr>
              <w:spacing w:after="0"/>
              <w:rPr>
                <w:sz w:val="1"/>
                <w:szCs w:val="1"/>
                <w:color w:val="auto"/>
              </w:rPr>
            </w:pPr>
          </w:p>
        </w:tc>
      </w:tr>
      <w:tr>
        <w:trPr>
          <w:trHeight w:val="173"/>
        </w:trPr>
        <w:tc>
          <w:tcPr>
            <w:tcW w:w="7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2"/>
              </w:rPr>
              <w:t>2017</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31,605</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32,169</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35,304</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36,160</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36,532</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36,502</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36,819</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37,268</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37,228</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123</w:t>
            </w:r>
          </w:p>
        </w:tc>
        <w:tc>
          <w:tcPr>
            <w:tcW w:w="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3,401</w:t>
            </w:r>
          </w:p>
        </w:tc>
        <w:tc>
          <w:tcPr>
            <w:tcW w:w="0" w:type="dxa"/>
            <w:vAlign w:val="bottom"/>
          </w:tcPr>
          <w:p>
            <w:pPr>
              <w:spacing w:after="0"/>
              <w:rPr>
                <w:sz w:val="1"/>
                <w:szCs w:val="1"/>
                <w:color w:val="auto"/>
              </w:rPr>
            </w:pPr>
          </w:p>
        </w:tc>
      </w:tr>
      <w:tr>
        <w:trPr>
          <w:trHeight w:val="29"/>
        </w:trPr>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7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2"/>
              </w:rPr>
              <w:t>2018</w:t>
            </w:r>
          </w:p>
        </w:tc>
        <w:tc>
          <w:tcPr>
            <w:tcW w:w="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54,455</w:t>
            </w: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56,351</w:t>
            </w:r>
          </w:p>
        </w:tc>
        <w:tc>
          <w:tcPr>
            <w:tcW w:w="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58,441</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59,404</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61,237</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61,145</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61,686</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61,601</w:t>
            </w: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1,497</w:t>
            </w:r>
          </w:p>
        </w:tc>
        <w:tc>
          <w:tcPr>
            <w:tcW w:w="8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4,238</w:t>
            </w:r>
          </w:p>
        </w:tc>
        <w:tc>
          <w:tcPr>
            <w:tcW w:w="0" w:type="dxa"/>
            <w:vAlign w:val="bottom"/>
          </w:tcPr>
          <w:p>
            <w:pPr>
              <w:spacing w:after="0"/>
              <w:rPr>
                <w:sz w:val="1"/>
                <w:szCs w:val="1"/>
                <w:color w:val="auto"/>
              </w:rPr>
            </w:pPr>
          </w:p>
        </w:tc>
      </w:tr>
      <w:tr>
        <w:trPr>
          <w:trHeight w:val="173"/>
        </w:trPr>
        <w:tc>
          <w:tcPr>
            <w:tcW w:w="7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2"/>
              </w:rPr>
              <w:t>2019</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75,092</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72,368</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71,544</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71,964</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73,310</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74,363</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74,220</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1,698</w:t>
            </w:r>
          </w:p>
        </w:tc>
        <w:tc>
          <w:tcPr>
            <w:tcW w:w="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4,508</w:t>
            </w:r>
          </w:p>
        </w:tc>
        <w:tc>
          <w:tcPr>
            <w:tcW w:w="0" w:type="dxa"/>
            <w:vAlign w:val="bottom"/>
          </w:tcPr>
          <w:p>
            <w:pPr>
              <w:spacing w:after="0"/>
              <w:rPr>
                <w:sz w:val="1"/>
                <w:szCs w:val="1"/>
                <w:color w:val="auto"/>
              </w:rPr>
            </w:pPr>
          </w:p>
        </w:tc>
      </w:tr>
      <w:tr>
        <w:trPr>
          <w:trHeight w:val="29"/>
        </w:trPr>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2"/>
        </w:trPr>
        <w:tc>
          <w:tcPr>
            <w:tcW w:w="7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2"/>
              </w:rPr>
              <w:t>2020</w:t>
            </w:r>
          </w:p>
        </w:tc>
        <w:tc>
          <w:tcPr>
            <w:tcW w:w="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63,083</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62,833</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63,217</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63,562</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64,400</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64,417</w:t>
            </w: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1,180</w:t>
            </w:r>
          </w:p>
        </w:tc>
        <w:tc>
          <w:tcPr>
            <w:tcW w:w="8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5,895</w:t>
            </w:r>
          </w:p>
        </w:tc>
        <w:tc>
          <w:tcPr>
            <w:tcW w:w="0" w:type="dxa"/>
            <w:vAlign w:val="bottom"/>
          </w:tcPr>
          <w:p>
            <w:pPr>
              <w:spacing w:after="0"/>
              <w:rPr>
                <w:sz w:val="1"/>
                <w:szCs w:val="1"/>
                <w:color w:val="auto"/>
              </w:rPr>
            </w:pPr>
          </w:p>
        </w:tc>
      </w:tr>
      <w:tr>
        <w:trPr>
          <w:trHeight w:val="173"/>
        </w:trPr>
        <w:tc>
          <w:tcPr>
            <w:tcW w:w="7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2"/>
              </w:rPr>
              <w:t>2021</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96,425</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96,673</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96,134</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96,771</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97,088</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1,942</w:t>
            </w:r>
          </w:p>
        </w:tc>
        <w:tc>
          <w:tcPr>
            <w:tcW w:w="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5,834</w:t>
            </w:r>
          </w:p>
        </w:tc>
        <w:tc>
          <w:tcPr>
            <w:tcW w:w="0" w:type="dxa"/>
            <w:vAlign w:val="bottom"/>
          </w:tcPr>
          <w:p>
            <w:pPr>
              <w:spacing w:after="0"/>
              <w:rPr>
                <w:sz w:val="1"/>
                <w:szCs w:val="1"/>
                <w:color w:val="auto"/>
              </w:rPr>
            </w:pPr>
          </w:p>
        </w:tc>
      </w:tr>
      <w:tr>
        <w:trPr>
          <w:trHeight w:val="29"/>
        </w:trPr>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7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2"/>
              </w:rPr>
              <w:t>2022</w:t>
            </w:r>
          </w:p>
        </w:tc>
        <w:tc>
          <w:tcPr>
            <w:tcW w:w="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79,835</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78,759</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78,078</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77,894</w:t>
            </w: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4,400</w:t>
            </w:r>
          </w:p>
        </w:tc>
        <w:tc>
          <w:tcPr>
            <w:tcW w:w="8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4,713</w:t>
            </w:r>
          </w:p>
        </w:tc>
        <w:tc>
          <w:tcPr>
            <w:tcW w:w="0" w:type="dxa"/>
            <w:vAlign w:val="bottom"/>
          </w:tcPr>
          <w:p>
            <w:pPr>
              <w:spacing w:after="0"/>
              <w:rPr>
                <w:sz w:val="1"/>
                <w:szCs w:val="1"/>
                <w:color w:val="auto"/>
              </w:rPr>
            </w:pPr>
          </w:p>
        </w:tc>
      </w:tr>
      <w:tr>
        <w:trPr>
          <w:trHeight w:val="173"/>
        </w:trPr>
        <w:tc>
          <w:tcPr>
            <w:tcW w:w="7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2"/>
              </w:rPr>
              <w:t>2023</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78,978</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72,025</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72,019</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9,191</w:t>
            </w:r>
          </w:p>
        </w:tc>
        <w:tc>
          <w:tcPr>
            <w:tcW w:w="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4,090</w:t>
            </w:r>
          </w:p>
        </w:tc>
        <w:tc>
          <w:tcPr>
            <w:tcW w:w="0" w:type="dxa"/>
            <w:vAlign w:val="bottom"/>
          </w:tcPr>
          <w:p>
            <w:pPr>
              <w:spacing w:after="0"/>
              <w:rPr>
                <w:sz w:val="1"/>
                <w:szCs w:val="1"/>
                <w:color w:val="auto"/>
              </w:rPr>
            </w:pPr>
          </w:p>
        </w:tc>
      </w:tr>
      <w:tr>
        <w:trPr>
          <w:trHeight w:val="29"/>
        </w:trPr>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7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2"/>
              </w:rPr>
              <w:t>2024</w:t>
            </w:r>
          </w:p>
        </w:tc>
        <w:tc>
          <w:tcPr>
            <w:tcW w:w="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57,860</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57,491</w:t>
            </w: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11,660</w:t>
            </w:r>
          </w:p>
        </w:tc>
        <w:tc>
          <w:tcPr>
            <w:tcW w:w="8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3,096</w:t>
            </w:r>
          </w:p>
        </w:tc>
        <w:tc>
          <w:tcPr>
            <w:tcW w:w="0" w:type="dxa"/>
            <w:vAlign w:val="bottom"/>
          </w:tcPr>
          <w:p>
            <w:pPr>
              <w:spacing w:after="0"/>
              <w:rPr>
                <w:sz w:val="1"/>
                <w:szCs w:val="1"/>
                <w:color w:val="auto"/>
              </w:rPr>
            </w:pPr>
          </w:p>
        </w:tc>
      </w:tr>
      <w:tr>
        <w:trPr>
          <w:trHeight w:val="173"/>
        </w:trPr>
        <w:tc>
          <w:tcPr>
            <w:tcW w:w="7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2"/>
              </w:rPr>
              <w:t>2025</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25,308</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10,702</w:t>
            </w:r>
          </w:p>
        </w:tc>
        <w:tc>
          <w:tcPr>
            <w:tcW w:w="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538</w:t>
            </w:r>
          </w:p>
        </w:tc>
        <w:tc>
          <w:tcPr>
            <w:tcW w:w="0" w:type="dxa"/>
            <w:vAlign w:val="bottom"/>
          </w:tcPr>
          <w:p>
            <w:pPr>
              <w:spacing w:after="0"/>
              <w:rPr>
                <w:sz w:val="1"/>
                <w:szCs w:val="1"/>
                <w:color w:val="auto"/>
              </w:rPr>
            </w:pPr>
          </w:p>
        </w:tc>
      </w:tr>
      <w:tr>
        <w:trPr>
          <w:trHeight w:val="29"/>
        </w:trPr>
        <w:tc>
          <w:tcPr>
            <w:tcW w:w="7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7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594,509</w:t>
            </w: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All Lines of Business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920" w:type="dxa"/>
            <w:vAlign w:val="bottom"/>
            <w:gridSpan w:val="12"/>
          </w:tcPr>
          <w:p>
            <w:pPr>
              <w:ind w:left="100"/>
              <w:spacing w:after="0"/>
              <w:rPr>
                <w:sz w:val="20"/>
                <w:szCs w:val="20"/>
                <w:color w:val="auto"/>
              </w:rPr>
            </w:pPr>
            <w:r>
              <w:rPr>
                <w:rFonts w:ascii="Times New Roman" w:cs="Times New Roman" w:eastAsia="Times New Roman" w:hAnsi="Times New Roman"/>
                <w:sz w:val="16"/>
                <w:szCs w:val="16"/>
                <w:b w:val="1"/>
                <w:bCs w:val="1"/>
                <w:color w:val="auto"/>
              </w:rPr>
              <w:t>Cumulative Paid Loss and Allocated Loss Adjustment Expenses, Net of Reinsurance</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tcPr>
          <w:p>
            <w:pPr>
              <w:jc w:val="center"/>
              <w:ind w:right="99"/>
              <w:spacing w:after="0" w:line="167" w:lineRule="exact"/>
              <w:rPr>
                <w:sz w:val="20"/>
                <w:szCs w:val="20"/>
                <w:color w:val="auto"/>
              </w:rPr>
            </w:pPr>
            <w:r>
              <w:rPr>
                <w:rFonts w:ascii="Times New Roman" w:cs="Times New Roman" w:eastAsia="Times New Roman" w:hAnsi="Times New Roman"/>
                <w:sz w:val="16"/>
                <w:szCs w:val="16"/>
                <w:b w:val="1"/>
                <w:bCs w:val="1"/>
                <w:color w:val="auto"/>
              </w:rPr>
              <w:t>Three</w:t>
            </w:r>
          </w:p>
        </w:tc>
        <w:tc>
          <w:tcPr>
            <w:tcW w:w="0" w:type="dxa"/>
            <w:vAlign w:val="bottom"/>
          </w:tcPr>
          <w:p>
            <w:pPr>
              <w:spacing w:after="0"/>
              <w:rPr>
                <w:sz w:val="1"/>
                <w:szCs w:val="1"/>
                <w:color w:val="auto"/>
              </w:rPr>
            </w:pPr>
          </w:p>
        </w:tc>
      </w:tr>
      <w:tr>
        <w:trPr>
          <w:trHeight w:val="189"/>
        </w:trPr>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80" w:type="dxa"/>
            <w:vAlign w:val="bottom"/>
            <w:gridSpan w:val="5"/>
            <w:vMerge w:val="restart"/>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For the Years Ended December 31,</w:t>
            </w:r>
          </w:p>
        </w:tc>
        <w:tc>
          <w:tcPr>
            <w:tcW w:w="2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Months Ended</w:t>
            </w:r>
          </w:p>
        </w:tc>
        <w:tc>
          <w:tcPr>
            <w:tcW w:w="0" w:type="dxa"/>
            <w:vAlign w:val="bottom"/>
          </w:tcPr>
          <w:p>
            <w:pPr>
              <w:spacing w:after="0"/>
              <w:rPr>
                <w:sz w:val="1"/>
                <w:szCs w:val="1"/>
                <w:color w:val="auto"/>
              </w:rPr>
            </w:pPr>
          </w:p>
        </w:tc>
      </w:tr>
      <w:tr>
        <w:trPr>
          <w:trHeight w:val="131"/>
        </w:trPr>
        <w:tc>
          <w:tcPr>
            <w:tcW w:w="960" w:type="dxa"/>
            <w:vAlign w:val="bottom"/>
            <w:gridSpan w:val="2"/>
            <w:vMerge w:val="restart"/>
          </w:tcPr>
          <w:p>
            <w:pPr>
              <w:jc w:val="center"/>
              <w:ind w:right="80"/>
              <w:spacing w:after="0" w:line="158" w:lineRule="exact"/>
              <w:rPr>
                <w:sz w:val="20"/>
                <w:szCs w:val="20"/>
                <w:color w:val="auto"/>
              </w:rPr>
            </w:pPr>
            <w:r>
              <w:rPr>
                <w:rFonts w:ascii="Times New Roman" w:cs="Times New Roman" w:eastAsia="Times New Roman" w:hAnsi="Times New Roman"/>
                <w:sz w:val="16"/>
                <w:szCs w:val="16"/>
                <w:b w:val="1"/>
                <w:bCs w:val="1"/>
                <w:color w:val="auto"/>
                <w:w w:val="99"/>
              </w:rPr>
              <w:t>Accident</w:t>
            </w: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80" w:type="dxa"/>
            <w:vAlign w:val="bottom"/>
            <w:gridSpan w:val="5"/>
            <w:vMerge w:val="continue"/>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20" w:type="dxa"/>
            <w:vAlign w:val="bottom"/>
            <w:vMerge w:val="restart"/>
          </w:tcPr>
          <w:p>
            <w:pPr>
              <w:jc w:val="center"/>
              <w:ind w:right="99"/>
              <w:spacing w:after="0" w:line="158" w:lineRule="exact"/>
              <w:rPr>
                <w:sz w:val="20"/>
                <w:szCs w:val="20"/>
                <w:color w:val="auto"/>
              </w:rPr>
            </w:pPr>
            <w:r>
              <w:rPr>
                <w:rFonts w:ascii="Times New Roman" w:cs="Times New Roman" w:eastAsia="Times New Roman" w:hAnsi="Times New Roman"/>
                <w:sz w:val="16"/>
                <w:szCs w:val="16"/>
                <w:b w:val="1"/>
                <w:bCs w:val="1"/>
                <w:color w:val="auto"/>
                <w:w w:val="99"/>
              </w:rPr>
              <w:t>March 31,</w:t>
            </w:r>
          </w:p>
        </w:tc>
        <w:tc>
          <w:tcPr>
            <w:tcW w:w="0" w:type="dxa"/>
            <w:vAlign w:val="bottom"/>
          </w:tcPr>
          <w:p>
            <w:pPr>
              <w:spacing w:after="0"/>
              <w:rPr>
                <w:sz w:val="1"/>
                <w:szCs w:val="1"/>
                <w:color w:val="auto"/>
              </w:rPr>
            </w:pPr>
          </w:p>
        </w:tc>
      </w:tr>
      <w:tr>
        <w:trPr>
          <w:trHeight w:val="33"/>
        </w:trPr>
        <w:tc>
          <w:tcPr>
            <w:tcW w:w="960" w:type="dxa"/>
            <w:vAlign w:val="bottom"/>
            <w:gridSpan w:val="2"/>
            <w:vMerge w:val="continue"/>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96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4"/>
              </w:rPr>
              <w:t>Year</w:t>
            </w:r>
          </w:p>
        </w:tc>
        <w:tc>
          <w:tcPr>
            <w:tcW w:w="200" w:type="dxa"/>
            <w:vAlign w:val="bottom"/>
          </w:tcPr>
          <w:p>
            <w:pPr>
              <w:spacing w:after="0"/>
              <w:rPr>
                <w:sz w:val="18"/>
                <w:szCs w:val="18"/>
                <w:color w:val="auto"/>
              </w:rPr>
            </w:pPr>
          </w:p>
        </w:tc>
        <w:tc>
          <w:tcPr>
            <w:tcW w:w="70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2016</w:t>
            </w:r>
          </w:p>
        </w:tc>
        <w:tc>
          <w:tcPr>
            <w:tcW w:w="260" w:type="dxa"/>
            <w:vAlign w:val="bottom"/>
          </w:tcPr>
          <w:p>
            <w:pPr>
              <w:spacing w:after="0"/>
              <w:rPr>
                <w:sz w:val="18"/>
                <w:szCs w:val="18"/>
                <w:color w:val="auto"/>
              </w:rPr>
            </w:pPr>
          </w:p>
        </w:tc>
        <w:tc>
          <w:tcPr>
            <w:tcW w:w="72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2017</w:t>
            </w:r>
          </w:p>
        </w:tc>
        <w:tc>
          <w:tcPr>
            <w:tcW w:w="260" w:type="dxa"/>
            <w:vAlign w:val="bottom"/>
          </w:tcPr>
          <w:p>
            <w:pPr>
              <w:spacing w:after="0"/>
              <w:rPr>
                <w:sz w:val="18"/>
                <w:szCs w:val="18"/>
                <w:color w:val="auto"/>
              </w:rPr>
            </w:pPr>
          </w:p>
        </w:tc>
        <w:tc>
          <w:tcPr>
            <w:tcW w:w="720" w:type="dxa"/>
            <w:vAlign w:val="bottom"/>
          </w:tcPr>
          <w:p>
            <w:pPr>
              <w:ind w:left="80"/>
              <w:spacing w:after="0"/>
              <w:rPr>
                <w:sz w:val="20"/>
                <w:szCs w:val="20"/>
                <w:color w:val="auto"/>
              </w:rPr>
            </w:pPr>
            <w:r>
              <w:rPr>
                <w:rFonts w:ascii="Times New Roman" w:cs="Times New Roman" w:eastAsia="Times New Roman" w:hAnsi="Times New Roman"/>
                <w:sz w:val="16"/>
                <w:szCs w:val="16"/>
                <w:b w:val="1"/>
                <w:bCs w:val="1"/>
                <w:color w:val="auto"/>
              </w:rPr>
              <w:t>2018</w:t>
            </w:r>
          </w:p>
        </w:tc>
        <w:tc>
          <w:tcPr>
            <w:tcW w:w="220" w:type="dxa"/>
            <w:vAlign w:val="bottom"/>
          </w:tcPr>
          <w:p>
            <w:pPr>
              <w:spacing w:after="0"/>
              <w:rPr>
                <w:sz w:val="18"/>
                <w:szCs w:val="18"/>
                <w:color w:val="auto"/>
              </w:rPr>
            </w:pPr>
          </w:p>
        </w:tc>
        <w:tc>
          <w:tcPr>
            <w:tcW w:w="74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2019</w:t>
            </w:r>
          </w:p>
        </w:tc>
        <w:tc>
          <w:tcPr>
            <w:tcW w:w="260" w:type="dxa"/>
            <w:vAlign w:val="bottom"/>
          </w:tcPr>
          <w:p>
            <w:pPr>
              <w:spacing w:after="0"/>
              <w:rPr>
                <w:sz w:val="18"/>
                <w:szCs w:val="18"/>
                <w:color w:val="auto"/>
              </w:rPr>
            </w:pPr>
          </w:p>
        </w:tc>
        <w:tc>
          <w:tcPr>
            <w:tcW w:w="720" w:type="dxa"/>
            <w:vAlign w:val="bottom"/>
          </w:tcPr>
          <w:p>
            <w:pPr>
              <w:jc w:val="center"/>
              <w:ind w:right="119"/>
              <w:spacing w:after="0"/>
              <w:rPr>
                <w:sz w:val="20"/>
                <w:szCs w:val="20"/>
                <w:color w:val="auto"/>
              </w:rPr>
            </w:pPr>
            <w:r>
              <w:rPr>
                <w:rFonts w:ascii="Times New Roman" w:cs="Times New Roman" w:eastAsia="Times New Roman" w:hAnsi="Times New Roman"/>
                <w:sz w:val="16"/>
                <w:szCs w:val="16"/>
                <w:b w:val="1"/>
                <w:bCs w:val="1"/>
                <w:color w:val="auto"/>
                <w:w w:val="99"/>
              </w:rPr>
              <w:t>2020</w:t>
            </w:r>
          </w:p>
        </w:tc>
        <w:tc>
          <w:tcPr>
            <w:tcW w:w="260" w:type="dxa"/>
            <w:vAlign w:val="bottom"/>
          </w:tcPr>
          <w:p>
            <w:pPr>
              <w:spacing w:after="0"/>
              <w:rPr>
                <w:sz w:val="18"/>
                <w:szCs w:val="18"/>
                <w:color w:val="auto"/>
              </w:rPr>
            </w:pPr>
          </w:p>
        </w:tc>
        <w:tc>
          <w:tcPr>
            <w:tcW w:w="70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2021</w:t>
            </w:r>
          </w:p>
        </w:tc>
        <w:tc>
          <w:tcPr>
            <w:tcW w:w="260" w:type="dxa"/>
            <w:vAlign w:val="bottom"/>
          </w:tcPr>
          <w:p>
            <w:pPr>
              <w:spacing w:after="0"/>
              <w:rPr>
                <w:sz w:val="18"/>
                <w:szCs w:val="18"/>
                <w:color w:val="auto"/>
              </w:rPr>
            </w:pPr>
          </w:p>
        </w:tc>
        <w:tc>
          <w:tcPr>
            <w:tcW w:w="72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2022</w:t>
            </w:r>
          </w:p>
        </w:tc>
        <w:tc>
          <w:tcPr>
            <w:tcW w:w="260" w:type="dxa"/>
            <w:vAlign w:val="bottom"/>
          </w:tcPr>
          <w:p>
            <w:pPr>
              <w:spacing w:after="0"/>
              <w:rPr>
                <w:sz w:val="18"/>
                <w:szCs w:val="18"/>
                <w:color w:val="auto"/>
              </w:rPr>
            </w:pPr>
          </w:p>
        </w:tc>
        <w:tc>
          <w:tcPr>
            <w:tcW w:w="72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2023</w:t>
            </w:r>
          </w:p>
        </w:tc>
        <w:tc>
          <w:tcPr>
            <w:tcW w:w="340" w:type="dxa"/>
            <w:vAlign w:val="bottom"/>
          </w:tcPr>
          <w:p>
            <w:pPr>
              <w:spacing w:after="0"/>
              <w:rPr>
                <w:sz w:val="18"/>
                <w:szCs w:val="18"/>
                <w:color w:val="auto"/>
              </w:rPr>
            </w:pPr>
          </w:p>
        </w:tc>
        <w:tc>
          <w:tcPr>
            <w:tcW w:w="62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2025</w:t>
            </w:r>
          </w:p>
        </w:tc>
        <w:tc>
          <w:tcPr>
            <w:tcW w:w="0" w:type="dxa"/>
            <w:vAlign w:val="bottom"/>
          </w:tcPr>
          <w:p>
            <w:pPr>
              <w:spacing w:after="0"/>
              <w:rPr>
                <w:sz w:val="1"/>
                <w:szCs w:val="1"/>
                <w:color w:val="auto"/>
              </w:rPr>
            </w:pPr>
          </w:p>
        </w:tc>
      </w:tr>
      <w:tr>
        <w:trPr>
          <w:trHeight w:val="33"/>
        </w:trPr>
        <w:tc>
          <w:tcPr>
            <w:tcW w:w="8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680" w:type="dxa"/>
            <w:vAlign w:val="bottom"/>
            <w:tcBorders>
              <w:bottom w:val="single" w:sz="8" w:color="auto"/>
            </w:tcBorders>
            <w:gridSpan w:val="5"/>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6"/>
        </w:trPr>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80" w:type="dxa"/>
            <w:vAlign w:val="bottom"/>
            <w:gridSpan w:val="5"/>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(Unaudited 2015 - 2024)</w:t>
            </w: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w w:val="99"/>
              </w:rPr>
              <w:t>(Unaudited)</w:t>
            </w:r>
          </w:p>
        </w:tc>
        <w:tc>
          <w:tcPr>
            <w:tcW w:w="0" w:type="dxa"/>
            <w:vAlign w:val="bottom"/>
          </w:tcPr>
          <w:p>
            <w:pPr>
              <w:spacing w:after="0"/>
              <w:rPr>
                <w:sz w:val="1"/>
                <w:szCs w:val="1"/>
                <w:color w:val="auto"/>
              </w:rPr>
            </w:pPr>
          </w:p>
        </w:tc>
      </w:tr>
      <w:tr>
        <w:trPr>
          <w:trHeight w:val="31"/>
        </w:trPr>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2016</w:t>
            </w: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15,364</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19,001</w:t>
            </w:r>
          </w:p>
        </w:tc>
        <w:tc>
          <w:tcPr>
            <w:tcW w:w="2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21,106</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23,974</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25,234</w:t>
            </w:r>
          </w:p>
        </w:tc>
        <w:tc>
          <w:tcPr>
            <w:tcW w:w="2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bottom w:val="single" w:sz="8" w:color="CCEEFF"/>
            </w:tcBorders>
            <w:shd w:val="clear" w:color="auto" w:fill="CCEEFF"/>
          </w:tcPr>
          <w:p>
            <w:pPr>
              <w:jc w:val="center"/>
              <w:ind w:left="19"/>
              <w:spacing w:after="0"/>
              <w:rPr>
                <w:sz w:val="20"/>
                <w:szCs w:val="20"/>
                <w:color w:val="auto"/>
              </w:rPr>
            </w:pPr>
            <w:r>
              <w:rPr>
                <w:rFonts w:ascii="Times New Roman" w:cs="Times New Roman" w:eastAsia="Times New Roman" w:hAnsi="Times New Roman"/>
                <w:sz w:val="16"/>
                <w:szCs w:val="16"/>
                <w:color w:val="auto"/>
                <w:w w:val="99"/>
              </w:rPr>
              <w:t>25,750</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26,382</w:t>
            </w:r>
          </w:p>
        </w:tc>
        <w:tc>
          <w:tcPr>
            <w:tcW w:w="2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26,854</w:t>
            </w:r>
          </w:p>
        </w:tc>
        <w:tc>
          <w:tcPr>
            <w:tcW w:w="34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26,808</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26,816</w:t>
            </w:r>
          </w:p>
        </w:tc>
        <w:tc>
          <w:tcPr>
            <w:tcW w:w="0" w:type="dxa"/>
            <w:vAlign w:val="bottom"/>
          </w:tcPr>
          <w:p>
            <w:pPr>
              <w:spacing w:after="0"/>
              <w:rPr>
                <w:sz w:val="1"/>
                <w:szCs w:val="1"/>
                <w:color w:val="auto"/>
              </w:rPr>
            </w:pPr>
          </w:p>
        </w:tc>
      </w:tr>
      <w:tr>
        <w:trPr>
          <w:trHeight w:val="210"/>
        </w:trPr>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2017</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16,704</w:t>
            </w:r>
          </w:p>
        </w:tc>
        <w:tc>
          <w:tcPr>
            <w:tcW w:w="260" w:type="dxa"/>
            <w:vAlign w:val="bottom"/>
          </w:tcPr>
          <w:p>
            <w:pPr>
              <w:spacing w:after="0"/>
              <w:rPr>
                <w:sz w:val="18"/>
                <w:szCs w:val="18"/>
                <w:color w:val="auto"/>
              </w:rPr>
            </w:pPr>
          </w:p>
        </w:tc>
        <w:tc>
          <w:tcPr>
            <w:tcW w:w="7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24,820</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28,693</w:t>
            </w:r>
          </w:p>
        </w:tc>
        <w:tc>
          <w:tcPr>
            <w:tcW w:w="260" w:type="dxa"/>
            <w:vAlign w:val="bottom"/>
          </w:tcPr>
          <w:p>
            <w:pPr>
              <w:spacing w:after="0"/>
              <w:rPr>
                <w:sz w:val="18"/>
                <w:szCs w:val="18"/>
                <w:color w:val="auto"/>
              </w:rPr>
            </w:pPr>
          </w:p>
        </w:tc>
        <w:tc>
          <w:tcPr>
            <w:tcW w:w="7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31,393</w:t>
            </w:r>
          </w:p>
        </w:tc>
        <w:tc>
          <w:tcPr>
            <w:tcW w:w="260" w:type="dxa"/>
            <w:vAlign w:val="bottom"/>
          </w:tcPr>
          <w:p>
            <w:pPr>
              <w:spacing w:after="0"/>
              <w:rPr>
                <w:sz w:val="18"/>
                <w:szCs w:val="18"/>
                <w:color w:val="auto"/>
              </w:rPr>
            </w:pPr>
          </w:p>
        </w:tc>
        <w:tc>
          <w:tcPr>
            <w:tcW w:w="700" w:type="dxa"/>
            <w:vAlign w:val="bottom"/>
          </w:tcPr>
          <w:p>
            <w:pPr>
              <w:jc w:val="center"/>
              <w:ind w:left="19"/>
              <w:spacing w:after="0"/>
              <w:rPr>
                <w:sz w:val="20"/>
                <w:szCs w:val="20"/>
                <w:color w:val="auto"/>
              </w:rPr>
            </w:pPr>
            <w:r>
              <w:rPr>
                <w:rFonts w:ascii="Times New Roman" w:cs="Times New Roman" w:eastAsia="Times New Roman" w:hAnsi="Times New Roman"/>
                <w:sz w:val="16"/>
                <w:szCs w:val="16"/>
                <w:color w:val="auto"/>
                <w:w w:val="99"/>
              </w:rPr>
              <w:t>32,529</w:t>
            </w:r>
          </w:p>
        </w:tc>
        <w:tc>
          <w:tcPr>
            <w:tcW w:w="260" w:type="dxa"/>
            <w:vAlign w:val="bottom"/>
          </w:tcPr>
          <w:p>
            <w:pPr>
              <w:spacing w:after="0"/>
              <w:rPr>
                <w:sz w:val="18"/>
                <w:szCs w:val="18"/>
                <w:color w:val="auto"/>
              </w:rPr>
            </w:pPr>
          </w:p>
        </w:tc>
        <w:tc>
          <w:tcPr>
            <w:tcW w:w="7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33,522</w:t>
            </w: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34,683</w:t>
            </w:r>
          </w:p>
        </w:tc>
        <w:tc>
          <w:tcPr>
            <w:tcW w:w="3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35,046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35,229</w:t>
            </w:r>
          </w:p>
        </w:tc>
        <w:tc>
          <w:tcPr>
            <w:tcW w:w="0" w:type="dxa"/>
            <w:vAlign w:val="bottom"/>
          </w:tcPr>
          <w:p>
            <w:pPr>
              <w:spacing w:after="0"/>
              <w:rPr>
                <w:sz w:val="1"/>
                <w:szCs w:val="1"/>
                <w:color w:val="auto"/>
              </w:rPr>
            </w:pPr>
          </w:p>
        </w:tc>
      </w:tr>
      <w:tr>
        <w:trPr>
          <w:trHeight w:val="33"/>
        </w:trPr>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20" w:type="dxa"/>
            <w:vAlign w:val="bottom"/>
          </w:tcPr>
          <w:p>
            <w:pPr>
              <w:spacing w:after="0"/>
              <w:rPr>
                <w:sz w:val="2"/>
                <w:szCs w:val="2"/>
                <w:color w:val="auto"/>
              </w:rPr>
            </w:pPr>
          </w:p>
        </w:tc>
        <w:tc>
          <w:tcPr>
            <w:tcW w:w="3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8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2018</w:t>
            </w: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32,383</w:t>
            </w:r>
          </w:p>
        </w:tc>
        <w:tc>
          <w:tcPr>
            <w:tcW w:w="22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44,516</w:t>
            </w:r>
          </w:p>
        </w:tc>
        <w:tc>
          <w:tcPr>
            <w:tcW w:w="26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50,553</w:t>
            </w:r>
          </w:p>
        </w:tc>
        <w:tc>
          <w:tcPr>
            <w:tcW w:w="26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jc w:val="center"/>
              <w:ind w:left="19"/>
              <w:spacing w:after="0"/>
              <w:rPr>
                <w:sz w:val="20"/>
                <w:szCs w:val="20"/>
                <w:color w:val="auto"/>
              </w:rPr>
            </w:pPr>
            <w:r>
              <w:rPr>
                <w:rFonts w:ascii="Times New Roman" w:cs="Times New Roman" w:eastAsia="Times New Roman" w:hAnsi="Times New Roman"/>
                <w:sz w:val="16"/>
                <w:szCs w:val="16"/>
                <w:color w:val="auto"/>
                <w:w w:val="99"/>
              </w:rPr>
              <w:t>52,025</w:t>
            </w:r>
          </w:p>
        </w:tc>
        <w:tc>
          <w:tcPr>
            <w:tcW w:w="26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54,424</w:t>
            </w:r>
          </w:p>
        </w:tc>
        <w:tc>
          <w:tcPr>
            <w:tcW w:w="26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56,199</w:t>
            </w:r>
          </w:p>
        </w:tc>
        <w:tc>
          <w:tcPr>
            <w:tcW w:w="34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57,185</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57,492</w:t>
            </w:r>
          </w:p>
        </w:tc>
        <w:tc>
          <w:tcPr>
            <w:tcW w:w="0" w:type="dxa"/>
            <w:vAlign w:val="bottom"/>
          </w:tcPr>
          <w:p>
            <w:pPr>
              <w:spacing w:after="0"/>
              <w:rPr>
                <w:sz w:val="1"/>
                <w:szCs w:val="1"/>
                <w:color w:val="auto"/>
              </w:rPr>
            </w:pPr>
          </w:p>
        </w:tc>
      </w:tr>
      <w:tr>
        <w:trPr>
          <w:trHeight w:val="210"/>
        </w:trPr>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2019</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40,933</w:t>
            </w:r>
          </w:p>
        </w:tc>
        <w:tc>
          <w:tcPr>
            <w:tcW w:w="260" w:type="dxa"/>
            <w:vAlign w:val="bottom"/>
          </w:tcPr>
          <w:p>
            <w:pPr>
              <w:spacing w:after="0"/>
              <w:rPr>
                <w:sz w:val="18"/>
                <w:szCs w:val="18"/>
                <w:color w:val="auto"/>
              </w:rPr>
            </w:pPr>
          </w:p>
        </w:tc>
        <w:tc>
          <w:tcPr>
            <w:tcW w:w="7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54,897</w:t>
            </w:r>
          </w:p>
        </w:tc>
        <w:tc>
          <w:tcPr>
            <w:tcW w:w="260" w:type="dxa"/>
            <w:vAlign w:val="bottom"/>
          </w:tcPr>
          <w:p>
            <w:pPr>
              <w:spacing w:after="0"/>
              <w:rPr>
                <w:sz w:val="18"/>
                <w:szCs w:val="18"/>
                <w:color w:val="auto"/>
              </w:rPr>
            </w:pPr>
          </w:p>
        </w:tc>
        <w:tc>
          <w:tcPr>
            <w:tcW w:w="700" w:type="dxa"/>
            <w:vAlign w:val="bottom"/>
          </w:tcPr>
          <w:p>
            <w:pPr>
              <w:jc w:val="center"/>
              <w:ind w:left="19"/>
              <w:spacing w:after="0"/>
              <w:rPr>
                <w:sz w:val="20"/>
                <w:szCs w:val="20"/>
                <w:color w:val="auto"/>
              </w:rPr>
            </w:pPr>
            <w:r>
              <w:rPr>
                <w:rFonts w:ascii="Times New Roman" w:cs="Times New Roman" w:eastAsia="Times New Roman" w:hAnsi="Times New Roman"/>
                <w:sz w:val="16"/>
                <w:szCs w:val="16"/>
                <w:color w:val="auto"/>
                <w:w w:val="99"/>
              </w:rPr>
              <w:t>58,055</w:t>
            </w:r>
          </w:p>
        </w:tc>
        <w:tc>
          <w:tcPr>
            <w:tcW w:w="260" w:type="dxa"/>
            <w:vAlign w:val="bottom"/>
          </w:tcPr>
          <w:p>
            <w:pPr>
              <w:spacing w:after="0"/>
              <w:rPr>
                <w:sz w:val="18"/>
                <w:szCs w:val="18"/>
                <w:color w:val="auto"/>
              </w:rPr>
            </w:pPr>
          </w:p>
        </w:tc>
        <w:tc>
          <w:tcPr>
            <w:tcW w:w="7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60,374</w:t>
            </w: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63,932</w:t>
            </w:r>
          </w:p>
        </w:tc>
        <w:tc>
          <w:tcPr>
            <w:tcW w:w="3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66,109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67,507</w:t>
            </w:r>
          </w:p>
        </w:tc>
        <w:tc>
          <w:tcPr>
            <w:tcW w:w="0" w:type="dxa"/>
            <w:vAlign w:val="bottom"/>
          </w:tcPr>
          <w:p>
            <w:pPr>
              <w:spacing w:after="0"/>
              <w:rPr>
                <w:sz w:val="1"/>
                <w:szCs w:val="1"/>
                <w:color w:val="auto"/>
              </w:rPr>
            </w:pPr>
          </w:p>
        </w:tc>
      </w:tr>
      <w:tr>
        <w:trPr>
          <w:trHeight w:val="33"/>
        </w:trPr>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20" w:type="dxa"/>
            <w:vAlign w:val="bottom"/>
          </w:tcPr>
          <w:p>
            <w:pPr>
              <w:spacing w:after="0"/>
              <w:rPr>
                <w:sz w:val="2"/>
                <w:szCs w:val="2"/>
                <w:color w:val="auto"/>
              </w:rPr>
            </w:pPr>
          </w:p>
        </w:tc>
        <w:tc>
          <w:tcPr>
            <w:tcW w:w="3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8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2020</w:t>
            </w: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39,045</w:t>
            </w:r>
          </w:p>
        </w:tc>
        <w:tc>
          <w:tcPr>
            <w:tcW w:w="26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jc w:val="center"/>
              <w:ind w:left="19"/>
              <w:spacing w:after="0"/>
              <w:rPr>
                <w:sz w:val="20"/>
                <w:szCs w:val="20"/>
                <w:color w:val="auto"/>
              </w:rPr>
            </w:pPr>
            <w:r>
              <w:rPr>
                <w:rFonts w:ascii="Times New Roman" w:cs="Times New Roman" w:eastAsia="Times New Roman" w:hAnsi="Times New Roman"/>
                <w:sz w:val="16"/>
                <w:szCs w:val="16"/>
                <w:color w:val="auto"/>
                <w:w w:val="99"/>
              </w:rPr>
              <w:t>50,719</w:t>
            </w:r>
          </w:p>
        </w:tc>
        <w:tc>
          <w:tcPr>
            <w:tcW w:w="26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53,432</w:t>
            </w:r>
          </w:p>
        </w:tc>
        <w:tc>
          <w:tcPr>
            <w:tcW w:w="26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56,523</w:t>
            </w:r>
          </w:p>
        </w:tc>
        <w:tc>
          <w:tcPr>
            <w:tcW w:w="34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59,220</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59,544</w:t>
            </w:r>
          </w:p>
        </w:tc>
        <w:tc>
          <w:tcPr>
            <w:tcW w:w="0" w:type="dxa"/>
            <w:vAlign w:val="bottom"/>
          </w:tcPr>
          <w:p>
            <w:pPr>
              <w:spacing w:after="0"/>
              <w:rPr>
                <w:sz w:val="1"/>
                <w:szCs w:val="1"/>
                <w:color w:val="auto"/>
              </w:rPr>
            </w:pPr>
          </w:p>
        </w:tc>
      </w:tr>
      <w:tr>
        <w:trPr>
          <w:trHeight w:val="210"/>
        </w:trPr>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2021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jc w:val="center"/>
              <w:ind w:left="19"/>
              <w:spacing w:after="0"/>
              <w:rPr>
                <w:sz w:val="20"/>
                <w:szCs w:val="20"/>
                <w:color w:val="auto"/>
              </w:rPr>
            </w:pPr>
            <w:r>
              <w:rPr>
                <w:rFonts w:ascii="Times New Roman" w:cs="Times New Roman" w:eastAsia="Times New Roman" w:hAnsi="Times New Roman"/>
                <w:sz w:val="16"/>
                <w:szCs w:val="16"/>
                <w:color w:val="auto"/>
                <w:w w:val="99"/>
              </w:rPr>
              <w:t>56,282</w:t>
            </w:r>
          </w:p>
        </w:tc>
        <w:tc>
          <w:tcPr>
            <w:tcW w:w="260" w:type="dxa"/>
            <w:vAlign w:val="bottom"/>
          </w:tcPr>
          <w:p>
            <w:pPr>
              <w:spacing w:after="0"/>
              <w:rPr>
                <w:sz w:val="18"/>
                <w:szCs w:val="18"/>
                <w:color w:val="auto"/>
              </w:rPr>
            </w:pPr>
          </w:p>
        </w:tc>
        <w:tc>
          <w:tcPr>
            <w:tcW w:w="7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77,756</w:t>
            </w: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82,317</w:t>
            </w:r>
          </w:p>
        </w:tc>
        <w:tc>
          <w:tcPr>
            <w:tcW w:w="3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85,314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86,548</w:t>
            </w:r>
          </w:p>
        </w:tc>
        <w:tc>
          <w:tcPr>
            <w:tcW w:w="0" w:type="dxa"/>
            <w:vAlign w:val="bottom"/>
          </w:tcPr>
          <w:p>
            <w:pPr>
              <w:spacing w:after="0"/>
              <w:rPr>
                <w:sz w:val="1"/>
                <w:szCs w:val="1"/>
                <w:color w:val="auto"/>
              </w:rPr>
            </w:pPr>
          </w:p>
        </w:tc>
      </w:tr>
      <w:tr>
        <w:trPr>
          <w:trHeight w:val="33"/>
        </w:trPr>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20" w:type="dxa"/>
            <w:vAlign w:val="bottom"/>
          </w:tcPr>
          <w:p>
            <w:pPr>
              <w:spacing w:after="0"/>
              <w:rPr>
                <w:sz w:val="2"/>
                <w:szCs w:val="2"/>
                <w:color w:val="auto"/>
              </w:rPr>
            </w:pPr>
          </w:p>
        </w:tc>
        <w:tc>
          <w:tcPr>
            <w:tcW w:w="3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8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2022</w:t>
            </w: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45,856</w:t>
            </w:r>
          </w:p>
        </w:tc>
        <w:tc>
          <w:tcPr>
            <w:tcW w:w="26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65,732</w:t>
            </w:r>
          </w:p>
        </w:tc>
        <w:tc>
          <w:tcPr>
            <w:tcW w:w="34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68,170</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69,119</w:t>
            </w:r>
          </w:p>
        </w:tc>
        <w:tc>
          <w:tcPr>
            <w:tcW w:w="0" w:type="dxa"/>
            <w:vAlign w:val="bottom"/>
          </w:tcPr>
          <w:p>
            <w:pPr>
              <w:spacing w:after="0"/>
              <w:rPr>
                <w:sz w:val="1"/>
                <w:szCs w:val="1"/>
                <w:color w:val="auto"/>
              </w:rPr>
            </w:pPr>
          </w:p>
        </w:tc>
      </w:tr>
      <w:tr>
        <w:trPr>
          <w:trHeight w:val="210"/>
        </w:trPr>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2023</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46,280</w:t>
            </w:r>
          </w:p>
        </w:tc>
        <w:tc>
          <w:tcPr>
            <w:tcW w:w="3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56,952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57,894</w:t>
            </w:r>
          </w:p>
        </w:tc>
        <w:tc>
          <w:tcPr>
            <w:tcW w:w="0" w:type="dxa"/>
            <w:vAlign w:val="bottom"/>
          </w:tcPr>
          <w:p>
            <w:pPr>
              <w:spacing w:after="0"/>
              <w:rPr>
                <w:sz w:val="1"/>
                <w:szCs w:val="1"/>
                <w:color w:val="auto"/>
              </w:rPr>
            </w:pPr>
          </w:p>
        </w:tc>
      </w:tr>
      <w:tr>
        <w:trPr>
          <w:trHeight w:val="33"/>
        </w:trPr>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20" w:type="dxa"/>
            <w:vAlign w:val="bottom"/>
          </w:tcPr>
          <w:p>
            <w:pPr>
              <w:spacing w:after="0"/>
              <w:rPr>
                <w:sz w:val="2"/>
                <w:szCs w:val="2"/>
                <w:color w:val="auto"/>
              </w:rPr>
            </w:pPr>
          </w:p>
        </w:tc>
        <w:tc>
          <w:tcPr>
            <w:tcW w:w="3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8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2024</w:t>
            </w: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29,013</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36,168</w:t>
            </w:r>
          </w:p>
        </w:tc>
        <w:tc>
          <w:tcPr>
            <w:tcW w:w="0" w:type="dxa"/>
            <w:vAlign w:val="bottom"/>
          </w:tcPr>
          <w:p>
            <w:pPr>
              <w:spacing w:after="0"/>
              <w:rPr>
                <w:sz w:val="1"/>
                <w:szCs w:val="1"/>
                <w:color w:val="auto"/>
              </w:rPr>
            </w:pPr>
          </w:p>
        </w:tc>
      </w:tr>
      <w:tr>
        <w:trPr>
          <w:trHeight w:val="210"/>
        </w:trPr>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2025</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4,466</w:t>
            </w:r>
          </w:p>
        </w:tc>
        <w:tc>
          <w:tcPr>
            <w:tcW w:w="0" w:type="dxa"/>
            <w:vAlign w:val="bottom"/>
          </w:tcPr>
          <w:p>
            <w:pPr>
              <w:spacing w:after="0"/>
              <w:rPr>
                <w:sz w:val="1"/>
                <w:szCs w:val="1"/>
                <w:color w:val="auto"/>
              </w:rPr>
            </w:pPr>
          </w:p>
        </w:tc>
      </w:tr>
      <w:tr>
        <w:trPr>
          <w:trHeight w:val="33"/>
        </w:trPr>
        <w:tc>
          <w:tcPr>
            <w:tcW w:w="8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6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8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500,783</w:t>
            </w:r>
          </w:p>
        </w:tc>
        <w:tc>
          <w:tcPr>
            <w:tcW w:w="0" w:type="dxa"/>
            <w:vAlign w:val="bottom"/>
          </w:tcPr>
          <w:p>
            <w:pPr>
              <w:spacing w:after="0"/>
              <w:rPr>
                <w:sz w:val="1"/>
                <w:szCs w:val="1"/>
                <w:color w:val="auto"/>
              </w:rPr>
            </w:pPr>
          </w:p>
        </w:tc>
      </w:tr>
      <w:tr>
        <w:trPr>
          <w:trHeight w:val="237"/>
        </w:trPr>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8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6640" w:type="dxa"/>
            <w:vAlign w:val="bottom"/>
            <w:tcBorders>
              <w:bottom w:val="single" w:sz="8" w:color="CCEEFF"/>
            </w:tcBorders>
            <w:gridSpan w:val="14"/>
            <w:shd w:val="clear" w:color="auto" w:fill="CCEEFF"/>
          </w:tcPr>
          <w:p>
            <w:pPr>
              <w:jc w:val="center"/>
              <w:ind w:right="20"/>
              <w:spacing w:after="0"/>
              <w:rPr>
                <w:sz w:val="20"/>
                <w:szCs w:val="20"/>
                <w:color w:val="auto"/>
              </w:rPr>
            </w:pPr>
            <w:r>
              <w:rPr>
                <w:rFonts w:ascii="Times New Roman" w:cs="Times New Roman" w:eastAsia="Times New Roman" w:hAnsi="Times New Roman"/>
                <w:sz w:val="16"/>
                <w:szCs w:val="16"/>
                <w:color w:val="auto"/>
              </w:rPr>
              <w:t>Net liability for unpaid loss and allocated loss adjustment expenses for the accident years presented</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93,725</w:t>
            </w:r>
          </w:p>
        </w:tc>
        <w:tc>
          <w:tcPr>
            <w:tcW w:w="0" w:type="dxa"/>
            <w:vAlign w:val="bottom"/>
          </w:tcPr>
          <w:p>
            <w:pPr>
              <w:spacing w:after="0"/>
              <w:rPr>
                <w:sz w:val="1"/>
                <w:szCs w:val="1"/>
                <w:color w:val="auto"/>
              </w:rPr>
            </w:pPr>
          </w:p>
        </w:tc>
      </w:tr>
      <w:tr>
        <w:trPr>
          <w:trHeight w:val="210"/>
        </w:trPr>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980" w:type="dxa"/>
            <w:vAlign w:val="bottom"/>
            <w:gridSpan w:val="9"/>
          </w:tcPr>
          <w:p>
            <w:pPr>
              <w:jc w:val="right"/>
              <w:ind w:right="120"/>
              <w:spacing w:after="0"/>
              <w:rPr>
                <w:sz w:val="20"/>
                <w:szCs w:val="20"/>
                <w:color w:val="auto"/>
              </w:rPr>
            </w:pPr>
            <w:r>
              <w:rPr>
                <w:rFonts w:ascii="Times New Roman" w:cs="Times New Roman" w:eastAsia="Times New Roman" w:hAnsi="Times New Roman"/>
                <w:sz w:val="16"/>
                <w:szCs w:val="16"/>
                <w:color w:val="auto"/>
              </w:rPr>
              <w:t>All outstanding liabilities before 2016, net of reinsurance</w:t>
            </w: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1,683</w:t>
            </w:r>
          </w:p>
        </w:tc>
        <w:tc>
          <w:tcPr>
            <w:tcW w:w="0" w:type="dxa"/>
            <w:vAlign w:val="bottom"/>
          </w:tcPr>
          <w:p>
            <w:pPr>
              <w:spacing w:after="0"/>
              <w:rPr>
                <w:sz w:val="1"/>
                <w:szCs w:val="1"/>
                <w:color w:val="auto"/>
              </w:rPr>
            </w:pPr>
          </w:p>
        </w:tc>
      </w:tr>
      <w:tr>
        <w:trPr>
          <w:trHeight w:val="33"/>
        </w:trPr>
        <w:tc>
          <w:tcPr>
            <w:tcW w:w="8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5600" w:type="dxa"/>
            <w:vAlign w:val="bottom"/>
            <w:tcBorders>
              <w:bottom w:val="single" w:sz="8" w:color="CCEEFF"/>
            </w:tcBorders>
            <w:gridSpan w:val="11"/>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8"/>
        </w:trPr>
        <w:tc>
          <w:tcPr>
            <w:tcW w:w="8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5700" w:type="dxa"/>
            <w:vAlign w:val="bottom"/>
            <w:tcBorders>
              <w:bottom w:val="single" w:sz="8" w:color="CCEEFF"/>
            </w:tcBorders>
            <w:gridSpan w:val="1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Liabilities for loss and allocated loss adjustment expenses, net of reinsurance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95,408</w:t>
            </w:r>
          </w:p>
        </w:tc>
        <w:tc>
          <w:tcPr>
            <w:tcW w:w="0" w:type="dxa"/>
            <w:vAlign w:val="bottom"/>
          </w:tcPr>
          <w:p>
            <w:pPr>
              <w:spacing w:after="0"/>
              <w:rPr>
                <w:sz w:val="1"/>
                <w:szCs w:val="1"/>
                <w:color w:val="auto"/>
              </w:rPr>
            </w:pPr>
          </w:p>
        </w:tc>
      </w:tr>
      <w:tr>
        <w:trPr>
          <w:trHeight w:val="20"/>
        </w:trPr>
        <w:tc>
          <w:tcPr>
            <w:tcW w:w="8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(Components may not sum to totals due to rounding)</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Reported claim counts are measured on an occurrence or per event basis. A single claim occurrence could result in more than one loss type or claimant; however, the Company counts claims at the occurrence level as a single claim regardless of the number of claimants or claim features involved.</w:t>
      </w:r>
    </w:p>
    <w:p>
      <w:pPr>
        <w:sectPr>
          <w:pgSz w:w="11900" w:h="16838" w:orient="portrait"/>
          <w:cols w:equalWidth="0" w:num="1">
            <w:col w:w="11240"/>
          </w:cols>
          <w:pgMar w:left="320" w:top="119" w:right="339" w:bottom="1440" w:gutter="0" w:footer="0" w:header="0"/>
        </w:sectPr>
      </w:pP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27" w:name="page28"/>
    <w:bookmarkEnd w:id="27"/>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reconciliation of the net incurred and paid loss development tables to the loss and LAE reserves in the condensed consolidated balance sheet is as follows: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Reconciliation of the Disclosure of Incurred and Paid Loss Development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the Liability for Loss and LAE Reserves</w:t>
      </w:r>
    </w:p>
    <w:p>
      <w:pPr>
        <w:spacing w:after="0" w:line="252" w:lineRule="exact"/>
        <w:rPr>
          <w:sz w:val="20"/>
          <w:szCs w:val="20"/>
          <w:color w:val="auto"/>
        </w:rPr>
      </w:pPr>
    </w:p>
    <w:tbl>
      <w:tblPr>
        <w:tblLayout w:type="fixed"/>
        <w:tblInd w:w="880" w:type="dxa"/>
        <w:tblCellMar>
          <w:top w:w="0" w:type="dxa"/>
          <w:left w:w="0" w:type="dxa"/>
          <w:bottom w:w="0" w:type="dxa"/>
          <w:right w:w="0" w:type="dxa"/>
        </w:tblCellMar>
      </w:tblPr>
      <w:tr>
        <w:trPr>
          <w:trHeight w:val="207"/>
        </w:trPr>
        <w:tc>
          <w:tcPr>
            <w:tcW w:w="7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As of</w:t>
            </w:r>
          </w:p>
        </w:tc>
      </w:tr>
      <w:tr>
        <w:trPr>
          <w:trHeight w:val="245"/>
        </w:trPr>
        <w:tc>
          <w:tcPr>
            <w:tcW w:w="7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4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98"/>
              </w:rPr>
              <w:t>March 31, 2025</w:t>
            </w:r>
          </w:p>
        </w:tc>
      </w:tr>
      <w:tr>
        <w:trPr>
          <w:trHeight w:val="257"/>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Liabilities for allocated loss and loss adjustment expenses, net of reinsurance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95,408</w:t>
            </w:r>
          </w:p>
        </w:tc>
      </w:tr>
      <w:tr>
        <w:trPr>
          <w:trHeight w:val="250"/>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reinsurance recoverable on unpaid losses</w:t>
            </w:r>
          </w:p>
        </w:tc>
        <w:tc>
          <w:tcPr>
            <w:tcW w:w="1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33,242</w:t>
            </w:r>
          </w:p>
        </w:tc>
      </w:tr>
      <w:tr>
        <w:trPr>
          <w:trHeight w:val="263"/>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Unallocated loss adjustment expenses</w:t>
            </w:r>
          </w:p>
        </w:tc>
        <w:tc>
          <w:tcPr>
            <w:tcW w:w="140" w:type="dxa"/>
            <w:vAlign w:val="bottom"/>
            <w:tcBorders>
              <w:bottom w:val="single" w:sz="8" w:color="auto"/>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6,685</w:t>
            </w:r>
          </w:p>
        </w:tc>
      </w:tr>
      <w:tr>
        <w:trPr>
          <w:trHeight w:val="243"/>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gross liability for loss and LAE reserves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135,335</w:t>
            </w:r>
          </w:p>
        </w:tc>
      </w:tr>
      <w:tr>
        <w:trPr>
          <w:trHeight w:val="27"/>
        </w:trPr>
        <w:tc>
          <w:tcPr>
            <w:tcW w:w="79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Reinsurance</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January 1, 2024, the Company entered into a 27% quota share reinsurance treaty for its personal lines business, which primarily consists of homeowners’ and dwelling fire policies covering the period from January 1, 2024 through January 1, 2025 (“2024/2025 Treaty”). Upon the expiration of the 2024/2025 Treaty on January 1, 2025, the Company entered into a new 16% quota share reinsurance treaty for its personal lines business, covering the period from January 1, 2025 through January 1, 2026 (“2025/2026 Treaty”).</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Company’s excess of loss and catastrophe reinsurance treaties expired on June 30, 2024 and the Company entered into new excess of loss and catastrophe reinsurance treaties effective July 1, 2024. Effective January 1, 2024, the Company renewed an underlying excess of loss reinsurance treaty (“Underlying XOL Treaty”) covering the period from January 1, 2024 through January 1, 2025. The treaty provided 50% reinsurance coverage for losses of $400,000 in excess of $600,000. Losses from named storms are excluded from the treaty. Effective January 1, 2025, the Underlying XOL Treaty was renewed covering the period from January 1, 2025 through June 30, 2025. For the period October 1, 2024 through April 30, 2025, the Company purchased catastrophe reinsurance which provides coverage for winter storm losses to the extent of 71% of $4,500,000 in excess of $5,500,000. Material terms for reinsurance treaties in effect for the treaty years shown below are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207"/>
        </w:trPr>
        <w:tc>
          <w:tcPr>
            <w:tcW w:w="2240" w:type="dxa"/>
            <w:vAlign w:val="bottom"/>
            <w:gridSpan w:val="5"/>
          </w:tcPr>
          <w:p>
            <w:pPr>
              <w:spacing w:after="0"/>
              <w:rPr>
                <w:sz w:val="20"/>
                <w:szCs w:val="20"/>
                <w:color w:val="auto"/>
              </w:rPr>
            </w:pPr>
            <w:r>
              <w:rPr>
                <w:rFonts w:ascii="Times New Roman" w:cs="Times New Roman" w:eastAsia="Times New Roman" w:hAnsi="Times New Roman"/>
                <w:sz w:val="18"/>
                <w:szCs w:val="18"/>
                <w:i w:val="1"/>
                <w:iCs w:val="1"/>
                <w:color w:val="0000FF"/>
              </w:rPr>
              <w:t>Table of Contents</w:t>
            </w: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40" w:type="dxa"/>
            <w:vAlign w:val="bottom"/>
          </w:tcPr>
          <w:p>
            <w:pPr>
              <w:spacing w:after="0"/>
              <w:rPr>
                <w:sz w:val="17"/>
                <w:szCs w:val="17"/>
                <w:color w:val="auto"/>
              </w:rPr>
            </w:pPr>
          </w:p>
        </w:tc>
      </w:tr>
      <w:tr>
        <w:trPr>
          <w:trHeight w:val="1108"/>
        </w:trPr>
        <w:tc>
          <w:tcPr>
            <w:tcW w:w="20" w:type="dxa"/>
            <w:vAlign w:val="bottom"/>
            <w:tcBorders>
              <w:top w:val="single" w:sz="8" w:color="0000FF"/>
            </w:tcBorders>
          </w:tcPr>
          <w:p>
            <w:pPr>
              <w:spacing w:after="0"/>
              <w:rPr>
                <w:sz w:val="24"/>
                <w:szCs w:val="24"/>
                <w:color w:val="auto"/>
              </w:rPr>
            </w:pPr>
          </w:p>
        </w:tc>
        <w:tc>
          <w:tcPr>
            <w:tcW w:w="112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gridSpan w:val="5"/>
          </w:tcPr>
          <w:p>
            <w:pPr>
              <w:ind w:left="900"/>
              <w:spacing w:after="0"/>
              <w:rPr>
                <w:sz w:val="20"/>
                <w:szCs w:val="20"/>
                <w:color w:val="auto"/>
              </w:rPr>
            </w:pPr>
            <w:r>
              <w:rPr>
                <w:rFonts w:ascii="Times New Roman" w:cs="Times New Roman" w:eastAsia="Times New Roman" w:hAnsi="Times New Roman"/>
                <w:sz w:val="18"/>
                <w:szCs w:val="18"/>
                <w:b w:val="1"/>
                <w:bCs w:val="1"/>
                <w:color w:val="auto"/>
              </w:rPr>
              <w:t>Treaty Period</w:t>
            </w:r>
          </w:p>
        </w:tc>
        <w:tc>
          <w:tcPr>
            <w:tcW w:w="14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40" w:type="dxa"/>
            <w:vAlign w:val="bottom"/>
          </w:tcPr>
          <w:p>
            <w:pPr>
              <w:spacing w:after="0"/>
              <w:rPr>
                <w:sz w:val="24"/>
                <w:szCs w:val="24"/>
                <w:color w:val="auto"/>
              </w:rPr>
            </w:pPr>
          </w:p>
        </w:tc>
      </w:tr>
      <w:tr>
        <w:trPr>
          <w:trHeight w:val="230"/>
        </w:trPr>
        <w:tc>
          <w:tcPr>
            <w:tcW w:w="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800" w:type="dxa"/>
            <w:vAlign w:val="bottom"/>
            <w:tcBorders>
              <w:bottom w:val="single" w:sz="8" w:color="auto"/>
            </w:tcBorders>
            <w:gridSpan w:val="4"/>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2025/2026 Treaty</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940" w:type="dxa"/>
            <w:vAlign w:val="bottom"/>
            <w:tcBorders>
              <w:bottom w:val="single" w:sz="8" w:color="auto"/>
            </w:tcBorders>
            <w:gridSpan w:val="4"/>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2024/2025 Treaty</w:t>
            </w:r>
          </w:p>
        </w:tc>
        <w:tc>
          <w:tcPr>
            <w:tcW w:w="80" w:type="dxa"/>
            <w:vAlign w:val="bottom"/>
          </w:tcPr>
          <w:p>
            <w:pPr>
              <w:spacing w:after="0"/>
              <w:rPr>
                <w:sz w:val="19"/>
                <w:szCs w:val="19"/>
                <w:color w:val="auto"/>
              </w:rPr>
            </w:pPr>
          </w:p>
        </w:tc>
        <w:tc>
          <w:tcPr>
            <w:tcW w:w="2440" w:type="dxa"/>
            <w:vAlign w:val="bottom"/>
          </w:tcPr>
          <w:p>
            <w:pPr>
              <w:spacing w:after="0"/>
              <w:rPr>
                <w:sz w:val="19"/>
                <w:szCs w:val="19"/>
                <w:color w:val="auto"/>
              </w:rPr>
            </w:pPr>
          </w:p>
        </w:tc>
      </w:tr>
      <w:tr>
        <w:trPr>
          <w:trHeight w:val="201"/>
        </w:trPr>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0" w:type="dxa"/>
            <w:vAlign w:val="bottom"/>
            <w:gridSpan w:val="2"/>
          </w:tcPr>
          <w:p>
            <w:pPr>
              <w:jc w:val="center"/>
              <w:ind w:right="280"/>
              <w:spacing w:after="0" w:line="201" w:lineRule="exact"/>
              <w:rPr>
                <w:sz w:val="20"/>
                <w:szCs w:val="20"/>
                <w:color w:val="auto"/>
              </w:rPr>
            </w:pPr>
            <w:r>
              <w:rPr>
                <w:rFonts w:ascii="Times New Roman" w:cs="Times New Roman" w:eastAsia="Times New Roman" w:hAnsi="Times New Roman"/>
                <w:sz w:val="18"/>
                <w:szCs w:val="18"/>
                <w:b w:val="1"/>
                <w:bCs w:val="1"/>
                <w:color w:val="auto"/>
              </w:rPr>
              <w:t>July 1,</w:t>
            </w:r>
          </w:p>
        </w:tc>
        <w:tc>
          <w:tcPr>
            <w:tcW w:w="120" w:type="dxa"/>
            <w:vAlign w:val="bottom"/>
          </w:tcPr>
          <w:p>
            <w:pPr>
              <w:spacing w:after="0"/>
              <w:rPr>
                <w:sz w:val="17"/>
                <w:szCs w:val="17"/>
                <w:color w:val="auto"/>
              </w:rPr>
            </w:pPr>
          </w:p>
        </w:tc>
        <w:tc>
          <w:tcPr>
            <w:tcW w:w="1380" w:type="dxa"/>
            <w:vAlign w:val="bottom"/>
            <w:gridSpan w:val="2"/>
          </w:tcPr>
          <w:p>
            <w:pPr>
              <w:jc w:val="center"/>
              <w:ind w:right="280"/>
              <w:spacing w:after="0" w:line="201" w:lineRule="exact"/>
              <w:rPr>
                <w:sz w:val="20"/>
                <w:szCs w:val="20"/>
                <w:color w:val="auto"/>
              </w:rPr>
            </w:pPr>
            <w:r>
              <w:rPr>
                <w:rFonts w:ascii="Times New Roman" w:cs="Times New Roman" w:eastAsia="Times New Roman" w:hAnsi="Times New Roman"/>
                <w:sz w:val="18"/>
                <w:szCs w:val="18"/>
                <w:b w:val="1"/>
                <w:bCs w:val="1"/>
                <w:color w:val="auto"/>
                <w:w w:val="99"/>
              </w:rPr>
              <w:t>January 1,</w:t>
            </w:r>
          </w:p>
        </w:tc>
        <w:tc>
          <w:tcPr>
            <w:tcW w:w="120" w:type="dxa"/>
            <w:vAlign w:val="bottom"/>
          </w:tcPr>
          <w:p>
            <w:pPr>
              <w:spacing w:after="0"/>
              <w:rPr>
                <w:sz w:val="17"/>
                <w:szCs w:val="17"/>
                <w:color w:val="auto"/>
              </w:rPr>
            </w:pPr>
          </w:p>
        </w:tc>
        <w:tc>
          <w:tcPr>
            <w:tcW w:w="1440" w:type="dxa"/>
            <w:vAlign w:val="bottom"/>
            <w:gridSpan w:val="2"/>
          </w:tcPr>
          <w:p>
            <w:pPr>
              <w:jc w:val="center"/>
              <w:ind w:right="280"/>
              <w:spacing w:after="0" w:line="201" w:lineRule="exact"/>
              <w:rPr>
                <w:sz w:val="20"/>
                <w:szCs w:val="20"/>
                <w:color w:val="auto"/>
              </w:rPr>
            </w:pPr>
            <w:r>
              <w:rPr>
                <w:rFonts w:ascii="Times New Roman" w:cs="Times New Roman" w:eastAsia="Times New Roman" w:hAnsi="Times New Roman"/>
                <w:sz w:val="18"/>
                <w:szCs w:val="18"/>
                <w:b w:val="1"/>
                <w:bCs w:val="1"/>
                <w:color w:val="auto"/>
              </w:rPr>
              <w:t>July 1,</w:t>
            </w:r>
          </w:p>
        </w:tc>
        <w:tc>
          <w:tcPr>
            <w:tcW w:w="140" w:type="dxa"/>
            <w:vAlign w:val="bottom"/>
          </w:tcPr>
          <w:p>
            <w:pPr>
              <w:spacing w:after="0"/>
              <w:rPr>
                <w:sz w:val="17"/>
                <w:szCs w:val="17"/>
                <w:color w:val="auto"/>
              </w:rPr>
            </w:pPr>
          </w:p>
        </w:tc>
        <w:tc>
          <w:tcPr>
            <w:tcW w:w="3880" w:type="dxa"/>
            <w:vAlign w:val="bottom"/>
            <w:gridSpan w:val="3"/>
          </w:tcPr>
          <w:p>
            <w:pPr>
              <w:jc w:val="center"/>
              <w:ind w:right="2700"/>
              <w:spacing w:after="0" w:line="201" w:lineRule="exact"/>
              <w:rPr>
                <w:sz w:val="20"/>
                <w:szCs w:val="20"/>
                <w:color w:val="auto"/>
              </w:rPr>
            </w:pPr>
            <w:r>
              <w:rPr>
                <w:rFonts w:ascii="Times New Roman" w:cs="Times New Roman" w:eastAsia="Times New Roman" w:hAnsi="Times New Roman"/>
                <w:sz w:val="18"/>
                <w:szCs w:val="18"/>
                <w:b w:val="1"/>
                <w:bCs w:val="1"/>
                <w:color w:val="auto"/>
                <w:w w:val="99"/>
              </w:rPr>
              <w:t>January 1,</w:t>
            </w:r>
          </w:p>
        </w:tc>
      </w:tr>
      <w:tr>
        <w:trPr>
          <w:trHeight w:val="203"/>
        </w:trPr>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jc w:val="center"/>
              <w:ind w:right="90"/>
              <w:spacing w:after="0" w:line="202" w:lineRule="exact"/>
              <w:rPr>
                <w:sz w:val="20"/>
                <w:szCs w:val="20"/>
                <w:color w:val="auto"/>
              </w:rPr>
            </w:pPr>
            <w:r>
              <w:rPr>
                <w:rFonts w:ascii="Times New Roman" w:cs="Times New Roman" w:eastAsia="Times New Roman" w:hAnsi="Times New Roman"/>
                <w:sz w:val="18"/>
                <w:szCs w:val="18"/>
                <w:b w:val="1"/>
                <w:bCs w:val="1"/>
                <w:color w:val="auto"/>
                <w:w w:val="99"/>
              </w:rPr>
              <w:t>2025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Pr>
          <w:p>
            <w:pPr>
              <w:jc w:val="center"/>
              <w:ind w:right="30"/>
              <w:spacing w:after="0" w:line="202" w:lineRule="exact"/>
              <w:rPr>
                <w:sz w:val="20"/>
                <w:szCs w:val="20"/>
                <w:color w:val="auto"/>
              </w:rPr>
            </w:pPr>
            <w:r>
              <w:rPr>
                <w:rFonts w:ascii="Times New Roman" w:cs="Times New Roman" w:eastAsia="Times New Roman" w:hAnsi="Times New Roman"/>
                <w:sz w:val="18"/>
                <w:szCs w:val="18"/>
                <w:b w:val="1"/>
                <w:bCs w:val="1"/>
                <w:color w:val="auto"/>
                <w:w w:val="99"/>
              </w:rPr>
              <w:t>2025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jc w:val="center"/>
              <w:ind w:right="90"/>
              <w:spacing w:after="0" w:line="202" w:lineRule="exact"/>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jc w:val="right"/>
              <w:ind w:right="490"/>
              <w:spacing w:after="0" w:line="202" w:lineRule="exact"/>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17"/>
                <w:szCs w:val="17"/>
                <w:color w:val="auto"/>
              </w:rPr>
            </w:pPr>
          </w:p>
        </w:tc>
        <w:tc>
          <w:tcPr>
            <w:tcW w:w="244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to</w:t>
            </w:r>
          </w:p>
        </w:tc>
        <w:tc>
          <w:tcPr>
            <w:tcW w:w="120" w:type="dxa"/>
            <w:vAlign w:val="bottom"/>
          </w:tcPr>
          <w:p>
            <w:pPr>
              <w:spacing w:after="0"/>
              <w:rPr>
                <w:sz w:val="18"/>
                <w:szCs w:val="18"/>
                <w:color w:val="auto"/>
              </w:rPr>
            </w:pPr>
          </w:p>
        </w:tc>
        <w:tc>
          <w:tcPr>
            <w:tcW w:w="13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3"/>
              </w:rPr>
              <w:t>to</w:t>
            </w:r>
          </w:p>
        </w:tc>
        <w:tc>
          <w:tcPr>
            <w:tcW w:w="120" w:type="dxa"/>
            <w:vAlign w:val="bottom"/>
          </w:tcPr>
          <w:p>
            <w:pPr>
              <w:spacing w:after="0"/>
              <w:rPr>
                <w:sz w:val="18"/>
                <w:szCs w:val="18"/>
                <w:color w:val="auto"/>
              </w:rPr>
            </w:pPr>
          </w:p>
        </w:tc>
        <w:tc>
          <w:tcPr>
            <w:tcW w:w="14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to</w:t>
            </w:r>
          </w:p>
        </w:tc>
        <w:tc>
          <w:tcPr>
            <w:tcW w:w="140" w:type="dxa"/>
            <w:vAlign w:val="bottom"/>
          </w:tcPr>
          <w:p>
            <w:pPr>
              <w:spacing w:after="0"/>
              <w:rPr>
                <w:sz w:val="18"/>
                <w:szCs w:val="18"/>
                <w:color w:val="auto"/>
              </w:rPr>
            </w:pPr>
          </w:p>
        </w:tc>
        <w:tc>
          <w:tcPr>
            <w:tcW w:w="3880" w:type="dxa"/>
            <w:vAlign w:val="bottom"/>
            <w:gridSpan w:val="3"/>
          </w:tcPr>
          <w:p>
            <w:pPr>
              <w:jc w:val="center"/>
              <w:ind w:right="2720"/>
              <w:spacing w:after="0"/>
              <w:rPr>
                <w:sz w:val="20"/>
                <w:szCs w:val="20"/>
                <w:color w:val="auto"/>
              </w:rPr>
            </w:pPr>
            <w:r>
              <w:rPr>
                <w:rFonts w:ascii="Times New Roman" w:cs="Times New Roman" w:eastAsia="Times New Roman" w:hAnsi="Times New Roman"/>
                <w:sz w:val="18"/>
                <w:szCs w:val="18"/>
                <w:b w:val="1"/>
                <w:bCs w:val="1"/>
                <w:color w:val="auto"/>
              </w:rPr>
              <w:t>to</w:t>
            </w:r>
          </w:p>
        </w:tc>
      </w:tr>
      <w:tr>
        <w:trPr>
          <w:trHeight w:val="203"/>
        </w:trPr>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0" w:type="dxa"/>
            <w:vAlign w:val="bottom"/>
            <w:gridSpan w:val="2"/>
          </w:tcPr>
          <w:p>
            <w:pPr>
              <w:jc w:val="center"/>
              <w:ind w:right="220"/>
              <w:spacing w:after="0" w:line="202" w:lineRule="exact"/>
              <w:rPr>
                <w:sz w:val="20"/>
                <w:szCs w:val="20"/>
                <w:color w:val="auto"/>
              </w:rPr>
            </w:pPr>
            <w:r>
              <w:rPr>
                <w:rFonts w:ascii="Times New Roman" w:cs="Times New Roman" w:eastAsia="Times New Roman" w:hAnsi="Times New Roman"/>
                <w:sz w:val="18"/>
                <w:szCs w:val="18"/>
                <w:b w:val="1"/>
                <w:bCs w:val="1"/>
                <w:color w:val="auto"/>
                <w:w w:val="99"/>
              </w:rPr>
              <w:t>January 1,</w:t>
            </w:r>
          </w:p>
        </w:tc>
        <w:tc>
          <w:tcPr>
            <w:tcW w:w="120" w:type="dxa"/>
            <w:vAlign w:val="bottom"/>
          </w:tcPr>
          <w:p>
            <w:pPr>
              <w:spacing w:after="0"/>
              <w:rPr>
                <w:sz w:val="17"/>
                <w:szCs w:val="17"/>
                <w:color w:val="auto"/>
              </w:rPr>
            </w:pPr>
          </w:p>
        </w:tc>
        <w:tc>
          <w:tcPr>
            <w:tcW w:w="1380" w:type="dxa"/>
            <w:vAlign w:val="bottom"/>
            <w:gridSpan w:val="2"/>
          </w:tcPr>
          <w:p>
            <w:pPr>
              <w:jc w:val="center"/>
              <w:ind w:right="260"/>
              <w:spacing w:after="0" w:line="202" w:lineRule="exact"/>
              <w:rPr>
                <w:sz w:val="20"/>
                <w:szCs w:val="20"/>
                <w:color w:val="auto"/>
              </w:rPr>
            </w:pPr>
            <w:r>
              <w:rPr>
                <w:rFonts w:ascii="Times New Roman" w:cs="Times New Roman" w:eastAsia="Times New Roman" w:hAnsi="Times New Roman"/>
                <w:sz w:val="18"/>
                <w:szCs w:val="18"/>
                <w:b w:val="1"/>
                <w:bCs w:val="1"/>
                <w:color w:val="auto"/>
                <w:w w:val="99"/>
              </w:rPr>
              <w:t>June 30,</w:t>
            </w:r>
          </w:p>
        </w:tc>
        <w:tc>
          <w:tcPr>
            <w:tcW w:w="120" w:type="dxa"/>
            <w:vAlign w:val="bottom"/>
          </w:tcPr>
          <w:p>
            <w:pPr>
              <w:spacing w:after="0"/>
              <w:rPr>
                <w:sz w:val="17"/>
                <w:szCs w:val="17"/>
                <w:color w:val="auto"/>
              </w:rPr>
            </w:pPr>
          </w:p>
        </w:tc>
        <w:tc>
          <w:tcPr>
            <w:tcW w:w="1440" w:type="dxa"/>
            <w:vAlign w:val="bottom"/>
            <w:gridSpan w:val="2"/>
          </w:tcPr>
          <w:p>
            <w:pPr>
              <w:jc w:val="center"/>
              <w:ind w:right="220"/>
              <w:spacing w:after="0" w:line="202" w:lineRule="exact"/>
              <w:rPr>
                <w:sz w:val="20"/>
                <w:szCs w:val="20"/>
                <w:color w:val="auto"/>
              </w:rPr>
            </w:pPr>
            <w:r>
              <w:rPr>
                <w:rFonts w:ascii="Times New Roman" w:cs="Times New Roman" w:eastAsia="Times New Roman" w:hAnsi="Times New Roman"/>
                <w:sz w:val="18"/>
                <w:szCs w:val="18"/>
                <w:b w:val="1"/>
                <w:bCs w:val="1"/>
                <w:color w:val="auto"/>
                <w:w w:val="99"/>
              </w:rPr>
              <w:t>January 1,</w:t>
            </w:r>
          </w:p>
        </w:tc>
        <w:tc>
          <w:tcPr>
            <w:tcW w:w="140" w:type="dxa"/>
            <w:vAlign w:val="bottom"/>
          </w:tcPr>
          <w:p>
            <w:pPr>
              <w:spacing w:after="0"/>
              <w:rPr>
                <w:sz w:val="17"/>
                <w:szCs w:val="17"/>
                <w:color w:val="auto"/>
              </w:rPr>
            </w:pPr>
          </w:p>
        </w:tc>
        <w:tc>
          <w:tcPr>
            <w:tcW w:w="3880" w:type="dxa"/>
            <w:vAlign w:val="bottom"/>
            <w:gridSpan w:val="3"/>
          </w:tcPr>
          <w:p>
            <w:pPr>
              <w:jc w:val="center"/>
              <w:ind w:right="2720"/>
              <w:spacing w:after="0" w:line="202" w:lineRule="exact"/>
              <w:rPr>
                <w:sz w:val="20"/>
                <w:szCs w:val="20"/>
                <w:color w:val="auto"/>
              </w:rPr>
            </w:pPr>
            <w:r>
              <w:rPr>
                <w:rFonts w:ascii="Times New Roman" w:cs="Times New Roman" w:eastAsia="Times New Roman" w:hAnsi="Times New Roman"/>
                <w:sz w:val="18"/>
                <w:szCs w:val="18"/>
                <w:b w:val="1"/>
                <w:bCs w:val="1"/>
                <w:color w:val="auto"/>
                <w:w w:val="99"/>
              </w:rPr>
              <w:t>June 30,</w:t>
            </w:r>
          </w:p>
        </w:tc>
      </w:tr>
      <w:tr>
        <w:trPr>
          <w:trHeight w:val="245"/>
        </w:trPr>
        <w:tc>
          <w:tcPr>
            <w:tcW w:w="20" w:type="dxa"/>
            <w:vAlign w:val="bottom"/>
            <w:tcBorders>
              <w:bottom w:val="single" w:sz="8" w:color="auto"/>
            </w:tcBorders>
          </w:tcPr>
          <w:p>
            <w:pPr>
              <w:spacing w:after="0"/>
              <w:rPr>
                <w:sz w:val="21"/>
                <w:szCs w:val="21"/>
                <w:color w:val="auto"/>
              </w:rPr>
            </w:pPr>
          </w:p>
        </w:tc>
        <w:tc>
          <w:tcPr>
            <w:tcW w:w="222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8"/>
                <w:szCs w:val="18"/>
                <w:b w:val="1"/>
                <w:bCs w:val="1"/>
                <w:color w:val="auto"/>
              </w:rPr>
              <w:t>Line of Business</w:t>
            </w:r>
          </w:p>
        </w:tc>
        <w:tc>
          <w:tcPr>
            <w:tcW w:w="30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2026</w:t>
            </w:r>
          </w:p>
        </w:tc>
        <w:tc>
          <w:tcPr>
            <w:tcW w:w="1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21"/>
                <w:szCs w:val="21"/>
                <w:color w:val="auto"/>
              </w:rPr>
            </w:pPr>
          </w:p>
        </w:tc>
        <w:tc>
          <w:tcPr>
            <w:tcW w:w="2440" w:type="dxa"/>
            <w:vAlign w:val="bottom"/>
          </w:tcPr>
          <w:p>
            <w:pPr>
              <w:spacing w:after="0"/>
              <w:rPr>
                <w:sz w:val="21"/>
                <w:szCs w:val="21"/>
                <w:color w:val="auto"/>
              </w:rPr>
            </w:pPr>
          </w:p>
        </w:tc>
      </w:tr>
      <w:tr>
        <w:trPr>
          <w:trHeight w:val="459"/>
        </w:trPr>
        <w:tc>
          <w:tcPr>
            <w:tcW w:w="20" w:type="dxa"/>
            <w:vAlign w:val="bottom"/>
          </w:tcPr>
          <w:p>
            <w:pPr>
              <w:spacing w:after="0"/>
              <w:rPr>
                <w:sz w:val="24"/>
                <w:szCs w:val="24"/>
                <w:color w:val="auto"/>
              </w:rPr>
            </w:pPr>
          </w:p>
        </w:tc>
        <w:tc>
          <w:tcPr>
            <w:tcW w:w="22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Personal Lines:</w:t>
            </w: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4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r>
      <w:tr>
        <w:trPr>
          <w:trHeight w:val="245"/>
        </w:trPr>
        <w:tc>
          <w:tcPr>
            <w:tcW w:w="20" w:type="dxa"/>
            <w:vAlign w:val="bottom"/>
          </w:tcPr>
          <w:p>
            <w:pPr>
              <w:spacing w:after="0"/>
              <w:rPr>
                <w:sz w:val="21"/>
                <w:szCs w:val="21"/>
                <w:color w:val="auto"/>
              </w:rPr>
            </w:pPr>
          </w:p>
        </w:tc>
        <w:tc>
          <w:tcPr>
            <w:tcW w:w="22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Homeowners, dwelling fire</w:t>
            </w:r>
          </w:p>
        </w:tc>
        <w:tc>
          <w:tcPr>
            <w:tcW w:w="52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w w:val="92"/>
              </w:rPr>
              <w:t>and</w:t>
            </w: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40" w:type="dxa"/>
            <w:vAlign w:val="bottom"/>
          </w:tcPr>
          <w:p>
            <w:pPr>
              <w:spacing w:after="0"/>
              <w:rPr>
                <w:sz w:val="21"/>
                <w:szCs w:val="21"/>
                <w:color w:val="auto"/>
              </w:rPr>
            </w:pPr>
          </w:p>
        </w:tc>
      </w:tr>
      <w:tr>
        <w:trPr>
          <w:trHeight w:val="234"/>
        </w:trPr>
        <w:tc>
          <w:tcPr>
            <w:tcW w:w="20" w:type="dxa"/>
            <w:vAlign w:val="bottom"/>
          </w:tcPr>
          <w:p>
            <w:pPr>
              <w:spacing w:after="0"/>
              <w:rPr>
                <w:sz w:val="20"/>
                <w:szCs w:val="20"/>
                <w:color w:val="auto"/>
              </w:rPr>
            </w:pPr>
          </w:p>
        </w:tc>
        <w:tc>
          <w:tcPr>
            <w:tcW w:w="22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canine legal liability</w:t>
            </w: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40" w:type="dxa"/>
            <w:vAlign w:val="bottom"/>
          </w:tcPr>
          <w:p>
            <w:pPr>
              <w:spacing w:after="0"/>
              <w:rPr>
                <w:sz w:val="20"/>
                <w:szCs w:val="20"/>
                <w:color w:val="auto"/>
              </w:rPr>
            </w:pPr>
          </w:p>
        </w:tc>
      </w:tr>
      <w:tr>
        <w:trPr>
          <w:trHeight w:val="263"/>
        </w:trPr>
        <w:tc>
          <w:tcPr>
            <w:tcW w:w="20" w:type="dxa"/>
            <w:vAlign w:val="bottom"/>
          </w:tcPr>
          <w:p>
            <w:pPr>
              <w:spacing w:after="0"/>
              <w:rPr>
                <w:sz w:val="22"/>
                <w:szCs w:val="22"/>
                <w:color w:val="auto"/>
              </w:rPr>
            </w:pPr>
          </w:p>
        </w:tc>
        <w:tc>
          <w:tcPr>
            <w:tcW w:w="2220" w:type="dxa"/>
            <w:vAlign w:val="bottom"/>
            <w:gridSpan w:val="4"/>
          </w:tcPr>
          <w:p>
            <w:pPr>
              <w:ind w:left="140"/>
              <w:spacing w:after="0"/>
              <w:rPr>
                <w:sz w:val="20"/>
                <w:szCs w:val="20"/>
                <w:color w:val="auto"/>
              </w:rPr>
            </w:pPr>
            <w:r>
              <w:rPr>
                <w:rFonts w:ascii="Times New Roman" w:cs="Times New Roman" w:eastAsia="Times New Roman" w:hAnsi="Times New Roman"/>
                <w:sz w:val="18"/>
                <w:szCs w:val="18"/>
                <w:color w:val="auto"/>
              </w:rPr>
              <w:t>Quota share treaty:</w:t>
            </w:r>
          </w:p>
        </w:tc>
        <w:tc>
          <w:tcPr>
            <w:tcW w:w="3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40" w:type="dxa"/>
            <w:vAlign w:val="bottom"/>
          </w:tcPr>
          <w:p>
            <w:pPr>
              <w:spacing w:after="0"/>
              <w:rPr>
                <w:sz w:val="22"/>
                <w:szCs w:val="22"/>
                <w:color w:val="auto"/>
              </w:rPr>
            </w:pPr>
          </w:p>
        </w:tc>
      </w:tr>
      <w:tr>
        <w:trPr>
          <w:trHeight w:val="263"/>
        </w:trPr>
        <w:tc>
          <w:tcPr>
            <w:tcW w:w="20" w:type="dxa"/>
            <w:vAlign w:val="bottom"/>
            <w:shd w:val="clear" w:color="auto" w:fill="CCEEFF"/>
          </w:tcPr>
          <w:p>
            <w:pPr>
              <w:spacing w:after="0"/>
              <w:rPr>
                <w:sz w:val="22"/>
                <w:szCs w:val="22"/>
                <w:color w:val="auto"/>
              </w:rPr>
            </w:pPr>
          </w:p>
        </w:tc>
        <w:tc>
          <w:tcPr>
            <w:tcW w:w="2220" w:type="dxa"/>
            <w:vAlign w:val="bottom"/>
            <w:gridSpan w:val="4"/>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Percent ceded (7)</w:t>
            </w:r>
          </w:p>
        </w:tc>
        <w:tc>
          <w:tcPr>
            <w:tcW w:w="3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27 %</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27 %</w:t>
            </w:r>
          </w:p>
        </w:tc>
        <w:tc>
          <w:tcPr>
            <w:tcW w:w="80" w:type="dxa"/>
            <w:vAlign w:val="bottom"/>
            <w:shd w:val="clear" w:color="auto" w:fill="CCEEFF"/>
          </w:tcPr>
          <w:p>
            <w:pPr>
              <w:spacing w:after="0"/>
              <w:rPr>
                <w:sz w:val="22"/>
                <w:szCs w:val="22"/>
                <w:color w:val="auto"/>
              </w:rPr>
            </w:pPr>
          </w:p>
        </w:tc>
        <w:tc>
          <w:tcPr>
            <w:tcW w:w="2440" w:type="dxa"/>
            <w:vAlign w:val="bottom"/>
          </w:tcPr>
          <w:p>
            <w:pPr>
              <w:spacing w:after="0"/>
              <w:rPr>
                <w:sz w:val="22"/>
                <w:szCs w:val="22"/>
                <w:color w:val="auto"/>
              </w:rPr>
            </w:pPr>
          </w:p>
        </w:tc>
      </w:tr>
      <w:tr>
        <w:trPr>
          <w:trHeight w:val="250"/>
        </w:trPr>
        <w:tc>
          <w:tcPr>
            <w:tcW w:w="20" w:type="dxa"/>
            <w:vAlign w:val="bottom"/>
          </w:tcPr>
          <w:p>
            <w:pPr>
              <w:spacing w:after="0"/>
              <w:rPr>
                <w:sz w:val="21"/>
                <w:szCs w:val="21"/>
                <w:color w:val="auto"/>
              </w:rPr>
            </w:pPr>
          </w:p>
        </w:tc>
        <w:tc>
          <w:tcPr>
            <w:tcW w:w="2220" w:type="dxa"/>
            <w:vAlign w:val="bottom"/>
            <w:gridSpan w:val="4"/>
          </w:tcPr>
          <w:p>
            <w:pPr>
              <w:ind w:left="140"/>
              <w:spacing w:after="0"/>
              <w:rPr>
                <w:sz w:val="20"/>
                <w:szCs w:val="20"/>
                <w:color w:val="auto"/>
              </w:rPr>
            </w:pPr>
            <w:r>
              <w:rPr>
                <w:rFonts w:ascii="Times New Roman" w:cs="Times New Roman" w:eastAsia="Times New Roman" w:hAnsi="Times New Roman"/>
                <w:sz w:val="18"/>
                <w:szCs w:val="18"/>
                <w:color w:val="auto"/>
              </w:rPr>
              <w:t>Risk retained on initial</w:t>
            </w: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40" w:type="dxa"/>
            <w:vAlign w:val="bottom"/>
          </w:tcPr>
          <w:p>
            <w:pPr>
              <w:spacing w:after="0"/>
              <w:rPr>
                <w:sz w:val="21"/>
                <w:szCs w:val="21"/>
                <w:color w:val="auto"/>
              </w:rPr>
            </w:pPr>
          </w:p>
        </w:tc>
      </w:tr>
      <w:tr>
        <w:trPr>
          <w:trHeight w:val="218"/>
        </w:trPr>
        <w:tc>
          <w:tcPr>
            <w:tcW w:w="20" w:type="dxa"/>
            <w:vAlign w:val="bottom"/>
            <w:shd w:val="clear" w:color="auto" w:fill="CCEEFF"/>
          </w:tcPr>
          <w:p>
            <w:pPr>
              <w:spacing w:after="0"/>
              <w:rPr>
                <w:sz w:val="18"/>
                <w:szCs w:val="18"/>
                <w:color w:val="auto"/>
              </w:rPr>
            </w:pPr>
          </w:p>
        </w:tc>
        <w:tc>
          <w:tcPr>
            <w:tcW w:w="2740" w:type="dxa"/>
            <w:vAlign w:val="bottom"/>
            <w:gridSpan w:val="7"/>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$1,000,000 of losses (5) (6)</w:t>
            </w: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40" w:type="dxa"/>
            <w:vAlign w:val="bottom"/>
          </w:tcPr>
          <w:p>
            <w:pPr>
              <w:spacing w:after="0"/>
              <w:rPr>
                <w:sz w:val="18"/>
                <w:szCs w:val="18"/>
                <w:color w:val="auto"/>
              </w:rPr>
            </w:pPr>
          </w:p>
        </w:tc>
      </w:tr>
      <w:tr>
        <w:trPr>
          <w:trHeight w:val="248"/>
        </w:trPr>
        <w:tc>
          <w:tcPr>
            <w:tcW w:w="1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(7)</w:t>
            </w:r>
          </w:p>
        </w:tc>
        <w:tc>
          <w:tcPr>
            <w:tcW w:w="14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5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840,000</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840,000</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730,000</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730,000</w:t>
            </w:r>
          </w:p>
        </w:tc>
        <w:tc>
          <w:tcPr>
            <w:tcW w:w="80" w:type="dxa"/>
            <w:vAlign w:val="bottom"/>
            <w:shd w:val="clear" w:color="auto" w:fill="CCEEFF"/>
          </w:tcPr>
          <w:p>
            <w:pPr>
              <w:spacing w:after="0"/>
              <w:rPr>
                <w:sz w:val="21"/>
                <w:szCs w:val="21"/>
                <w:color w:val="auto"/>
              </w:rPr>
            </w:pPr>
          </w:p>
        </w:tc>
        <w:tc>
          <w:tcPr>
            <w:tcW w:w="2440" w:type="dxa"/>
            <w:vAlign w:val="bottom"/>
          </w:tcPr>
          <w:p>
            <w:pPr>
              <w:spacing w:after="0"/>
              <w:rPr>
                <w:sz w:val="21"/>
                <w:szCs w:val="21"/>
                <w:color w:val="auto"/>
              </w:rPr>
            </w:pPr>
          </w:p>
        </w:tc>
      </w:tr>
      <w:tr>
        <w:trPr>
          <w:trHeight w:val="250"/>
        </w:trPr>
        <w:tc>
          <w:tcPr>
            <w:tcW w:w="20" w:type="dxa"/>
            <w:vAlign w:val="bottom"/>
          </w:tcPr>
          <w:p>
            <w:pPr>
              <w:spacing w:after="0"/>
              <w:rPr>
                <w:sz w:val="21"/>
                <w:szCs w:val="21"/>
                <w:color w:val="auto"/>
              </w:rPr>
            </w:pPr>
          </w:p>
        </w:tc>
        <w:tc>
          <w:tcPr>
            <w:tcW w:w="2220" w:type="dxa"/>
            <w:vAlign w:val="bottom"/>
            <w:gridSpan w:val="4"/>
          </w:tcPr>
          <w:p>
            <w:pPr>
              <w:ind w:left="140"/>
              <w:spacing w:after="0"/>
              <w:rPr>
                <w:sz w:val="20"/>
                <w:szCs w:val="20"/>
                <w:color w:val="auto"/>
              </w:rPr>
            </w:pPr>
            <w:r>
              <w:rPr>
                <w:rFonts w:ascii="Times New Roman" w:cs="Times New Roman" w:eastAsia="Times New Roman" w:hAnsi="Times New Roman"/>
                <w:sz w:val="18"/>
                <w:szCs w:val="18"/>
                <w:color w:val="auto"/>
              </w:rPr>
              <w:t>Losses per occurrence</w:t>
            </w: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40" w:type="dxa"/>
            <w:vAlign w:val="bottom"/>
          </w:tcPr>
          <w:p>
            <w:pPr>
              <w:spacing w:after="0"/>
              <w:rPr>
                <w:sz w:val="21"/>
                <w:szCs w:val="21"/>
                <w:color w:val="auto"/>
              </w:rPr>
            </w:pPr>
          </w:p>
        </w:tc>
      </w:tr>
      <w:tr>
        <w:trPr>
          <w:trHeight w:val="263"/>
        </w:trPr>
        <w:tc>
          <w:tcPr>
            <w:tcW w:w="20" w:type="dxa"/>
            <w:vAlign w:val="bottom"/>
            <w:shd w:val="clear" w:color="auto" w:fill="CCEEFF"/>
          </w:tcPr>
          <w:p>
            <w:pPr>
              <w:spacing w:after="0"/>
              <w:rPr>
                <w:sz w:val="22"/>
                <w:szCs w:val="22"/>
                <w:color w:val="auto"/>
              </w:rPr>
            </w:pPr>
          </w:p>
        </w:tc>
        <w:tc>
          <w:tcPr>
            <w:tcW w:w="2220" w:type="dxa"/>
            <w:vAlign w:val="bottom"/>
            <w:gridSpan w:val="4"/>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subject to quota share</w:t>
            </w:r>
          </w:p>
        </w:tc>
        <w:tc>
          <w:tcPr>
            <w:tcW w:w="3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440" w:type="dxa"/>
            <w:vAlign w:val="bottom"/>
          </w:tcPr>
          <w:p>
            <w:pPr>
              <w:spacing w:after="0"/>
              <w:rPr>
                <w:sz w:val="22"/>
                <w:szCs w:val="22"/>
                <w:color w:val="auto"/>
              </w:rPr>
            </w:pPr>
          </w:p>
        </w:tc>
      </w:tr>
      <w:tr>
        <w:trPr>
          <w:trHeight w:val="250"/>
        </w:trPr>
        <w:tc>
          <w:tcPr>
            <w:tcW w:w="20" w:type="dxa"/>
            <w:vAlign w:val="bottom"/>
          </w:tcPr>
          <w:p>
            <w:pPr>
              <w:spacing w:after="0"/>
              <w:rPr>
                <w:sz w:val="21"/>
                <w:szCs w:val="21"/>
                <w:color w:val="auto"/>
              </w:rPr>
            </w:pPr>
          </w:p>
        </w:tc>
        <w:tc>
          <w:tcPr>
            <w:tcW w:w="2220" w:type="dxa"/>
            <w:vAlign w:val="bottom"/>
            <w:gridSpan w:val="4"/>
          </w:tcPr>
          <w:p>
            <w:pPr>
              <w:ind w:left="300"/>
              <w:spacing w:after="0"/>
              <w:rPr>
                <w:sz w:val="20"/>
                <w:szCs w:val="20"/>
                <w:color w:val="auto"/>
              </w:rPr>
            </w:pPr>
            <w:r>
              <w:rPr>
                <w:rFonts w:ascii="Times New Roman" w:cs="Times New Roman" w:eastAsia="Times New Roman" w:hAnsi="Times New Roman"/>
                <w:sz w:val="18"/>
                <w:szCs w:val="18"/>
                <w:color w:val="auto"/>
              </w:rPr>
              <w:t>reinsurance coverage</w:t>
            </w:r>
          </w:p>
        </w:tc>
        <w:tc>
          <w:tcPr>
            <w:tcW w:w="5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1,000,000</w:t>
            </w:r>
          </w:p>
        </w:tc>
        <w:tc>
          <w:tcPr>
            <w:tcW w:w="100" w:type="dxa"/>
            <w:vAlign w:val="bottom"/>
          </w:tcPr>
          <w:p>
            <w:pPr>
              <w:spacing w:after="0"/>
              <w:rPr>
                <w:sz w:val="21"/>
                <w:szCs w:val="21"/>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1,000,000</w:t>
            </w:r>
          </w:p>
        </w:tc>
        <w:tc>
          <w:tcPr>
            <w:tcW w:w="100" w:type="dxa"/>
            <w:vAlign w:val="bottom"/>
          </w:tcPr>
          <w:p>
            <w:pPr>
              <w:spacing w:after="0"/>
              <w:rPr>
                <w:sz w:val="21"/>
                <w:szCs w:val="21"/>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1,000,000</w:t>
            </w:r>
          </w:p>
        </w:tc>
        <w:tc>
          <w:tcPr>
            <w:tcW w:w="100" w:type="dxa"/>
            <w:vAlign w:val="bottom"/>
          </w:tcPr>
          <w:p>
            <w:pPr>
              <w:spacing w:after="0"/>
              <w:rPr>
                <w:sz w:val="21"/>
                <w:szCs w:val="21"/>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1,000,000</w:t>
            </w:r>
          </w:p>
        </w:tc>
        <w:tc>
          <w:tcPr>
            <w:tcW w:w="80" w:type="dxa"/>
            <w:vAlign w:val="bottom"/>
          </w:tcPr>
          <w:p>
            <w:pPr>
              <w:spacing w:after="0"/>
              <w:rPr>
                <w:sz w:val="21"/>
                <w:szCs w:val="21"/>
                <w:color w:val="auto"/>
              </w:rPr>
            </w:pPr>
          </w:p>
        </w:tc>
        <w:tc>
          <w:tcPr>
            <w:tcW w:w="2440" w:type="dxa"/>
            <w:vAlign w:val="bottom"/>
          </w:tcPr>
          <w:p>
            <w:pPr>
              <w:spacing w:after="0"/>
              <w:rPr>
                <w:sz w:val="21"/>
                <w:szCs w:val="21"/>
                <w:color w:val="auto"/>
              </w:rPr>
            </w:pPr>
          </w:p>
        </w:tc>
      </w:tr>
      <w:tr>
        <w:trPr>
          <w:trHeight w:val="263"/>
        </w:trPr>
        <w:tc>
          <w:tcPr>
            <w:tcW w:w="20" w:type="dxa"/>
            <w:vAlign w:val="bottom"/>
            <w:shd w:val="clear" w:color="auto" w:fill="CCEEFF"/>
          </w:tcPr>
          <w:p>
            <w:pPr>
              <w:spacing w:after="0"/>
              <w:rPr>
                <w:sz w:val="22"/>
                <w:szCs w:val="22"/>
                <w:color w:val="auto"/>
              </w:rPr>
            </w:pPr>
          </w:p>
        </w:tc>
        <w:tc>
          <w:tcPr>
            <w:tcW w:w="2220" w:type="dxa"/>
            <w:vAlign w:val="bottom"/>
            <w:gridSpan w:val="4"/>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Expiration date</w:t>
            </w:r>
          </w:p>
        </w:tc>
        <w:tc>
          <w:tcPr>
            <w:tcW w:w="3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January 1, 2026</w:t>
            </w:r>
          </w:p>
        </w:tc>
        <w:tc>
          <w:tcPr>
            <w:tcW w:w="120" w:type="dxa"/>
            <w:vAlign w:val="bottom"/>
            <w:shd w:val="clear" w:color="auto" w:fill="CCEEFF"/>
          </w:tcPr>
          <w:p>
            <w:pPr>
              <w:spacing w:after="0"/>
              <w:rPr>
                <w:sz w:val="22"/>
                <w:szCs w:val="22"/>
                <w:color w:val="auto"/>
              </w:rPr>
            </w:pPr>
          </w:p>
        </w:tc>
        <w:tc>
          <w:tcPr>
            <w:tcW w:w="1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January 1, 2026</w:t>
            </w:r>
          </w:p>
        </w:tc>
        <w:tc>
          <w:tcPr>
            <w:tcW w:w="120" w:type="dxa"/>
            <w:vAlign w:val="bottom"/>
            <w:shd w:val="clear" w:color="auto" w:fill="CCEEFF"/>
          </w:tcPr>
          <w:p>
            <w:pPr>
              <w:spacing w:after="0"/>
              <w:rPr>
                <w:sz w:val="22"/>
                <w:szCs w:val="22"/>
                <w:color w:val="auto"/>
              </w:rPr>
            </w:pPr>
          </w:p>
        </w:tc>
        <w:tc>
          <w:tcPr>
            <w:tcW w:w="14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January 1, 2025</w:t>
            </w:r>
          </w:p>
        </w:tc>
        <w:tc>
          <w:tcPr>
            <w:tcW w:w="140" w:type="dxa"/>
            <w:vAlign w:val="bottom"/>
            <w:shd w:val="clear" w:color="auto" w:fill="CCEEFF"/>
          </w:tcPr>
          <w:p>
            <w:pPr>
              <w:spacing w:after="0"/>
              <w:rPr>
                <w:sz w:val="22"/>
                <w:szCs w:val="22"/>
                <w:color w:val="auto"/>
              </w:rPr>
            </w:pPr>
          </w:p>
        </w:tc>
        <w:tc>
          <w:tcPr>
            <w:tcW w:w="14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January 1, 2025</w:t>
            </w:r>
          </w:p>
        </w:tc>
        <w:tc>
          <w:tcPr>
            <w:tcW w:w="2440" w:type="dxa"/>
            <w:vAlign w:val="bottom"/>
          </w:tcPr>
          <w:p>
            <w:pPr>
              <w:spacing w:after="0"/>
              <w:rPr>
                <w:sz w:val="22"/>
                <w:szCs w:val="22"/>
                <w:color w:val="auto"/>
              </w:rPr>
            </w:pPr>
          </w:p>
        </w:tc>
      </w:tr>
      <w:tr>
        <w:trPr>
          <w:trHeight w:val="250"/>
        </w:trPr>
        <w:tc>
          <w:tcPr>
            <w:tcW w:w="20" w:type="dxa"/>
            <w:vAlign w:val="bottom"/>
          </w:tcPr>
          <w:p>
            <w:pPr>
              <w:spacing w:after="0"/>
              <w:rPr>
                <w:sz w:val="21"/>
                <w:szCs w:val="21"/>
                <w:color w:val="auto"/>
              </w:rPr>
            </w:pPr>
          </w:p>
        </w:tc>
        <w:tc>
          <w:tcPr>
            <w:tcW w:w="2220" w:type="dxa"/>
            <w:vAlign w:val="bottom"/>
            <w:gridSpan w:val="4"/>
          </w:tcPr>
          <w:p>
            <w:pPr>
              <w:ind w:left="140"/>
              <w:spacing w:after="0"/>
              <w:rPr>
                <w:sz w:val="20"/>
                <w:szCs w:val="20"/>
                <w:color w:val="auto"/>
              </w:rPr>
            </w:pPr>
            <w:r>
              <w:rPr>
                <w:rFonts w:ascii="Times New Roman" w:cs="Times New Roman" w:eastAsia="Times New Roman" w:hAnsi="Times New Roman"/>
                <w:sz w:val="18"/>
                <w:szCs w:val="18"/>
                <w:color w:val="auto"/>
              </w:rPr>
              <w:t>Excess of loss coverage and</w:t>
            </w: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40" w:type="dxa"/>
            <w:vAlign w:val="bottom"/>
          </w:tcPr>
          <w:p>
            <w:pPr>
              <w:spacing w:after="0"/>
              <w:rPr>
                <w:sz w:val="21"/>
                <w:szCs w:val="21"/>
                <w:color w:val="auto"/>
              </w:rPr>
            </w:pPr>
          </w:p>
        </w:tc>
      </w:tr>
      <w:tr>
        <w:trPr>
          <w:trHeight w:val="263"/>
        </w:trPr>
        <w:tc>
          <w:tcPr>
            <w:tcW w:w="20" w:type="dxa"/>
            <w:vAlign w:val="bottom"/>
            <w:shd w:val="clear" w:color="auto" w:fill="CCEEFF"/>
          </w:tcPr>
          <w:p>
            <w:pPr>
              <w:spacing w:after="0"/>
              <w:rPr>
                <w:sz w:val="22"/>
                <w:szCs w:val="22"/>
                <w:color w:val="auto"/>
              </w:rPr>
            </w:pPr>
          </w:p>
        </w:tc>
        <w:tc>
          <w:tcPr>
            <w:tcW w:w="2220" w:type="dxa"/>
            <w:vAlign w:val="bottom"/>
            <w:gridSpan w:val="4"/>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facultative facility</w:t>
            </w:r>
          </w:p>
        </w:tc>
        <w:tc>
          <w:tcPr>
            <w:tcW w:w="3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440" w:type="dxa"/>
            <w:vAlign w:val="bottom"/>
          </w:tcPr>
          <w:p>
            <w:pPr>
              <w:spacing w:after="0"/>
              <w:rPr>
                <w:sz w:val="22"/>
                <w:szCs w:val="22"/>
                <w:color w:val="auto"/>
              </w:rPr>
            </w:pPr>
          </w:p>
        </w:tc>
      </w:tr>
      <w:tr>
        <w:trPr>
          <w:trHeight w:val="250"/>
        </w:trPr>
        <w:tc>
          <w:tcPr>
            <w:tcW w:w="20" w:type="dxa"/>
            <w:vAlign w:val="bottom"/>
          </w:tcPr>
          <w:p>
            <w:pPr>
              <w:spacing w:after="0"/>
              <w:rPr>
                <w:sz w:val="21"/>
                <w:szCs w:val="21"/>
                <w:color w:val="auto"/>
              </w:rPr>
            </w:pPr>
          </w:p>
        </w:tc>
        <w:tc>
          <w:tcPr>
            <w:tcW w:w="2220" w:type="dxa"/>
            <w:vAlign w:val="bottom"/>
            <w:gridSpan w:val="4"/>
          </w:tcPr>
          <w:p>
            <w:pPr>
              <w:ind w:left="300"/>
              <w:spacing w:after="0"/>
              <w:rPr>
                <w:sz w:val="20"/>
                <w:szCs w:val="20"/>
                <w:color w:val="auto"/>
              </w:rPr>
            </w:pPr>
            <w:r>
              <w:rPr>
                <w:rFonts w:ascii="Times New Roman" w:cs="Times New Roman" w:eastAsia="Times New Roman" w:hAnsi="Times New Roman"/>
                <w:sz w:val="18"/>
                <w:szCs w:val="18"/>
                <w:color w:val="auto"/>
              </w:rPr>
              <w:t>coverage (1) (5) (6)</w:t>
            </w: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21"/>
                <w:szCs w:val="21"/>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8,400,000</w:t>
            </w:r>
          </w:p>
        </w:tc>
        <w:tc>
          <w:tcPr>
            <w:tcW w:w="100" w:type="dxa"/>
            <w:vAlign w:val="bottom"/>
          </w:tcPr>
          <w:p>
            <w:pPr>
              <w:spacing w:after="0"/>
              <w:rPr>
                <w:sz w:val="21"/>
                <w:szCs w:val="21"/>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8,400,000</w:t>
            </w:r>
          </w:p>
        </w:tc>
        <w:tc>
          <w:tcPr>
            <w:tcW w:w="100" w:type="dxa"/>
            <w:vAlign w:val="bottom"/>
          </w:tcPr>
          <w:p>
            <w:pPr>
              <w:spacing w:after="0"/>
              <w:rPr>
                <w:sz w:val="21"/>
                <w:szCs w:val="21"/>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8,400,000</w:t>
            </w:r>
          </w:p>
        </w:tc>
        <w:tc>
          <w:tcPr>
            <w:tcW w:w="80" w:type="dxa"/>
            <w:vAlign w:val="bottom"/>
          </w:tcPr>
          <w:p>
            <w:pPr>
              <w:spacing w:after="0"/>
              <w:rPr>
                <w:sz w:val="21"/>
                <w:szCs w:val="21"/>
                <w:color w:val="auto"/>
              </w:rPr>
            </w:pPr>
          </w:p>
        </w:tc>
        <w:tc>
          <w:tcPr>
            <w:tcW w:w="2440" w:type="dxa"/>
            <w:vAlign w:val="bottom"/>
          </w:tcPr>
          <w:p>
            <w:pPr>
              <w:spacing w:after="0"/>
              <w:rPr>
                <w:sz w:val="21"/>
                <w:szCs w:val="21"/>
                <w:color w:val="auto"/>
              </w:rPr>
            </w:pPr>
          </w:p>
        </w:tc>
      </w:tr>
      <w:tr>
        <w:trPr>
          <w:trHeight w:val="263"/>
        </w:trPr>
        <w:tc>
          <w:tcPr>
            <w:tcW w:w="2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5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 excess of</w:t>
            </w:r>
          </w:p>
        </w:tc>
        <w:tc>
          <w:tcPr>
            <w:tcW w:w="15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in excess of</w:t>
            </w:r>
          </w:p>
        </w:tc>
        <w:tc>
          <w:tcPr>
            <w:tcW w:w="15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 excess of</w:t>
            </w:r>
          </w:p>
        </w:tc>
        <w:tc>
          <w:tcPr>
            <w:tcW w:w="2440" w:type="dxa"/>
            <w:vAlign w:val="bottom"/>
          </w:tcPr>
          <w:p>
            <w:pPr>
              <w:spacing w:after="0"/>
              <w:rPr>
                <w:sz w:val="22"/>
                <w:szCs w:val="22"/>
                <w:color w:val="auto"/>
              </w:rPr>
            </w:pPr>
          </w:p>
        </w:tc>
      </w:tr>
      <w:tr>
        <w:trPr>
          <w:trHeight w:val="250"/>
        </w:trPr>
        <w:tc>
          <w:tcPr>
            <w:tcW w:w="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600,000</w:t>
            </w:r>
          </w:p>
        </w:tc>
        <w:tc>
          <w:tcPr>
            <w:tcW w:w="100" w:type="dxa"/>
            <w:vAlign w:val="bottom"/>
          </w:tcPr>
          <w:p>
            <w:pPr>
              <w:spacing w:after="0"/>
              <w:rPr>
                <w:sz w:val="21"/>
                <w:szCs w:val="21"/>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600,000</w:t>
            </w:r>
          </w:p>
        </w:tc>
        <w:tc>
          <w:tcPr>
            <w:tcW w:w="100" w:type="dxa"/>
            <w:vAlign w:val="bottom"/>
          </w:tcPr>
          <w:p>
            <w:pPr>
              <w:spacing w:after="0"/>
              <w:rPr>
                <w:sz w:val="21"/>
                <w:szCs w:val="21"/>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600,000</w:t>
            </w:r>
          </w:p>
        </w:tc>
        <w:tc>
          <w:tcPr>
            <w:tcW w:w="80" w:type="dxa"/>
            <w:vAlign w:val="bottom"/>
          </w:tcPr>
          <w:p>
            <w:pPr>
              <w:spacing w:after="0"/>
              <w:rPr>
                <w:sz w:val="21"/>
                <w:szCs w:val="21"/>
                <w:color w:val="auto"/>
              </w:rPr>
            </w:pPr>
          </w:p>
        </w:tc>
        <w:tc>
          <w:tcPr>
            <w:tcW w:w="2440" w:type="dxa"/>
            <w:vAlign w:val="bottom"/>
          </w:tcPr>
          <w:p>
            <w:pPr>
              <w:spacing w:after="0"/>
              <w:rPr>
                <w:sz w:val="21"/>
                <w:szCs w:val="21"/>
                <w:color w:val="auto"/>
              </w:rPr>
            </w:pPr>
          </w:p>
        </w:tc>
      </w:tr>
      <w:tr>
        <w:trPr>
          <w:trHeight w:val="263"/>
        </w:trPr>
        <w:tc>
          <w:tcPr>
            <w:tcW w:w="20" w:type="dxa"/>
            <w:vAlign w:val="bottom"/>
            <w:shd w:val="clear" w:color="auto" w:fill="CCEEFF"/>
          </w:tcPr>
          <w:p>
            <w:pPr>
              <w:spacing w:after="0"/>
              <w:rPr>
                <w:sz w:val="22"/>
                <w:szCs w:val="22"/>
                <w:color w:val="auto"/>
              </w:rPr>
            </w:pPr>
          </w:p>
        </w:tc>
        <w:tc>
          <w:tcPr>
            <w:tcW w:w="2220" w:type="dxa"/>
            <w:vAlign w:val="bottom"/>
            <w:gridSpan w:val="4"/>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reinsurance coverage</w:t>
            </w:r>
          </w:p>
        </w:tc>
        <w:tc>
          <w:tcPr>
            <w:tcW w:w="3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440" w:type="dxa"/>
            <w:vAlign w:val="bottom"/>
          </w:tcPr>
          <w:p>
            <w:pPr>
              <w:spacing w:after="0"/>
              <w:rPr>
                <w:sz w:val="22"/>
                <w:szCs w:val="22"/>
                <w:color w:val="auto"/>
              </w:rPr>
            </w:pPr>
          </w:p>
        </w:tc>
      </w:tr>
      <w:tr>
        <w:trPr>
          <w:trHeight w:val="250"/>
        </w:trPr>
        <w:tc>
          <w:tcPr>
            <w:tcW w:w="20" w:type="dxa"/>
            <w:vAlign w:val="bottom"/>
          </w:tcPr>
          <w:p>
            <w:pPr>
              <w:spacing w:after="0"/>
              <w:rPr>
                <w:sz w:val="21"/>
                <w:szCs w:val="21"/>
                <w:color w:val="auto"/>
              </w:rPr>
            </w:pPr>
          </w:p>
        </w:tc>
        <w:tc>
          <w:tcPr>
            <w:tcW w:w="2220" w:type="dxa"/>
            <w:vAlign w:val="bottom"/>
            <w:gridSpan w:val="4"/>
          </w:tcPr>
          <w:p>
            <w:pPr>
              <w:ind w:left="300"/>
              <w:spacing w:after="0"/>
              <w:rPr>
                <w:sz w:val="20"/>
                <w:szCs w:val="20"/>
                <w:color w:val="auto"/>
              </w:rPr>
            </w:pPr>
            <w:r>
              <w:rPr>
                <w:rFonts w:ascii="Times New Roman" w:cs="Times New Roman" w:eastAsia="Times New Roman" w:hAnsi="Times New Roman"/>
                <w:sz w:val="18"/>
                <w:szCs w:val="18"/>
                <w:color w:val="auto"/>
              </w:rPr>
              <w:t>per occurrence (5) (6)</w:t>
            </w:r>
          </w:p>
        </w:tc>
        <w:tc>
          <w:tcPr>
            <w:tcW w:w="5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160,000</w:t>
            </w:r>
          </w:p>
        </w:tc>
        <w:tc>
          <w:tcPr>
            <w:tcW w:w="100" w:type="dxa"/>
            <w:vAlign w:val="bottom"/>
          </w:tcPr>
          <w:p>
            <w:pPr>
              <w:spacing w:after="0"/>
              <w:rPr>
                <w:sz w:val="21"/>
                <w:szCs w:val="21"/>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8,360,000</w:t>
            </w:r>
          </w:p>
        </w:tc>
        <w:tc>
          <w:tcPr>
            <w:tcW w:w="100" w:type="dxa"/>
            <w:vAlign w:val="bottom"/>
          </w:tcPr>
          <w:p>
            <w:pPr>
              <w:spacing w:after="0"/>
              <w:rPr>
                <w:sz w:val="21"/>
                <w:szCs w:val="21"/>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8,470,000</w:t>
            </w:r>
          </w:p>
        </w:tc>
        <w:tc>
          <w:tcPr>
            <w:tcW w:w="100" w:type="dxa"/>
            <w:vAlign w:val="bottom"/>
          </w:tcPr>
          <w:p>
            <w:pPr>
              <w:spacing w:after="0"/>
              <w:rPr>
                <w:sz w:val="21"/>
                <w:szCs w:val="21"/>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8,470,000</w:t>
            </w:r>
          </w:p>
        </w:tc>
        <w:tc>
          <w:tcPr>
            <w:tcW w:w="80" w:type="dxa"/>
            <w:vAlign w:val="bottom"/>
          </w:tcPr>
          <w:p>
            <w:pPr>
              <w:spacing w:after="0"/>
              <w:rPr>
                <w:sz w:val="21"/>
                <w:szCs w:val="21"/>
                <w:color w:val="auto"/>
              </w:rPr>
            </w:pPr>
          </w:p>
        </w:tc>
        <w:tc>
          <w:tcPr>
            <w:tcW w:w="2440" w:type="dxa"/>
            <w:vAlign w:val="bottom"/>
          </w:tcPr>
          <w:p>
            <w:pPr>
              <w:spacing w:after="0"/>
              <w:rPr>
                <w:sz w:val="21"/>
                <w:szCs w:val="21"/>
                <w:color w:val="auto"/>
              </w:rPr>
            </w:pPr>
          </w:p>
        </w:tc>
      </w:tr>
      <w:tr>
        <w:trPr>
          <w:trHeight w:val="263"/>
        </w:trPr>
        <w:tc>
          <w:tcPr>
            <w:tcW w:w="20" w:type="dxa"/>
            <w:vAlign w:val="bottom"/>
            <w:shd w:val="clear" w:color="auto" w:fill="CCEEFF"/>
          </w:tcPr>
          <w:p>
            <w:pPr>
              <w:spacing w:after="0"/>
              <w:rPr>
                <w:sz w:val="22"/>
                <w:szCs w:val="22"/>
                <w:color w:val="auto"/>
              </w:rPr>
            </w:pPr>
          </w:p>
        </w:tc>
        <w:tc>
          <w:tcPr>
            <w:tcW w:w="2220" w:type="dxa"/>
            <w:vAlign w:val="bottom"/>
            <w:gridSpan w:val="4"/>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Losses per occurrence</w:t>
            </w:r>
          </w:p>
        </w:tc>
        <w:tc>
          <w:tcPr>
            <w:tcW w:w="3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440" w:type="dxa"/>
            <w:vAlign w:val="bottom"/>
          </w:tcPr>
          <w:p>
            <w:pPr>
              <w:spacing w:after="0"/>
              <w:rPr>
                <w:sz w:val="22"/>
                <w:szCs w:val="22"/>
                <w:color w:val="auto"/>
              </w:rPr>
            </w:pPr>
          </w:p>
        </w:tc>
      </w:tr>
      <w:tr>
        <w:trPr>
          <w:trHeight w:val="250"/>
        </w:trPr>
        <w:tc>
          <w:tcPr>
            <w:tcW w:w="20" w:type="dxa"/>
            <w:vAlign w:val="bottom"/>
          </w:tcPr>
          <w:p>
            <w:pPr>
              <w:spacing w:after="0"/>
              <w:rPr>
                <w:sz w:val="21"/>
                <w:szCs w:val="21"/>
                <w:color w:val="auto"/>
              </w:rPr>
            </w:pPr>
          </w:p>
        </w:tc>
        <w:tc>
          <w:tcPr>
            <w:tcW w:w="2220" w:type="dxa"/>
            <w:vAlign w:val="bottom"/>
            <w:gridSpan w:val="4"/>
          </w:tcPr>
          <w:p>
            <w:pPr>
              <w:ind w:left="300"/>
              <w:spacing w:after="0"/>
              <w:rPr>
                <w:sz w:val="20"/>
                <w:szCs w:val="20"/>
                <w:color w:val="auto"/>
              </w:rPr>
            </w:pPr>
            <w:r>
              <w:rPr>
                <w:rFonts w:ascii="Times New Roman" w:cs="Times New Roman" w:eastAsia="Times New Roman" w:hAnsi="Times New Roman"/>
                <w:sz w:val="18"/>
                <w:szCs w:val="18"/>
                <w:color w:val="auto"/>
              </w:rPr>
              <w:t>subject to reinsurance</w:t>
            </w: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40" w:type="dxa"/>
            <w:vAlign w:val="bottom"/>
          </w:tcPr>
          <w:p>
            <w:pPr>
              <w:spacing w:after="0"/>
              <w:rPr>
                <w:sz w:val="21"/>
                <w:szCs w:val="21"/>
                <w:color w:val="auto"/>
              </w:rPr>
            </w:pPr>
          </w:p>
        </w:tc>
      </w:tr>
      <w:tr>
        <w:trPr>
          <w:trHeight w:val="263"/>
        </w:trPr>
        <w:tc>
          <w:tcPr>
            <w:tcW w:w="20" w:type="dxa"/>
            <w:vAlign w:val="bottom"/>
            <w:shd w:val="clear" w:color="auto" w:fill="CCEEFF"/>
          </w:tcPr>
          <w:p>
            <w:pPr>
              <w:spacing w:after="0"/>
              <w:rPr>
                <w:sz w:val="22"/>
                <w:szCs w:val="22"/>
                <w:color w:val="auto"/>
              </w:rPr>
            </w:pPr>
          </w:p>
        </w:tc>
        <w:tc>
          <w:tcPr>
            <w:tcW w:w="2220" w:type="dxa"/>
            <w:vAlign w:val="bottom"/>
            <w:gridSpan w:val="4"/>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coverage (6)</w:t>
            </w:r>
          </w:p>
        </w:tc>
        <w:tc>
          <w:tcPr>
            <w:tcW w:w="5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1,000,000</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9,000,000</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9,000,000</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9,000,000</w:t>
            </w:r>
          </w:p>
        </w:tc>
        <w:tc>
          <w:tcPr>
            <w:tcW w:w="80" w:type="dxa"/>
            <w:vAlign w:val="bottom"/>
            <w:shd w:val="clear" w:color="auto" w:fill="CCEEFF"/>
          </w:tcPr>
          <w:p>
            <w:pPr>
              <w:spacing w:after="0"/>
              <w:rPr>
                <w:sz w:val="22"/>
                <w:szCs w:val="22"/>
                <w:color w:val="auto"/>
              </w:rPr>
            </w:pPr>
          </w:p>
        </w:tc>
        <w:tc>
          <w:tcPr>
            <w:tcW w:w="2440" w:type="dxa"/>
            <w:vAlign w:val="bottom"/>
          </w:tcPr>
          <w:p>
            <w:pPr>
              <w:spacing w:after="0"/>
              <w:rPr>
                <w:sz w:val="22"/>
                <w:szCs w:val="22"/>
                <w:color w:val="auto"/>
              </w:rPr>
            </w:pPr>
          </w:p>
        </w:tc>
      </w:tr>
      <w:tr>
        <w:trPr>
          <w:trHeight w:val="250"/>
        </w:trPr>
        <w:tc>
          <w:tcPr>
            <w:tcW w:w="20" w:type="dxa"/>
            <w:vAlign w:val="bottom"/>
          </w:tcPr>
          <w:p>
            <w:pPr>
              <w:spacing w:after="0"/>
              <w:rPr>
                <w:sz w:val="21"/>
                <w:szCs w:val="21"/>
                <w:color w:val="auto"/>
              </w:rPr>
            </w:pPr>
          </w:p>
        </w:tc>
        <w:tc>
          <w:tcPr>
            <w:tcW w:w="2220" w:type="dxa"/>
            <w:vAlign w:val="bottom"/>
            <w:gridSpan w:val="4"/>
          </w:tcPr>
          <w:p>
            <w:pPr>
              <w:ind w:left="140"/>
              <w:spacing w:after="0"/>
              <w:rPr>
                <w:sz w:val="20"/>
                <w:szCs w:val="20"/>
                <w:color w:val="auto"/>
              </w:rPr>
            </w:pPr>
            <w:r>
              <w:rPr>
                <w:rFonts w:ascii="Times New Roman" w:cs="Times New Roman" w:eastAsia="Times New Roman" w:hAnsi="Times New Roman"/>
                <w:sz w:val="18"/>
                <w:szCs w:val="18"/>
                <w:color w:val="auto"/>
              </w:rPr>
              <w:t>Expiration date</w:t>
            </w: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June 30, 2025</w:t>
            </w:r>
          </w:p>
        </w:tc>
        <w:tc>
          <w:tcPr>
            <w:tcW w:w="120" w:type="dxa"/>
            <w:vAlign w:val="bottom"/>
          </w:tcPr>
          <w:p>
            <w:pPr>
              <w:spacing w:after="0"/>
              <w:rPr>
                <w:sz w:val="21"/>
                <w:szCs w:val="21"/>
                <w:color w:val="auto"/>
              </w:rPr>
            </w:pPr>
          </w:p>
        </w:tc>
        <w:tc>
          <w:tcPr>
            <w:tcW w:w="14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June 30, 2025</w:t>
            </w:r>
          </w:p>
        </w:tc>
        <w:tc>
          <w:tcPr>
            <w:tcW w:w="140" w:type="dxa"/>
            <w:vAlign w:val="bottom"/>
          </w:tcPr>
          <w:p>
            <w:pPr>
              <w:spacing w:after="0"/>
              <w:rPr>
                <w:sz w:val="21"/>
                <w:szCs w:val="21"/>
                <w:color w:val="auto"/>
              </w:rPr>
            </w:pPr>
          </w:p>
        </w:tc>
        <w:tc>
          <w:tcPr>
            <w:tcW w:w="388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June 30, 2024</w:t>
            </w:r>
          </w:p>
        </w:tc>
      </w:tr>
      <w:tr>
        <w:trPr>
          <w:trHeight w:val="277"/>
        </w:trPr>
        <w:tc>
          <w:tcPr>
            <w:tcW w:w="2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720" w:type="dxa"/>
            <w:vAlign w:val="bottom"/>
            <w:gridSpan w:val="2"/>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440" w:type="dxa"/>
            <w:vAlign w:val="bottom"/>
          </w:tcPr>
          <w:p>
            <w:pPr>
              <w:spacing w:after="0"/>
              <w:rPr>
                <w:sz w:val="24"/>
                <w:szCs w:val="24"/>
                <w:color w:val="auto"/>
              </w:rPr>
            </w:pPr>
          </w:p>
        </w:tc>
      </w:tr>
      <w:tr>
        <w:trPr>
          <w:trHeight w:val="203"/>
        </w:trPr>
        <w:tc>
          <w:tcPr>
            <w:tcW w:w="20" w:type="dxa"/>
            <w:vAlign w:val="bottom"/>
          </w:tcPr>
          <w:p>
            <w:pPr>
              <w:spacing w:after="0"/>
              <w:rPr>
                <w:sz w:val="17"/>
                <w:szCs w:val="17"/>
                <w:color w:val="auto"/>
              </w:rPr>
            </w:pPr>
          </w:p>
        </w:tc>
        <w:tc>
          <w:tcPr>
            <w:tcW w:w="2220" w:type="dxa"/>
            <w:vAlign w:val="bottom"/>
            <w:gridSpan w:val="4"/>
          </w:tcPr>
          <w:p>
            <w:pPr>
              <w:spacing w:after="0" w:line="202" w:lineRule="exact"/>
              <w:rPr>
                <w:sz w:val="20"/>
                <w:szCs w:val="20"/>
                <w:color w:val="auto"/>
              </w:rPr>
            </w:pPr>
            <w:r>
              <w:rPr>
                <w:rFonts w:ascii="Times New Roman" w:cs="Times New Roman" w:eastAsia="Times New Roman" w:hAnsi="Times New Roman"/>
                <w:sz w:val="18"/>
                <w:szCs w:val="18"/>
                <w:color w:val="auto"/>
              </w:rPr>
              <w:t>Catastrophe Reinsurance:</w:t>
            </w: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40" w:type="dxa"/>
            <w:vAlign w:val="bottom"/>
          </w:tcPr>
          <w:p>
            <w:pPr>
              <w:spacing w:after="0"/>
              <w:rPr>
                <w:sz w:val="17"/>
                <w:szCs w:val="17"/>
                <w:color w:val="auto"/>
              </w:rPr>
            </w:pPr>
          </w:p>
        </w:tc>
      </w:tr>
      <w:tr>
        <w:trPr>
          <w:trHeight w:val="34"/>
        </w:trPr>
        <w:tc>
          <w:tcPr>
            <w:tcW w:w="20" w:type="dxa"/>
            <w:vAlign w:val="bottom"/>
          </w:tcPr>
          <w:p>
            <w:pPr>
              <w:spacing w:after="0"/>
              <w:rPr>
                <w:sz w:val="2"/>
                <w:szCs w:val="2"/>
                <w:color w:val="auto"/>
              </w:rPr>
            </w:pPr>
          </w:p>
        </w:tc>
        <w:tc>
          <w:tcPr>
            <w:tcW w:w="1120" w:type="dxa"/>
            <w:vAlign w:val="bottom"/>
            <w:tcBorders>
              <w:top w:val="single" w:sz="8" w:color="auto"/>
            </w:tcBorders>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58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40" w:type="dxa"/>
            <w:vAlign w:val="bottom"/>
          </w:tcPr>
          <w:p>
            <w:pPr>
              <w:spacing w:after="0"/>
              <w:rPr>
                <w:sz w:val="2"/>
                <w:szCs w:val="2"/>
                <w:color w:val="auto"/>
              </w:rPr>
            </w:pPr>
          </w:p>
        </w:tc>
      </w:tr>
      <w:tr>
        <w:trPr>
          <w:trHeight w:val="256"/>
        </w:trPr>
        <w:tc>
          <w:tcPr>
            <w:tcW w:w="20" w:type="dxa"/>
            <w:vAlign w:val="bottom"/>
            <w:shd w:val="clear" w:color="auto" w:fill="CCEEFF"/>
          </w:tcPr>
          <w:p>
            <w:pPr>
              <w:spacing w:after="0"/>
              <w:rPr>
                <w:sz w:val="22"/>
                <w:szCs w:val="22"/>
                <w:color w:val="auto"/>
              </w:rPr>
            </w:pPr>
          </w:p>
        </w:tc>
        <w:tc>
          <w:tcPr>
            <w:tcW w:w="2740" w:type="dxa"/>
            <w:vAlign w:val="bottom"/>
            <w:gridSpan w:val="7"/>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Initial loss subject to personal</w:t>
            </w:r>
          </w:p>
        </w:tc>
        <w:tc>
          <w:tcPr>
            <w:tcW w:w="13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440" w:type="dxa"/>
            <w:vAlign w:val="bottom"/>
          </w:tcPr>
          <w:p>
            <w:pPr>
              <w:spacing w:after="0"/>
              <w:rPr>
                <w:sz w:val="22"/>
                <w:szCs w:val="22"/>
                <w:color w:val="auto"/>
              </w:rPr>
            </w:pPr>
          </w:p>
        </w:tc>
      </w:tr>
      <w:tr>
        <w:trPr>
          <w:trHeight w:val="250"/>
        </w:trPr>
        <w:tc>
          <w:tcPr>
            <w:tcW w:w="20" w:type="dxa"/>
            <w:vAlign w:val="bottom"/>
          </w:tcPr>
          <w:p>
            <w:pPr>
              <w:spacing w:after="0"/>
              <w:rPr>
                <w:sz w:val="21"/>
                <w:szCs w:val="21"/>
                <w:color w:val="auto"/>
              </w:rPr>
            </w:pPr>
          </w:p>
        </w:tc>
        <w:tc>
          <w:tcPr>
            <w:tcW w:w="2220" w:type="dxa"/>
            <w:vAlign w:val="bottom"/>
            <w:gridSpan w:val="4"/>
          </w:tcPr>
          <w:p>
            <w:pPr>
              <w:ind w:left="300"/>
              <w:spacing w:after="0"/>
              <w:rPr>
                <w:sz w:val="20"/>
                <w:szCs w:val="20"/>
                <w:color w:val="auto"/>
              </w:rPr>
            </w:pPr>
            <w:r>
              <w:rPr>
                <w:rFonts w:ascii="Times New Roman" w:cs="Times New Roman" w:eastAsia="Times New Roman" w:hAnsi="Times New Roman"/>
                <w:sz w:val="18"/>
                <w:szCs w:val="18"/>
                <w:color w:val="auto"/>
                <w:w w:val="98"/>
              </w:rPr>
              <w:t>lines quota share treaty (6)</w:t>
            </w:r>
          </w:p>
        </w:tc>
        <w:tc>
          <w:tcPr>
            <w:tcW w:w="5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10,000,000</w:t>
            </w:r>
          </w:p>
        </w:tc>
        <w:tc>
          <w:tcPr>
            <w:tcW w:w="100" w:type="dxa"/>
            <w:vAlign w:val="bottom"/>
          </w:tcPr>
          <w:p>
            <w:pPr>
              <w:spacing w:after="0"/>
              <w:rPr>
                <w:sz w:val="21"/>
                <w:szCs w:val="21"/>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10,000,000</w:t>
            </w:r>
          </w:p>
        </w:tc>
        <w:tc>
          <w:tcPr>
            <w:tcW w:w="100" w:type="dxa"/>
            <w:vAlign w:val="bottom"/>
          </w:tcPr>
          <w:p>
            <w:pPr>
              <w:spacing w:after="0"/>
              <w:rPr>
                <w:sz w:val="21"/>
                <w:szCs w:val="21"/>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10,000,000</w:t>
            </w:r>
          </w:p>
        </w:tc>
        <w:tc>
          <w:tcPr>
            <w:tcW w:w="100" w:type="dxa"/>
            <w:vAlign w:val="bottom"/>
          </w:tcPr>
          <w:p>
            <w:pPr>
              <w:spacing w:after="0"/>
              <w:rPr>
                <w:sz w:val="21"/>
                <w:szCs w:val="21"/>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10,000,000</w:t>
            </w:r>
          </w:p>
        </w:tc>
        <w:tc>
          <w:tcPr>
            <w:tcW w:w="80" w:type="dxa"/>
            <w:vAlign w:val="bottom"/>
          </w:tcPr>
          <w:p>
            <w:pPr>
              <w:spacing w:after="0"/>
              <w:rPr>
                <w:sz w:val="21"/>
                <w:szCs w:val="21"/>
                <w:color w:val="auto"/>
              </w:rPr>
            </w:pPr>
          </w:p>
        </w:tc>
        <w:tc>
          <w:tcPr>
            <w:tcW w:w="2440" w:type="dxa"/>
            <w:vAlign w:val="bottom"/>
          </w:tcPr>
          <w:p>
            <w:pPr>
              <w:spacing w:after="0"/>
              <w:rPr>
                <w:sz w:val="21"/>
                <w:szCs w:val="21"/>
                <w:color w:val="auto"/>
              </w:rPr>
            </w:pPr>
          </w:p>
        </w:tc>
      </w:tr>
      <w:tr>
        <w:trPr>
          <w:trHeight w:val="263"/>
        </w:trPr>
        <w:tc>
          <w:tcPr>
            <w:tcW w:w="20" w:type="dxa"/>
            <w:vAlign w:val="bottom"/>
            <w:shd w:val="clear" w:color="auto" w:fill="CCEEFF"/>
          </w:tcPr>
          <w:p>
            <w:pPr>
              <w:spacing w:after="0"/>
              <w:rPr>
                <w:sz w:val="22"/>
                <w:szCs w:val="22"/>
                <w:color w:val="auto"/>
              </w:rPr>
            </w:pPr>
          </w:p>
        </w:tc>
        <w:tc>
          <w:tcPr>
            <w:tcW w:w="2740" w:type="dxa"/>
            <w:vAlign w:val="bottom"/>
            <w:gridSpan w:val="7"/>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Risk retained per catastrophe</w:t>
            </w:r>
          </w:p>
        </w:tc>
        <w:tc>
          <w:tcPr>
            <w:tcW w:w="13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440" w:type="dxa"/>
            <w:vAlign w:val="bottom"/>
          </w:tcPr>
          <w:p>
            <w:pPr>
              <w:spacing w:after="0"/>
              <w:rPr>
                <w:sz w:val="22"/>
                <w:szCs w:val="22"/>
                <w:color w:val="auto"/>
              </w:rPr>
            </w:pPr>
          </w:p>
        </w:tc>
      </w:tr>
      <w:tr>
        <w:trPr>
          <w:trHeight w:val="250"/>
        </w:trPr>
        <w:tc>
          <w:tcPr>
            <w:tcW w:w="20" w:type="dxa"/>
            <w:vAlign w:val="bottom"/>
          </w:tcPr>
          <w:p>
            <w:pPr>
              <w:spacing w:after="0"/>
              <w:rPr>
                <w:sz w:val="21"/>
                <w:szCs w:val="21"/>
                <w:color w:val="auto"/>
              </w:rPr>
            </w:pPr>
          </w:p>
        </w:tc>
        <w:tc>
          <w:tcPr>
            <w:tcW w:w="2220" w:type="dxa"/>
            <w:vAlign w:val="bottom"/>
            <w:gridSpan w:val="4"/>
          </w:tcPr>
          <w:p>
            <w:pPr>
              <w:ind w:left="300"/>
              <w:spacing w:after="0"/>
              <w:rPr>
                <w:sz w:val="20"/>
                <w:szCs w:val="20"/>
                <w:color w:val="auto"/>
              </w:rPr>
            </w:pPr>
            <w:r>
              <w:rPr>
                <w:rFonts w:ascii="Times New Roman" w:cs="Times New Roman" w:eastAsia="Times New Roman" w:hAnsi="Times New Roman"/>
                <w:sz w:val="18"/>
                <w:szCs w:val="18"/>
                <w:color w:val="auto"/>
              </w:rPr>
              <w:t>occurrence (6) (7) (8) (9)</w:t>
            </w: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21"/>
                <w:szCs w:val="21"/>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4,250,000</w:t>
            </w:r>
          </w:p>
        </w:tc>
        <w:tc>
          <w:tcPr>
            <w:tcW w:w="100" w:type="dxa"/>
            <w:vAlign w:val="bottom"/>
          </w:tcPr>
          <w:p>
            <w:pPr>
              <w:spacing w:after="0"/>
              <w:rPr>
                <w:sz w:val="21"/>
                <w:szCs w:val="21"/>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4,750,000</w:t>
            </w:r>
          </w:p>
        </w:tc>
        <w:tc>
          <w:tcPr>
            <w:tcW w:w="100" w:type="dxa"/>
            <w:vAlign w:val="bottom"/>
          </w:tcPr>
          <w:p>
            <w:pPr>
              <w:spacing w:after="0"/>
              <w:rPr>
                <w:sz w:val="21"/>
                <w:szCs w:val="21"/>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9,500,000</w:t>
            </w:r>
          </w:p>
        </w:tc>
        <w:tc>
          <w:tcPr>
            <w:tcW w:w="80" w:type="dxa"/>
            <w:vAlign w:val="bottom"/>
          </w:tcPr>
          <w:p>
            <w:pPr>
              <w:spacing w:after="0"/>
              <w:rPr>
                <w:sz w:val="21"/>
                <w:szCs w:val="21"/>
                <w:color w:val="auto"/>
              </w:rPr>
            </w:pPr>
          </w:p>
        </w:tc>
        <w:tc>
          <w:tcPr>
            <w:tcW w:w="2440" w:type="dxa"/>
            <w:vAlign w:val="bottom"/>
          </w:tcPr>
          <w:p>
            <w:pPr>
              <w:spacing w:after="0"/>
              <w:rPr>
                <w:sz w:val="21"/>
                <w:szCs w:val="21"/>
                <w:color w:val="auto"/>
              </w:rPr>
            </w:pPr>
          </w:p>
        </w:tc>
      </w:tr>
      <w:tr>
        <w:trPr>
          <w:trHeight w:val="263"/>
        </w:trPr>
        <w:tc>
          <w:tcPr>
            <w:tcW w:w="20" w:type="dxa"/>
            <w:vAlign w:val="bottom"/>
            <w:shd w:val="clear" w:color="auto" w:fill="CCEEFF"/>
          </w:tcPr>
          <w:p>
            <w:pPr>
              <w:spacing w:after="0"/>
              <w:rPr>
                <w:sz w:val="22"/>
                <w:szCs w:val="22"/>
                <w:color w:val="auto"/>
              </w:rPr>
            </w:pPr>
          </w:p>
        </w:tc>
        <w:tc>
          <w:tcPr>
            <w:tcW w:w="2220" w:type="dxa"/>
            <w:vAlign w:val="bottom"/>
            <w:gridSpan w:val="4"/>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Catastrophe loss coverage</w:t>
            </w:r>
          </w:p>
        </w:tc>
        <w:tc>
          <w:tcPr>
            <w:tcW w:w="3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440" w:type="dxa"/>
            <w:vAlign w:val="bottom"/>
          </w:tcPr>
          <w:p>
            <w:pPr>
              <w:spacing w:after="0"/>
              <w:rPr>
                <w:sz w:val="22"/>
                <w:szCs w:val="22"/>
                <w:color w:val="auto"/>
              </w:rPr>
            </w:pPr>
          </w:p>
        </w:tc>
      </w:tr>
      <w:tr>
        <w:trPr>
          <w:trHeight w:val="250"/>
        </w:trPr>
        <w:tc>
          <w:tcPr>
            <w:tcW w:w="20" w:type="dxa"/>
            <w:vAlign w:val="bottom"/>
          </w:tcPr>
          <w:p>
            <w:pPr>
              <w:spacing w:after="0"/>
              <w:rPr>
                <w:sz w:val="21"/>
                <w:szCs w:val="21"/>
                <w:color w:val="auto"/>
              </w:rPr>
            </w:pPr>
          </w:p>
        </w:tc>
        <w:tc>
          <w:tcPr>
            <w:tcW w:w="2220" w:type="dxa"/>
            <w:vAlign w:val="bottom"/>
            <w:gridSpan w:val="4"/>
          </w:tcPr>
          <w:p>
            <w:pPr>
              <w:ind w:left="300"/>
              <w:spacing w:after="0"/>
              <w:rPr>
                <w:sz w:val="20"/>
                <w:szCs w:val="20"/>
                <w:color w:val="auto"/>
              </w:rPr>
            </w:pPr>
            <w:r>
              <w:rPr>
                <w:rFonts w:ascii="Times New Roman" w:cs="Times New Roman" w:eastAsia="Times New Roman" w:hAnsi="Times New Roman"/>
                <w:sz w:val="18"/>
                <w:szCs w:val="18"/>
                <w:color w:val="auto"/>
              </w:rPr>
              <w:t>in excess of quota share</w:t>
            </w: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40" w:type="dxa"/>
            <w:vAlign w:val="bottom"/>
          </w:tcPr>
          <w:p>
            <w:pPr>
              <w:spacing w:after="0"/>
              <w:rPr>
                <w:sz w:val="21"/>
                <w:szCs w:val="21"/>
                <w:color w:val="auto"/>
              </w:rPr>
            </w:pPr>
          </w:p>
        </w:tc>
      </w:tr>
      <w:tr>
        <w:trPr>
          <w:trHeight w:val="263"/>
        </w:trPr>
        <w:tc>
          <w:tcPr>
            <w:tcW w:w="20" w:type="dxa"/>
            <w:vAlign w:val="bottom"/>
            <w:shd w:val="clear" w:color="auto" w:fill="CCEEFF"/>
          </w:tcPr>
          <w:p>
            <w:pPr>
              <w:spacing w:after="0"/>
              <w:rPr>
                <w:sz w:val="22"/>
                <w:szCs w:val="22"/>
                <w:color w:val="auto"/>
              </w:rPr>
            </w:pPr>
          </w:p>
        </w:tc>
        <w:tc>
          <w:tcPr>
            <w:tcW w:w="2220" w:type="dxa"/>
            <w:vAlign w:val="bottom"/>
            <w:gridSpan w:val="4"/>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coverage (2) (6)</w:t>
            </w:r>
          </w:p>
        </w:tc>
        <w:tc>
          <w:tcPr>
            <w:tcW w:w="3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275,000,000</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275,000,000</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315,000,000</w:t>
            </w:r>
          </w:p>
        </w:tc>
        <w:tc>
          <w:tcPr>
            <w:tcW w:w="80" w:type="dxa"/>
            <w:vAlign w:val="bottom"/>
            <w:shd w:val="clear" w:color="auto" w:fill="CCEEFF"/>
          </w:tcPr>
          <w:p>
            <w:pPr>
              <w:spacing w:after="0"/>
              <w:rPr>
                <w:sz w:val="22"/>
                <w:szCs w:val="22"/>
                <w:color w:val="auto"/>
              </w:rPr>
            </w:pPr>
          </w:p>
        </w:tc>
        <w:tc>
          <w:tcPr>
            <w:tcW w:w="2440" w:type="dxa"/>
            <w:vAlign w:val="bottom"/>
          </w:tcPr>
          <w:p>
            <w:pPr>
              <w:spacing w:after="0"/>
              <w:rPr>
                <w:sz w:val="22"/>
                <w:szCs w:val="22"/>
                <w:color w:val="auto"/>
              </w:rPr>
            </w:pPr>
          </w:p>
        </w:tc>
      </w:tr>
      <w:tr>
        <w:trPr>
          <w:trHeight w:val="270"/>
        </w:trPr>
        <w:tc>
          <w:tcPr>
            <w:tcW w:w="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720" w:type="dxa"/>
            <w:vAlign w:val="bottom"/>
            <w:gridSpan w:val="2"/>
          </w:tcPr>
          <w:p>
            <w:pPr>
              <w:spacing w:after="0"/>
              <w:rPr>
                <w:sz w:val="23"/>
                <w:szCs w:val="23"/>
                <w:color w:val="auto"/>
              </w:rPr>
            </w:pPr>
          </w:p>
        </w:tc>
        <w:tc>
          <w:tcPr>
            <w:tcW w:w="3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40" w:type="dxa"/>
            <w:vAlign w:val="bottom"/>
          </w:tcPr>
          <w:p>
            <w:pPr>
              <w:spacing w:after="0"/>
              <w:rPr>
                <w:sz w:val="23"/>
                <w:szCs w:val="23"/>
                <w:color w:val="auto"/>
              </w:rPr>
            </w:pPr>
          </w:p>
        </w:tc>
      </w:tr>
      <w:tr>
        <w:trPr>
          <w:trHeight w:val="256"/>
        </w:trPr>
        <w:tc>
          <w:tcPr>
            <w:tcW w:w="20" w:type="dxa"/>
            <w:vAlign w:val="bottom"/>
            <w:shd w:val="clear" w:color="auto" w:fill="CCEEFF"/>
          </w:tcPr>
          <w:p>
            <w:pPr>
              <w:spacing w:after="0"/>
              <w:rPr>
                <w:sz w:val="22"/>
                <w:szCs w:val="22"/>
                <w:color w:val="auto"/>
              </w:rPr>
            </w:pPr>
          </w:p>
        </w:tc>
        <w:tc>
          <w:tcPr>
            <w:tcW w:w="2220" w:type="dxa"/>
            <w:vAlign w:val="bottom"/>
            <w:gridSpan w:val="4"/>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Reinstatement premium</w:t>
            </w:r>
          </w:p>
        </w:tc>
        <w:tc>
          <w:tcPr>
            <w:tcW w:w="3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440" w:type="dxa"/>
            <w:vAlign w:val="bottom"/>
          </w:tcPr>
          <w:p>
            <w:pPr>
              <w:spacing w:after="0"/>
              <w:rPr>
                <w:sz w:val="22"/>
                <w:szCs w:val="22"/>
                <w:color w:val="auto"/>
              </w:rPr>
            </w:pPr>
          </w:p>
        </w:tc>
      </w:tr>
      <w:tr>
        <w:trPr>
          <w:trHeight w:val="243"/>
        </w:trPr>
        <w:tc>
          <w:tcPr>
            <w:tcW w:w="20" w:type="dxa"/>
            <w:vAlign w:val="bottom"/>
          </w:tcPr>
          <w:p>
            <w:pPr>
              <w:spacing w:after="0"/>
              <w:rPr>
                <w:sz w:val="21"/>
                <w:szCs w:val="21"/>
                <w:color w:val="auto"/>
              </w:rPr>
            </w:pPr>
          </w:p>
        </w:tc>
        <w:tc>
          <w:tcPr>
            <w:tcW w:w="2220" w:type="dxa"/>
            <w:vAlign w:val="bottom"/>
            <w:gridSpan w:val="4"/>
          </w:tcPr>
          <w:p>
            <w:pPr>
              <w:ind w:left="300"/>
              <w:spacing w:after="0"/>
              <w:rPr>
                <w:sz w:val="20"/>
                <w:szCs w:val="20"/>
                <w:color w:val="auto"/>
              </w:rPr>
            </w:pPr>
            <w:r>
              <w:rPr>
                <w:rFonts w:ascii="Times New Roman" w:cs="Times New Roman" w:eastAsia="Times New Roman" w:hAnsi="Times New Roman"/>
                <w:sz w:val="18"/>
                <w:szCs w:val="18"/>
                <w:color w:val="auto"/>
              </w:rPr>
              <w:t>protection (3) (4)</w:t>
            </w: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2"/>
              </w:rPr>
              <w:t>Yes</w:t>
            </w:r>
          </w:p>
        </w:tc>
        <w:tc>
          <w:tcPr>
            <w:tcW w:w="120" w:type="dxa"/>
            <w:vAlign w:val="bottom"/>
          </w:tcPr>
          <w:p>
            <w:pPr>
              <w:spacing w:after="0"/>
              <w:rPr>
                <w:sz w:val="21"/>
                <w:szCs w:val="21"/>
                <w:color w:val="auto"/>
              </w:rPr>
            </w:pP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2"/>
              </w:rPr>
              <w:t>Yes</w:t>
            </w:r>
          </w:p>
        </w:tc>
        <w:tc>
          <w:tcPr>
            <w:tcW w:w="140" w:type="dxa"/>
            <w:vAlign w:val="bottom"/>
          </w:tcPr>
          <w:p>
            <w:pPr>
              <w:spacing w:after="0"/>
              <w:rPr>
                <w:sz w:val="21"/>
                <w:szCs w:val="21"/>
                <w:color w:val="auto"/>
              </w:rPr>
            </w:pPr>
          </w:p>
        </w:tc>
        <w:tc>
          <w:tcPr>
            <w:tcW w:w="3880" w:type="dxa"/>
            <w:vAlign w:val="bottom"/>
            <w:gridSpan w:val="3"/>
          </w:tcPr>
          <w:p>
            <w:pPr>
              <w:jc w:val="center"/>
              <w:ind w:right="2660"/>
              <w:spacing w:after="0"/>
              <w:rPr>
                <w:sz w:val="20"/>
                <w:szCs w:val="20"/>
                <w:color w:val="auto"/>
              </w:rPr>
            </w:pPr>
            <w:r>
              <w:rPr>
                <w:rFonts w:ascii="Times New Roman" w:cs="Times New Roman" w:eastAsia="Times New Roman" w:hAnsi="Times New Roman"/>
                <w:sz w:val="18"/>
                <w:szCs w:val="18"/>
                <w:color w:val="auto"/>
                <w:w w:val="92"/>
              </w:rPr>
              <w:t>Yes</w:t>
            </w:r>
          </w:p>
        </w:tc>
      </w:tr>
      <w:tr>
        <w:trPr>
          <w:trHeight w:val="918"/>
        </w:trPr>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40" w:type="dxa"/>
            <w:vAlign w:val="bottom"/>
          </w:tcPr>
          <w:p>
            <w:pPr>
              <w:spacing w:after="0"/>
              <w:rPr>
                <w:sz w:val="24"/>
                <w:szCs w:val="24"/>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4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both"/>
        <w:ind w:left="2040" w:right="160" w:hanging="1222"/>
        <w:spacing w:after="0" w:line="257" w:lineRule="auto"/>
        <w:tabs>
          <w:tab w:leader="none" w:pos="203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personal lines, includes the addition of an automatic facultative facility allowing KICO to obtain homeowners single risk coverage up to $9,000,000 in total insured value, which covers direct losses from $3,500,000 to $9,000,000 through June 30, 2025.</w:t>
      </w:r>
    </w:p>
    <w:p>
      <w:pPr>
        <w:spacing w:after="0" w:line="1" w:lineRule="exact"/>
        <w:rPr>
          <w:rFonts w:ascii="Times New Roman" w:cs="Times New Roman" w:eastAsia="Times New Roman" w:hAnsi="Times New Roman"/>
          <w:sz w:val="18"/>
          <w:szCs w:val="18"/>
          <w:color w:val="auto"/>
        </w:rPr>
      </w:pPr>
    </w:p>
    <w:p>
      <w:pPr>
        <w:ind w:left="2040" w:right="100" w:hanging="1222"/>
        <w:spacing w:after="0" w:line="250" w:lineRule="auto"/>
        <w:tabs>
          <w:tab w:leader="none" w:pos="203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Catastrophe coverage is limited on an annual basis to two times the per occurrence amounts, except for one occurrence on the first layer of $5,000,000 in excess of $5,000,000. Duration of 168 consecutive hours for a catastrophe occurrence from windstorm, hail, tornado, hurricane and cyclone.</w:t>
      </w:r>
    </w:p>
    <w:p>
      <w:pPr>
        <w:spacing w:after="0" w:line="1" w:lineRule="exact"/>
        <w:rPr>
          <w:rFonts w:ascii="Times New Roman" w:cs="Times New Roman" w:eastAsia="Times New Roman" w:hAnsi="Times New Roman"/>
          <w:sz w:val="18"/>
          <w:szCs w:val="18"/>
          <w:color w:val="auto"/>
        </w:rPr>
      </w:pPr>
    </w:p>
    <w:p>
      <w:pPr>
        <w:ind w:left="2040" w:right="500" w:hanging="1222"/>
        <w:spacing w:after="0" w:line="250" w:lineRule="auto"/>
        <w:tabs>
          <w:tab w:leader="none" w:pos="203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period January 1, 2023 through June 30, 2024, reinstatement premium protection for $50,000,000 of catastrophe coverage in excess of $10,000,000.</w:t>
      </w:r>
    </w:p>
    <w:p>
      <w:pPr>
        <w:ind w:left="2040" w:right="600" w:hanging="1222"/>
        <w:spacing w:after="0" w:line="250" w:lineRule="auto"/>
        <w:tabs>
          <w:tab w:leader="none" w:pos="203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period July 1, 2024 through June 30, 2025 (expiration date of the catastrophe reinsurance treaty), reinstatement premium protection for $50,000,000 of catastrophe coverage in excess of $10,000,000.</w:t>
      </w:r>
    </w:p>
    <w:p>
      <w:pPr>
        <w:ind w:left="2040" w:right="120" w:hanging="1222"/>
        <w:spacing w:after="0" w:line="250" w:lineRule="auto"/>
        <w:tabs>
          <w:tab w:leader="none" w:pos="203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period January 1, 2024 through June 30, 2025, the Underlying XOL Treaty provides 50% reinsurance coverage for losses of $400,000 in excess of $600,000. Excludes losses from named storms. Reduces retention to $530,000 from $730,000 under the 2024/2025 Treaty. Retention increases to $640,000 from $530,000 under the 2025/2026 Treaty.</w:t>
      </w:r>
    </w:p>
    <w:p>
      <w:pPr>
        <w:spacing w:after="0" w:line="1" w:lineRule="exact"/>
        <w:rPr>
          <w:rFonts w:ascii="Times New Roman" w:cs="Times New Roman" w:eastAsia="Times New Roman" w:hAnsi="Times New Roman"/>
          <w:sz w:val="18"/>
          <w:szCs w:val="18"/>
          <w:color w:val="auto"/>
        </w:rPr>
      </w:pPr>
    </w:p>
    <w:p>
      <w:pPr>
        <w:ind w:left="2040" w:right="60" w:hanging="1222"/>
        <w:spacing w:after="0" w:line="250" w:lineRule="auto"/>
        <w:tabs>
          <w:tab w:leader="none" w:pos="203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Excess of loss coverage and facultative facility, Underlying XOL Treaty, and catastrophe reinsurance treaties will expire on June 30, 2025, with none of these coverages to be in effect during the period from July 1 2025 through January 1, 2026. If and when these treaties are renewed on July 1, 2025, the excess of loss and facultative facility, Underlying XOL Treaty, and the catastrophe reinsurance treaty, will be as provided for therein. Reinsurance coverage in effect from July 1, 2025 through January 1, 2026 is currently only covered under the 2025/2026 Treaty. The 2025/2026 Treaty will expire on January 1, 2026.</w:t>
      </w:r>
    </w:p>
    <w:p>
      <w:pPr>
        <w:spacing w:after="0" w:line="1" w:lineRule="exact"/>
        <w:rPr>
          <w:rFonts w:ascii="Times New Roman" w:cs="Times New Roman" w:eastAsia="Times New Roman" w:hAnsi="Times New Roman"/>
          <w:sz w:val="18"/>
          <w:szCs w:val="18"/>
          <w:color w:val="auto"/>
        </w:rPr>
      </w:pPr>
    </w:p>
    <w:p>
      <w:pPr>
        <w:ind w:left="2040" w:right="20" w:hanging="1222"/>
        <w:spacing w:after="0" w:line="265" w:lineRule="auto"/>
        <w:tabs>
          <w:tab w:leader="none" w:pos="2034"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the 2024/2025 Treaty, 22% of the 27% total of losses ceded under this treaty are excluded from a named catastrophe event. For the 2025/2026 Treaty, 6% of the 16% total of losses ceded under this treaty are excluded from a named catastrophe event.</w:t>
      </w:r>
    </w:p>
    <w:p>
      <w:pPr>
        <w:ind w:left="2020" w:hanging="1202"/>
        <w:spacing w:after="0" w:line="236" w:lineRule="auto"/>
        <w:tabs>
          <w:tab w:leader="none" w:pos="2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Plus losses in excess of catastrophe coverage.</w:t>
      </w:r>
    </w:p>
    <w:p>
      <w:pPr>
        <w:ind w:left="2040" w:hanging="1222"/>
        <w:spacing w:after="0" w:line="239" w:lineRule="auto"/>
        <w:tabs>
          <w:tab w:leader="none" w:pos="203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period October 1, 2024 through April 30, 2025, additional catastrophe reinsurance treaty will provide coverage for winter storm losses to the extent of 71% of $4,500,000 in excess of $5,500,000. Retention for winter storms under this treaty is $4,800,000 under the 2024/2025 Treaty and $5,200,000 under the 2025/2026 Treaty.</w:t>
      </w:r>
    </w:p>
    <w:p>
      <w:pPr>
        <w:spacing w:after="0" w:line="200" w:lineRule="exact"/>
        <w:rPr>
          <w:sz w:val="20"/>
          <w:szCs w:val="20"/>
          <w:color w:val="auto"/>
        </w:rPr>
      </w:pPr>
    </w:p>
    <w:p>
      <w:pPr>
        <w:spacing w:after="0" w:line="37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9" w:right="39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5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3120" w:type="dxa"/>
            <w:vAlign w:val="bottom"/>
            <w:tcBorders>
              <w:bottom w:val="single" w:sz="8" w:color="auto"/>
            </w:tcBorders>
            <w:gridSpan w:val="4"/>
          </w:tcPr>
          <w:p>
            <w:pPr>
              <w:jc w:val="right"/>
              <w:ind w:right="1110"/>
              <w:spacing w:after="0"/>
              <w:rPr>
                <w:sz w:val="20"/>
                <w:szCs w:val="20"/>
                <w:color w:val="auto"/>
              </w:rPr>
            </w:pPr>
            <w:r>
              <w:rPr>
                <w:rFonts w:ascii="Times New Roman" w:cs="Times New Roman" w:eastAsia="Times New Roman" w:hAnsi="Times New Roman"/>
                <w:sz w:val="18"/>
                <w:szCs w:val="18"/>
                <w:b w:val="1"/>
                <w:bCs w:val="1"/>
                <w:color w:val="auto"/>
              </w:rPr>
              <w:t>Treaty Year</w:t>
            </w:r>
          </w:p>
        </w:tc>
      </w:tr>
      <w:tr>
        <w:trPr>
          <w:trHeight w:val="207"/>
        </w:trPr>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July 1, 2024</w:t>
            </w:r>
          </w:p>
        </w:tc>
        <w:tc>
          <w:tcPr>
            <w:tcW w:w="200" w:type="dxa"/>
            <w:vAlign w:val="bottom"/>
          </w:tcPr>
          <w:p>
            <w:pPr>
              <w:spacing w:after="0"/>
              <w:rPr>
                <w:sz w:val="18"/>
                <w:szCs w:val="18"/>
                <w:color w:val="auto"/>
              </w:rPr>
            </w:pPr>
          </w:p>
        </w:tc>
        <w:tc>
          <w:tcPr>
            <w:tcW w:w="142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July 1, 2023</w:t>
            </w:r>
          </w:p>
        </w:tc>
      </w:tr>
      <w:tr>
        <w:trPr>
          <w:trHeight w:val="203"/>
        </w:trPr>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5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00" w:type="dxa"/>
            <w:vAlign w:val="bottom"/>
            <w:gridSpan w:val="2"/>
          </w:tcPr>
          <w:p>
            <w:pPr>
              <w:jc w:val="center"/>
              <w:ind w:right="300"/>
              <w:spacing w:after="0" w:line="202" w:lineRule="exact"/>
              <w:rPr>
                <w:sz w:val="20"/>
                <w:szCs w:val="20"/>
                <w:color w:val="auto"/>
              </w:rPr>
            </w:pPr>
            <w:r>
              <w:rPr>
                <w:rFonts w:ascii="Times New Roman" w:cs="Times New Roman" w:eastAsia="Times New Roman" w:hAnsi="Times New Roman"/>
                <w:sz w:val="18"/>
                <w:szCs w:val="18"/>
                <w:b w:val="1"/>
                <w:bCs w:val="1"/>
                <w:color w:val="auto"/>
              </w:rPr>
              <w:t>to</w:t>
            </w:r>
          </w:p>
        </w:tc>
        <w:tc>
          <w:tcPr>
            <w:tcW w:w="200" w:type="dxa"/>
            <w:vAlign w:val="bottom"/>
          </w:tcPr>
          <w:p>
            <w:pPr>
              <w:spacing w:after="0"/>
              <w:rPr>
                <w:sz w:val="17"/>
                <w:szCs w:val="17"/>
                <w:color w:val="auto"/>
              </w:rPr>
            </w:pPr>
          </w:p>
        </w:tc>
        <w:tc>
          <w:tcPr>
            <w:tcW w:w="1420" w:type="dxa"/>
            <w:vAlign w:val="bottom"/>
          </w:tcPr>
          <w:p>
            <w:pPr>
              <w:jc w:val="center"/>
              <w:ind w:right="90"/>
              <w:spacing w:after="0" w:line="202" w:lineRule="exact"/>
              <w:rPr>
                <w:sz w:val="20"/>
                <w:szCs w:val="20"/>
                <w:color w:val="auto"/>
              </w:rPr>
            </w:pPr>
            <w:r>
              <w:rPr>
                <w:rFonts w:ascii="Times New Roman" w:cs="Times New Roman" w:eastAsia="Times New Roman" w:hAnsi="Times New Roman"/>
                <w:sz w:val="18"/>
                <w:szCs w:val="18"/>
                <w:b w:val="1"/>
                <w:bCs w:val="1"/>
                <w:color w:val="auto"/>
              </w:rPr>
              <w:t>to</w:t>
            </w:r>
          </w:p>
        </w:tc>
      </w:tr>
      <w:tr>
        <w:trPr>
          <w:trHeight w:val="259"/>
        </w:trPr>
        <w:tc>
          <w:tcPr>
            <w:tcW w:w="20" w:type="dxa"/>
            <w:vAlign w:val="bottom"/>
            <w:tcBorders>
              <w:bottom w:val="single" w:sz="8" w:color="auto"/>
            </w:tcBorders>
          </w:tcPr>
          <w:p>
            <w:pPr>
              <w:spacing w:after="0"/>
              <w:rPr>
                <w:sz w:val="22"/>
                <w:szCs w:val="22"/>
                <w:color w:val="auto"/>
              </w:rPr>
            </w:pPr>
          </w:p>
        </w:tc>
        <w:tc>
          <w:tcPr>
            <w:tcW w:w="62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Line of Business</w:t>
            </w:r>
          </w:p>
        </w:tc>
        <w:tc>
          <w:tcPr>
            <w:tcW w:w="1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June 30, 2025</w:t>
            </w:r>
          </w:p>
        </w:tc>
        <w:tc>
          <w:tcPr>
            <w:tcW w:w="8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June 30, 2024</w:t>
            </w:r>
          </w:p>
        </w:tc>
      </w:tr>
      <w:tr>
        <w:trPr>
          <w:trHeight w:val="459"/>
        </w:trPr>
        <w:tc>
          <w:tcPr>
            <w:tcW w:w="20" w:type="dxa"/>
            <w:vAlign w:val="bottom"/>
          </w:tcPr>
          <w:p>
            <w:pPr>
              <w:spacing w:after="0"/>
              <w:rPr>
                <w:sz w:val="24"/>
                <w:szCs w:val="24"/>
                <w:color w:val="auto"/>
              </w:rPr>
            </w:pPr>
          </w:p>
        </w:tc>
        <w:tc>
          <w:tcPr>
            <w:tcW w:w="6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Personal Lines:</w:t>
            </w:r>
          </w:p>
        </w:tc>
        <w:tc>
          <w:tcPr>
            <w:tcW w:w="2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52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277"/>
        </w:trPr>
        <w:tc>
          <w:tcPr>
            <w:tcW w:w="20" w:type="dxa"/>
            <w:vAlign w:val="bottom"/>
          </w:tcPr>
          <w:p>
            <w:pPr>
              <w:spacing w:after="0"/>
              <w:rPr>
                <w:sz w:val="24"/>
                <w:szCs w:val="24"/>
                <w:color w:val="auto"/>
              </w:rPr>
            </w:pPr>
          </w:p>
        </w:tc>
        <w:tc>
          <w:tcPr>
            <w:tcW w:w="6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Personal Umbrella</w:t>
            </w:r>
          </w:p>
        </w:tc>
        <w:tc>
          <w:tcPr>
            <w:tcW w:w="2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63"/>
        </w:trPr>
        <w:tc>
          <w:tcPr>
            <w:tcW w:w="20" w:type="dxa"/>
            <w:vAlign w:val="bottom"/>
          </w:tcPr>
          <w:p>
            <w:pPr>
              <w:spacing w:after="0"/>
              <w:rPr>
                <w:sz w:val="22"/>
                <w:szCs w:val="22"/>
                <w:color w:val="auto"/>
              </w:rPr>
            </w:pPr>
          </w:p>
        </w:tc>
        <w:tc>
          <w:tcPr>
            <w:tcW w:w="634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Quota share treaty:</w:t>
            </w:r>
          </w:p>
        </w:tc>
        <w:tc>
          <w:tcPr>
            <w:tcW w:w="20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20" w:type="dxa"/>
            <w:vAlign w:val="bottom"/>
          </w:tcPr>
          <w:p>
            <w:pPr>
              <w:spacing w:after="0"/>
              <w:rPr>
                <w:sz w:val="22"/>
                <w:szCs w:val="22"/>
                <w:color w:val="auto"/>
              </w:rPr>
            </w:pPr>
          </w:p>
        </w:tc>
      </w:tr>
      <w:tr>
        <w:trPr>
          <w:trHeight w:val="263"/>
        </w:trPr>
        <w:tc>
          <w:tcPr>
            <w:tcW w:w="20" w:type="dxa"/>
            <w:vAlign w:val="bottom"/>
            <w:shd w:val="clear" w:color="auto" w:fill="CCEEFF"/>
          </w:tcPr>
          <w:p>
            <w:pPr>
              <w:spacing w:after="0"/>
              <w:rPr>
                <w:sz w:val="22"/>
                <w:szCs w:val="22"/>
                <w:color w:val="auto"/>
              </w:rPr>
            </w:pPr>
          </w:p>
        </w:tc>
        <w:tc>
          <w:tcPr>
            <w:tcW w:w="634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Percent ceded - first $1,000,000 of coverage</w:t>
            </w:r>
          </w:p>
        </w:tc>
        <w:tc>
          <w:tcPr>
            <w:tcW w:w="200" w:type="dxa"/>
            <w:vAlign w:val="bottom"/>
            <w:shd w:val="clear" w:color="auto" w:fill="CCEEFF"/>
          </w:tcPr>
          <w:p>
            <w:pPr>
              <w:spacing w:after="0"/>
              <w:rPr>
                <w:sz w:val="22"/>
                <w:szCs w:val="22"/>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90 %</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90 %</w:t>
            </w:r>
          </w:p>
        </w:tc>
      </w:tr>
      <w:tr>
        <w:trPr>
          <w:trHeight w:val="250"/>
        </w:trPr>
        <w:tc>
          <w:tcPr>
            <w:tcW w:w="20" w:type="dxa"/>
            <w:vAlign w:val="bottom"/>
          </w:tcPr>
          <w:p>
            <w:pPr>
              <w:spacing w:after="0"/>
              <w:rPr>
                <w:sz w:val="21"/>
                <w:szCs w:val="21"/>
                <w:color w:val="auto"/>
              </w:rPr>
            </w:pPr>
          </w:p>
        </w:tc>
        <w:tc>
          <w:tcPr>
            <w:tcW w:w="634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Percent ceded - excess of $1,000,000 dollars of coverage</w:t>
            </w:r>
          </w:p>
        </w:tc>
        <w:tc>
          <w:tcPr>
            <w:tcW w:w="2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95 %</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95 %</w:t>
            </w:r>
          </w:p>
        </w:tc>
      </w:tr>
      <w:tr>
        <w:trPr>
          <w:trHeight w:val="263"/>
        </w:trPr>
        <w:tc>
          <w:tcPr>
            <w:tcW w:w="20" w:type="dxa"/>
            <w:vAlign w:val="bottom"/>
            <w:shd w:val="clear" w:color="auto" w:fill="CCEEFF"/>
          </w:tcPr>
          <w:p>
            <w:pPr>
              <w:spacing w:after="0"/>
              <w:rPr>
                <w:sz w:val="22"/>
                <w:szCs w:val="22"/>
                <w:color w:val="auto"/>
              </w:rPr>
            </w:pPr>
          </w:p>
        </w:tc>
        <w:tc>
          <w:tcPr>
            <w:tcW w:w="634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Risk retained</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300,000</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300,000</w:t>
            </w:r>
          </w:p>
        </w:tc>
      </w:tr>
      <w:tr>
        <w:trPr>
          <w:trHeight w:val="250"/>
        </w:trPr>
        <w:tc>
          <w:tcPr>
            <w:tcW w:w="20" w:type="dxa"/>
            <w:vAlign w:val="bottom"/>
          </w:tcPr>
          <w:p>
            <w:pPr>
              <w:spacing w:after="0"/>
              <w:rPr>
                <w:sz w:val="21"/>
                <w:szCs w:val="21"/>
                <w:color w:val="auto"/>
              </w:rPr>
            </w:pPr>
          </w:p>
        </w:tc>
        <w:tc>
          <w:tcPr>
            <w:tcW w:w="634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Total reinsurance coverage per occurrence</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4,700,000</w:t>
            </w:r>
          </w:p>
        </w:tc>
        <w:tc>
          <w:tcPr>
            <w:tcW w:w="8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4,700,000</w:t>
            </w:r>
          </w:p>
        </w:tc>
      </w:tr>
      <w:tr>
        <w:trPr>
          <w:trHeight w:val="263"/>
        </w:trPr>
        <w:tc>
          <w:tcPr>
            <w:tcW w:w="20" w:type="dxa"/>
            <w:vAlign w:val="bottom"/>
            <w:shd w:val="clear" w:color="auto" w:fill="CCEEFF"/>
          </w:tcPr>
          <w:p>
            <w:pPr>
              <w:spacing w:after="0"/>
              <w:rPr>
                <w:sz w:val="22"/>
                <w:szCs w:val="22"/>
                <w:color w:val="auto"/>
              </w:rPr>
            </w:pPr>
          </w:p>
        </w:tc>
        <w:tc>
          <w:tcPr>
            <w:tcW w:w="634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Losses per occurrence subject to quota share reinsurance coverage</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5,000,000</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5,000,000</w:t>
            </w:r>
          </w:p>
        </w:tc>
      </w:tr>
      <w:tr>
        <w:trPr>
          <w:trHeight w:val="250"/>
        </w:trPr>
        <w:tc>
          <w:tcPr>
            <w:tcW w:w="20" w:type="dxa"/>
            <w:vAlign w:val="bottom"/>
          </w:tcPr>
          <w:p>
            <w:pPr>
              <w:spacing w:after="0"/>
              <w:rPr>
                <w:sz w:val="21"/>
                <w:szCs w:val="21"/>
                <w:color w:val="auto"/>
              </w:rPr>
            </w:pPr>
          </w:p>
        </w:tc>
        <w:tc>
          <w:tcPr>
            <w:tcW w:w="634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Expiration date</w:t>
            </w:r>
          </w:p>
        </w:tc>
        <w:tc>
          <w:tcPr>
            <w:tcW w:w="200" w:type="dxa"/>
            <w:vAlign w:val="bottom"/>
          </w:tcPr>
          <w:p>
            <w:pPr>
              <w:spacing w:after="0"/>
              <w:rPr>
                <w:sz w:val="21"/>
                <w:szCs w:val="21"/>
                <w:color w:val="auto"/>
              </w:rPr>
            </w:pPr>
          </w:p>
        </w:tc>
        <w:tc>
          <w:tcPr>
            <w:tcW w:w="15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9"/>
              </w:rPr>
              <w:t>June 30, 2025</w:t>
            </w:r>
          </w:p>
        </w:tc>
        <w:tc>
          <w:tcPr>
            <w:tcW w:w="200" w:type="dxa"/>
            <w:vAlign w:val="bottom"/>
          </w:tcPr>
          <w:p>
            <w:pPr>
              <w:spacing w:after="0"/>
              <w:rPr>
                <w:sz w:val="21"/>
                <w:szCs w:val="21"/>
                <w:color w:val="auto"/>
              </w:rPr>
            </w:pPr>
          </w:p>
        </w:tc>
        <w:tc>
          <w:tcPr>
            <w:tcW w:w="142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June 30, 2024</w:t>
            </w:r>
          </w:p>
        </w:tc>
      </w:tr>
      <w:tr>
        <w:trPr>
          <w:trHeight w:val="263"/>
        </w:trPr>
        <w:tc>
          <w:tcPr>
            <w:tcW w:w="2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5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4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420" w:type="dxa"/>
            <w:vAlign w:val="bottom"/>
            <w:shd w:val="clear" w:color="auto" w:fill="CCEEFF"/>
          </w:tcPr>
          <w:p>
            <w:pPr>
              <w:spacing w:after="0"/>
              <w:rPr>
                <w:sz w:val="22"/>
                <w:szCs w:val="22"/>
                <w:color w:val="auto"/>
              </w:rPr>
            </w:pPr>
          </w:p>
        </w:tc>
      </w:tr>
    </w:tbl>
    <w:p>
      <w:pPr>
        <w:ind w:left="180"/>
        <w:spacing w:after="0"/>
        <w:rPr>
          <w:sz w:val="20"/>
          <w:szCs w:val="20"/>
          <w:color w:val="auto"/>
        </w:rPr>
      </w:pPr>
      <w:r>
        <w:rPr>
          <w:rFonts w:ascii="Times New Roman" w:cs="Times New Roman" w:eastAsia="Times New Roman" w:hAnsi="Times New Roman"/>
          <w:sz w:val="18"/>
          <w:szCs w:val="18"/>
          <w:u w:val="single" w:color="auto"/>
          <w:color w:val="auto"/>
        </w:rPr>
        <w:t>Commercial Lines (1)</w:t>
      </w:r>
    </w:p>
    <w:p>
      <w:pPr>
        <w:spacing w:after="0" w:line="234" w:lineRule="exact"/>
        <w:rPr>
          <w:sz w:val="20"/>
          <w:szCs w:val="20"/>
          <w:color w:val="auto"/>
        </w:rPr>
      </w:pPr>
    </w:p>
    <w:p>
      <w:pPr>
        <w:ind w:left="1980" w:right="100" w:hanging="974"/>
        <w:spacing w:after="0" w:line="282" w:lineRule="auto"/>
        <w:tabs>
          <w:tab w:leader="none" w:pos="197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Coverage on all commercial lines policies expired in September 2020; reinsurance coverage is based on treaties in effect on the date of loss.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reinsurance program has been structured to enable the Company to grow its premium volume while maintaining regulatory capital and other financial ratios generally within or below the expected ranges used for regulatory oversight purposes. The reinsurance program also provides income as a result of ceding commissions earned pursuant to the quota share reinsurance contracts. The Company’s participation in reinsurance arrangements does not relieve the Company of its obligations to policyholders.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Ceding Commission Revenue</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earned ceding commission revenue under the 2025/2026 Treaty for the three months ended March 31, 2025 based on: (i) a fixed provisional commission rate at which provisional ceding commissions were earned, and (ii) a sliding scale ("Sliding Scale") of commission rates and ultimate treaty year loss ratio on the policies reinsured under this agreement based upon which contingent ceding commissions are earned. The Sliding Scale includes minimum and maximum commission rates in relation to specified ultimate loss ratios. The commission rate and contingent ceding commissions earned increase when the estimated ultimate loss ratio decreases and, conversely, the commission rate and contingent ceding commissions earned decrease when the estimated ultimate loss ratio increases.</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earned ceding commission revenue under the 2024/2025 Treaty for the three months ended March 31, 2024, based on a fixed provisional commission rate at which provisional ceding commissions were earned.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Ceding commission revenue consists of the following:</w:t>
      </w:r>
    </w:p>
    <w:p>
      <w:pPr>
        <w:spacing w:after="0" w:line="275" w:lineRule="exact"/>
        <w:rPr>
          <w:sz w:val="20"/>
          <w:szCs w:val="20"/>
          <w:color w:val="auto"/>
        </w:rPr>
      </w:pPr>
    </w:p>
    <w:p>
      <w:pPr>
        <w:jc w:val="center"/>
        <w:ind w:left="190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31" w:lineRule="exact"/>
        <w:rPr>
          <w:sz w:val="20"/>
          <w:szCs w:val="20"/>
          <w:color w:val="auto"/>
        </w:rPr>
      </w:pPr>
    </w:p>
    <w:p>
      <w:pPr>
        <w:jc w:val="center"/>
        <w:ind w:left="190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3194050</wp:posOffset>
            </wp:positionH>
            <wp:positionV relativeFrom="paragraph">
              <wp:posOffset>5715</wp:posOffset>
            </wp:positionV>
            <wp:extent cx="197167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971675" cy="8890"/>
                    </a:xfrm>
                    <a:prstGeom prst="rect">
                      <a:avLst/>
                    </a:prstGeom>
                    <a:noFill/>
                  </pic:spPr>
                </pic:pic>
              </a:graphicData>
            </a:graphic>
          </wp:anchor>
        </w:drawing>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02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57"/>
        </w:trPr>
        <w:tc>
          <w:tcPr>
            <w:tcW w:w="50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80" w:type="dxa"/>
            <w:vAlign w:val="bottom"/>
          </w:tcPr>
          <w:p>
            <w:pPr>
              <w:spacing w:after="0"/>
              <w:rPr>
                <w:sz w:val="22"/>
                <w:szCs w:val="22"/>
                <w:color w:val="auto"/>
              </w:rPr>
            </w:pPr>
          </w:p>
        </w:tc>
      </w:tr>
      <w:tr>
        <w:trPr>
          <w:trHeight w:val="257"/>
        </w:trPr>
        <w:tc>
          <w:tcPr>
            <w:tcW w:w="50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Provisional ceding commissions earned</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3,252,404</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4,555,240</w:t>
            </w:r>
          </w:p>
        </w:tc>
      </w:tr>
      <w:tr>
        <w:trPr>
          <w:trHeight w:val="250"/>
        </w:trPr>
        <w:tc>
          <w:tcPr>
            <w:tcW w:w="502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Contingent ceding commissions earned</w:t>
            </w:r>
          </w:p>
        </w:tc>
        <w:tc>
          <w:tcPr>
            <w:tcW w:w="3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(293,713)</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11,871</w:t>
            </w:r>
          </w:p>
        </w:tc>
      </w:tr>
      <w:tr>
        <w:trPr>
          <w:trHeight w:val="275"/>
        </w:trPr>
        <w:tc>
          <w:tcPr>
            <w:tcW w:w="50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2,958,691</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4,567,111</w:t>
            </w: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Provisional ceding commissions are settled monthly. Balances due to, or from reinsurers for contingent ceding commissions on the 2025/2026 Treaty will be settled annually based on the Loss Ratio of the treaty year that ends on January 1. Balances due to or from reinsurers for contingent ceding commissions on quota share treaties are settled</w:t>
      </w:r>
    </w:p>
    <w:p>
      <w:pPr>
        <w:sectPr>
          <w:pgSz w:w="11900" w:h="16838" w:orient="portrait"/>
          <w:cols w:equalWidth="0" w:num="1">
            <w:col w:w="11240"/>
          </w:cols>
          <w:pgMar w:left="320" w:top="119" w:right="339" w:bottom="1440" w:gutter="0" w:footer="0" w:header="0"/>
        </w:sect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31" w:name="page32"/>
    <w:bookmarkEnd w:id="31"/>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periodically based on the Loss Ratio of each treaty year that ends on June 30, for the expired treaties that were subject to contingent commissions. As discussed above, the Loss Ratios from prior years’ treaties are subject to change as incurred losses from those periods develop, resulting in an increase or decrease in the commission rate and contingent ceding commissions earned. As of March 31, 2025 and December 31, 2024, net contingent ceding commissions payable to reinsurers under all treaties was approximately $1,020,000 and $727,000, respectively, which is recorded in reinsurance balances payable on the accompanying condensed consolidated balance sheets.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Expected Credit Losses – Uncollectible Reinsurance</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reviews reinsurance receivables which relate to both amounts already billed on ceded paid losses as well as ceded reserves that will be billed when losses are paid in the future. The Company has not recorded an allowance for uncollectible reinsurance as there is no perceived credit risk. The principal credit quality indicator used in the valuation of the allowance for reinsurance receivables is the financial strength rating of the reinsurer sourced from major rating agencies. Changes in the allowance for credit losses are presented as a component of other underwriting expenses on the condensed consolidated statements of income and comprehensive income.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Debt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Federal Home Loan Bank</w:t>
      </w:r>
    </w:p>
    <w:p>
      <w:pPr>
        <w:spacing w:after="0" w:line="2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July 2017, KICO became a member of, and invested in, the FHLBNY. KICO is required to maintain an investment in the capital stock of FHLBNY. Based on the redemption provisions of FHLBNY, the stock has no quoted market value and is carried at cost. At its discretion, FHLBNY may declare dividends on the stock. Management reviews for impairment based on the ultimate recoverability of the cost basis in the stock. At March 31, 2025 and December 31, 2024, no impairment has been recognized. FHLBNY members have access to a variety of flexible, low cost funding through FHLBNY’s credit products, enabling members to customize advances, which are to be fully collateralized. Eligible collateral to pledge to FHLBNY includes residential and commercial mortgage-backed securities, along with U.S. Treasury and agency securities. See Note 3 – Investments for eligible collateral held in a designated custodian account available for future advances. Advances are limited to 5% of KICO’s net admitted assets as of the previous quarter. On July 6, 2023, A.M. Best withdrew KICO’s ratings as KICO requested to no longer participate in A.M. Best’s interactive rating process. As a result of the withdrawal of A.M. Best ratings, KICO is currently only able to borrow on an overnight basis. If KICO has sufficient available collateral (as discussed below), based on KICO’s net admitted assets, the maximum allowable advance as of March 31, 2025 and December 31, 2024 was approximately $14,861,000 and $13,637,000, respectively. The estimated fair value of available collateral as of March 31, 2025 and December 31, 2024 was approximately $10,102,000 and $10,130,000, respectively. Advances are limited to 85% of the amount of available collateral. There were no borrowings under this facility during the three months ended March 31, 2025 and 2024.</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7"/>
              </w:rPr>
              <w:t>Debt</w:t>
            </w:r>
          </w:p>
        </w:tc>
        <w:tc>
          <w:tcPr>
            <w:tcW w:w="7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453"/>
        </w:trPr>
        <w:tc>
          <w:tcPr>
            <w:tcW w:w="8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Debt as of March 31, 2025 and December 31, 2024 consists of the following:</w:t>
            </w: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464"/>
        </w:trPr>
        <w:tc>
          <w:tcPr>
            <w:tcW w:w="360" w:type="dxa"/>
            <w:vAlign w:val="bottom"/>
          </w:tcPr>
          <w:p>
            <w:pPr>
              <w:spacing w:after="0"/>
              <w:rPr>
                <w:sz w:val="24"/>
                <w:szCs w:val="24"/>
                <w:color w:val="auto"/>
              </w:rPr>
            </w:pPr>
          </w:p>
        </w:tc>
        <w:tc>
          <w:tcPr>
            <w:tcW w:w="7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60" w:type="dxa"/>
            <w:vAlign w:val="bottom"/>
          </w:tcPr>
          <w:p>
            <w:pPr>
              <w:spacing w:after="0"/>
              <w:rPr>
                <w:sz w:val="24"/>
                <w:szCs w:val="24"/>
                <w:color w:val="auto"/>
              </w:rPr>
            </w:pPr>
          </w:p>
        </w:tc>
        <w:tc>
          <w:tcPr>
            <w:tcW w:w="13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360" w:type="dxa"/>
            <w:vAlign w:val="bottom"/>
          </w:tcPr>
          <w:p>
            <w:pPr>
              <w:spacing w:after="0"/>
              <w:rPr>
                <w:sz w:val="20"/>
                <w:szCs w:val="20"/>
                <w:color w:val="auto"/>
              </w:rPr>
            </w:pPr>
          </w:p>
        </w:tc>
        <w:tc>
          <w:tcPr>
            <w:tcW w:w="78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50"/>
        </w:trPr>
        <w:tc>
          <w:tcPr>
            <w:tcW w:w="360" w:type="dxa"/>
            <w:vAlign w:val="bottom"/>
          </w:tcPr>
          <w:p>
            <w:pPr>
              <w:spacing w:after="0"/>
              <w:rPr>
                <w:sz w:val="21"/>
                <w:szCs w:val="21"/>
                <w:color w:val="auto"/>
              </w:rPr>
            </w:pPr>
          </w:p>
        </w:tc>
        <w:tc>
          <w:tcPr>
            <w:tcW w:w="78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57"/>
        </w:trPr>
        <w:tc>
          <w:tcPr>
            <w:tcW w:w="81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13.75% Senior Notes due 2026, net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5,508,000</w:t>
            </w:r>
          </w:p>
        </w:tc>
      </w:tr>
      <w:tr>
        <w:trPr>
          <w:trHeight w:val="250"/>
        </w:trPr>
        <w:tc>
          <w:tcPr>
            <w:tcW w:w="8180" w:type="dxa"/>
            <w:vAlign w:val="bottom"/>
            <w:tcBorders>
              <w:bottom w:val="single" w:sz="8" w:color="CCEEFF"/>
            </w:tcBorders>
            <w:gridSpan w:val="2"/>
          </w:tcPr>
          <w:p>
            <w:pPr>
              <w:ind w:left="60"/>
              <w:spacing w:after="0"/>
              <w:rPr>
                <w:sz w:val="20"/>
                <w:szCs w:val="20"/>
                <w:color w:val="auto"/>
              </w:rPr>
            </w:pPr>
            <w:r>
              <w:rPr>
                <w:rFonts w:ascii="Times New Roman" w:cs="Times New Roman" w:eastAsia="Times New Roman" w:hAnsi="Times New Roman"/>
                <w:sz w:val="18"/>
                <w:szCs w:val="18"/>
                <w:color w:val="auto"/>
              </w:rPr>
              <w:t>Equipment financing</w:t>
            </w: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5,364,265</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5,663,420</w:t>
            </w:r>
          </w:p>
        </w:tc>
      </w:tr>
      <w:tr>
        <w:trPr>
          <w:trHeight w:val="275"/>
        </w:trPr>
        <w:tc>
          <w:tcPr>
            <w:tcW w:w="8180" w:type="dxa"/>
            <w:vAlign w:val="bottom"/>
            <w:tcBorders>
              <w:bottom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Balance at end of period</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5,364,265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11,171,420</w:t>
            </w:r>
          </w:p>
        </w:tc>
      </w:tr>
      <w:tr>
        <w:trPr>
          <w:trHeight w:val="20"/>
        </w:trPr>
        <w:tc>
          <w:tcPr>
            <w:tcW w:w="360" w:type="dxa"/>
            <w:vAlign w:val="bottom"/>
            <w:tcBorders>
              <w:top w:val="single" w:sz="8" w:color="CCEEFF"/>
            </w:tcBorders>
          </w:tcPr>
          <w:p>
            <w:pPr>
              <w:spacing w:after="0" w:line="20" w:lineRule="exact"/>
              <w:rPr>
                <w:sz w:val="1"/>
                <w:szCs w:val="1"/>
                <w:color w:val="auto"/>
              </w:rPr>
            </w:pPr>
          </w:p>
        </w:tc>
        <w:tc>
          <w:tcPr>
            <w:tcW w:w="78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Exchange Agreements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December 9, 2022, the Company entered into a Note and Warrant Exchange Agreement (the “2022 Exchange Agreement”) with several holders (the “2022 Exchanging Noteholders”) of the Company’s outstanding 5.50% Senior Notes due 2022 (the “2017 Notes”). On the date of the 2022 Exchange Agreement, the 2022 Exchanging Noteholders held 2017 Notes in the aggregate principal amount of $21,545,000 of the $30,000,000 aggregate principal amount of the 2017 Notes then outstanding. Pursuant to the 2022 Exchange Agreement, on December 15, 2022, the 2022 Exchanging</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Noteholders exchanged their respective 2017 Notes for the following: (i) new 12.0% Senior Notes due December 30, 2024 of the Company in the aggregate approximate principal amount of $19,950,000 (the “2022 Notes”); (ii) cash in the aggregate approximate amount of $1,595,000, together with accrued interest on the 2017 Notes; and (iii) three-year warrants for the purchase of an aggregate of 969,525 shares of Common Stock of the Company, exercisable until December 30, 2025 at an exercise price of $1.00 per share (the “Warrants”). The remaining $8,455,000 principal amount of the 2017 Notes, together with accrued interest thereon, was paid on the maturity date of the 2017 Notes of December 30, 2022.</w:t>
      </w:r>
    </w:p>
    <w:p>
      <w:pPr>
        <w:spacing w:after="0" w:line="17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On August 30, 2024, the Company entered into a Note Exchange Agreement (the “2024 Exchange Agreement”) with the holders (the “2024 Exchanging Noteholders”) of the Company’s outstanding 2022 Notes in the aggregate principal amount of $19,950,000. Pursuant to the 2024 Exchange Agreement, on September 12, 2024, the 2024 Exchanging Noteholders exchanged their respective 2022 Notes for the following: (i) new 13.75% Senior Notes due June 30, 2026 of the Company in the aggregate principal amount of $14,950,000 (the “2024 Notes”); and (ii) cash in the aggregate amount of $5,000,000, together with accrued interest on the 2022 Notes (the "2024 Exchange"). See “2024 Notes” below for a discussion of a change in the expiration date of the Warrants.</w:t>
      </w:r>
    </w:p>
    <w:p>
      <w:pPr>
        <w:spacing w:after="0" w:line="200" w:lineRule="exact"/>
        <w:rPr>
          <w:sz w:val="20"/>
          <w:szCs w:val="20"/>
          <w:color w:val="auto"/>
        </w:rPr>
      </w:pPr>
    </w:p>
    <w:p>
      <w:pPr>
        <w:spacing w:after="0" w:line="22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analyzed the 2024 Exchange Agreement under ASC 470–50 Debt—Modifications and Extinguishments. The Company determined that extinguishment accounting was applicable, as the present value of the cash flows of the 2024 Notes differed by more than 10% from the 2022 Notes, making it a substantial change in terms. As a result, the 2022 Notes were derecognized and the 2024 Notes recorded at fair value. No gain or loss was recognized on the 2024 Exchange. Unamortized debt issue costs of $296,533 related to extinguished debt were expensed at the time the 2022 Notes were extinguished and recorded as loss on extinguishment of debt. Fees paid to third parties of $203,381 have been capitalized and are being amortized as debt issuance costs associated with the 2024 Notes.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2024 Notes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discussed above, on September 12, 2024, the Company issued the 2024 Notes in the aggregate principal amount of $14,950,000 pursuant to the 2024 Exchange Agreement. Interest was payable semi-annually in arrears on June 30 and December 30 of each year at the rate of 13.75% per annum. Pursuant to the 2024 Exchange Agreement, the expiration date of the Warrants to purchase 969,525 shares of Common Stock of the Company was extended to June 30, 2026 from December 30, 2025 (see Note 8 – Stockholders’ Equity) and transaction costs were $203,381, for an effective yield of 14.35% per annum. The balance of the 2024 Notes as of March 31, 2025 and December 31, 2024 was as follows: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14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8140" w:type="dxa"/>
            <w:vAlign w:val="bottom"/>
          </w:tcPr>
          <w:p>
            <w:pPr>
              <w:spacing w:after="0"/>
              <w:rPr>
                <w:sz w:val="21"/>
                <w:szCs w:val="21"/>
                <w:color w:val="auto"/>
              </w:rPr>
            </w:pPr>
          </w:p>
        </w:tc>
        <w:tc>
          <w:tcPr>
            <w:tcW w:w="126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43"/>
        </w:trPr>
        <w:tc>
          <w:tcPr>
            <w:tcW w:w="81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30"/>
        </w:trPr>
        <w:tc>
          <w:tcPr>
            <w:tcW w:w="81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13.75% Senior Notes due 2026</w:t>
            </w:r>
          </w:p>
        </w:tc>
        <w:tc>
          <w:tcPr>
            <w:tcW w:w="1260" w:type="dxa"/>
            <w:vAlign w:val="bottom"/>
            <w:shd w:val="clear" w:color="auto" w:fill="CCEEFF"/>
          </w:tcPr>
          <w:p>
            <w:pPr>
              <w:jc w:val="right"/>
              <w:ind w:right="1050"/>
              <w:spacing w:after="0"/>
              <w:rPr>
                <w:sz w:val="20"/>
                <w:szCs w:val="20"/>
                <w:color w:val="auto"/>
              </w:rPr>
            </w:pPr>
            <w:r>
              <w:rPr>
                <w:rFonts w:ascii="Arial" w:cs="Arial" w:eastAsia="Arial" w:hAnsi="Arial"/>
                <w:sz w:val="18"/>
                <w:szCs w:val="18"/>
                <w:color w:val="auto"/>
                <w:w w:val="99"/>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5,950,000</w:t>
            </w:r>
          </w:p>
        </w:tc>
      </w:tr>
      <w:tr>
        <w:trPr>
          <w:trHeight w:val="230"/>
        </w:trPr>
        <w:tc>
          <w:tcPr>
            <w:tcW w:w="81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Warrants</w:t>
            </w:r>
          </w:p>
        </w:tc>
        <w:tc>
          <w:tcPr>
            <w:tcW w:w="1260" w:type="dxa"/>
            <w:vAlign w:val="bottom"/>
          </w:tcPr>
          <w:p>
            <w:pPr>
              <w:spacing w:after="0"/>
              <w:rPr>
                <w:sz w:val="19"/>
                <w:szCs w:val="19"/>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(256,909)</w:t>
            </w:r>
          </w:p>
        </w:tc>
      </w:tr>
      <w:tr>
        <w:trPr>
          <w:trHeight w:val="229"/>
        </w:trPr>
        <w:tc>
          <w:tcPr>
            <w:tcW w:w="81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Issuance costs</w:t>
            </w:r>
          </w:p>
        </w:tc>
        <w:tc>
          <w:tcPr>
            <w:tcW w:w="126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(185,091)</w:t>
            </w:r>
          </w:p>
        </w:tc>
      </w:tr>
      <w:tr>
        <w:trPr>
          <w:trHeight w:val="223"/>
        </w:trPr>
        <w:tc>
          <w:tcPr>
            <w:tcW w:w="81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2024 Notes, net</w:t>
            </w:r>
          </w:p>
        </w:tc>
        <w:tc>
          <w:tcPr>
            <w:tcW w:w="1260" w:type="dxa"/>
            <w:vAlign w:val="bottom"/>
            <w:tcBorders>
              <w:bottom w:val="single" w:sz="8" w:color="auto"/>
            </w:tcBorders>
          </w:tcPr>
          <w:p>
            <w:pPr>
              <w:jc w:val="right"/>
              <w:ind w:right="1050"/>
              <w:spacing w:after="0"/>
              <w:rPr>
                <w:sz w:val="20"/>
                <w:szCs w:val="20"/>
                <w:color w:val="auto"/>
              </w:rPr>
            </w:pPr>
            <w:r>
              <w:rPr>
                <w:rFonts w:ascii="Arial" w:cs="Arial" w:eastAsia="Arial" w:hAnsi="Arial"/>
                <w:sz w:val="18"/>
                <w:szCs w:val="18"/>
                <w:color w:val="auto"/>
                <w:w w:val="99"/>
              </w:rPr>
              <w:t>$</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5,508,000</w:t>
            </w:r>
          </w:p>
        </w:tc>
      </w:tr>
      <w:tr>
        <w:trPr>
          <w:trHeight w:val="20"/>
        </w:trPr>
        <w:tc>
          <w:tcPr>
            <w:tcW w:w="814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08"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The 2024 Notes were redeemable, at the Company’s option, in whole or in part, at any time or in part from time to time, on and after September 12, 2024, upon not less than fifteen (15) and not more than sixty (60) days’ notice, equal to 100% of the principal amount of the 2024 Notes, plus, in each case, accrued and unpaid interest, if any, to the date of redemption subject to the right of holders of record on the relevant record date to receive interest due on the relevant interest payment date).</w:t>
      </w:r>
    </w:p>
    <w:p>
      <w:pPr>
        <w:spacing w:after="0" w:line="181"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The 2024 Exchange Agreement provided for mandatory prepayments of principal. The 2024 Exchange Agreement provided for a first mandatory pro rata partial prepayment of principal on the 2024 Notes in the aggregate amount of $3,000,000 on June 30, 2025, less the principal amount of any optional prepayments of the 2024 Note made prior to June 30, 2025, pursuant to the 2024 Exchange Agreement. The 2024 Exchange Agreement provided for a second mandatory pro rata partial prepayment of principal on the 2024 Notes in the aggregate amount of $3,000,000 on December 30, 2025, less the principal amount of (i) any optional prepayments of the 2024 Notes made from June 30, 2025 to December 29, 2025 pursuant to the 2024 Note Exchange Agreement and (ii) any optional The Company made optional prepayments of $3,000,000 on September 30, 2024, $2,000,000 on November 13, 2024, $4,000,000 on December 30, 2024, $3,500,000 on</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January 28, 2025, and $2,450,000 on February 24, 2025, and accordingly, has satisfied the entire principal balance of the 2024 Notes. Each prepayment of principal also included accrued and unpaid interest thereon. Unamortized debt issue costs of $174,962 related to extinguished debt were expensed at the time the 2024 Notes were extinguished and recorded as loss on extinguishment of debt in the condensed consolidated statements of income and comprehensive income within other operating expenses.</w:t>
      </w:r>
    </w:p>
    <w:p>
      <w:pPr>
        <w:spacing w:after="0" w:line="154"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The 2024 Notes were unsecured obligations of the Company and were not the obligations of or guaranteed by any of the Company’s subsidiaries. The 2024 Notes ranked senior in right of payment to any of the Company’s existing and future indebtedness that is by its terms expressly subordinated or junior in right of payment to the 2024 Notes. The Notes ranked equally in right of payment to all of the Company’s existing and future senior indebtedness, but were effectively subordinated to any secured indebtedness to the extent of the value of the collateral securing such secured indebtedness. In addition, the 2024 Notes were structurally subordinated to the indebtedness and other obligations of the Company’s subsidiaries.</w:t>
      </w:r>
    </w:p>
    <w:p>
      <w:pPr>
        <w:spacing w:after="0" w:line="211"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As of the end of each calendar quarter, commencing with the calendar quarter ending September 30, 2024, the Company was subject to a leverage maintenance test (“Leverage Maintenance Test”), which required that the Total Consolidated Indebtedness (as defined below) of the Company not be greater than 30% of Total Consolidated Capitalization (as defined below). As of December 31, 2024, the ratio as defined under the Leverage Maintenance Test was 7.0%. “Total Consolidated Indebtedness” was the aggregate principal amount (or accreted value in the case of any Indebtedness issued with more than de minimis original issue discount) of all outstanding long-term debt of the Company except for the sale-leaseback transaction described below under “Equipment Financing”, any refinancing or any future sale-leaseback transaction. “Total Consolidated Capitalization” was the amount equal to the sum of</w:t>
      </w:r>
    </w:p>
    <w:p>
      <w:pPr>
        <w:spacing w:after="0" w:line="3" w:lineRule="exact"/>
        <w:rPr>
          <w:sz w:val="20"/>
          <w:szCs w:val="20"/>
          <w:color w:val="auto"/>
        </w:rPr>
      </w:pPr>
    </w:p>
    <w:p>
      <w:pPr>
        <w:ind w:right="20" w:firstLine="8"/>
        <w:spacing w:after="0" w:line="243" w:lineRule="auto"/>
        <w:tabs>
          <w:tab w:leader="none" w:pos="256"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Consolidated Indebtedness outstanding as of such date and (y) the total consolidated shareholders’ equity of the Company, excluding accumulated other comprehensive (loss) income, as recorded on the Company’s consolidated balance sheet.</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Equipment Financing</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October 27, 2022, KICO entered into a sale-leaseback transaction, whereby KICO sold $8,096,824 of fixed assets to a bank. Under GAAP, the sale-leaseback transaction is recorded as equipment financing (“Financing”). The provisions of the Financing require KICO to pay a monthly payment of principal and interest at the rate of 5.86% per annum totaling $126,877 for a term of 60 months, which commenced on October 27, 2022. The terms of the Financing provide buyout options to KICO at the end of the 60 month term, which are as follows:</w:t>
      </w:r>
    </w:p>
    <w:p>
      <w:pPr>
        <w:spacing w:after="0" w:line="180" w:lineRule="exact"/>
        <w:rPr>
          <w:sz w:val="20"/>
          <w:szCs w:val="20"/>
          <w:color w:val="auto"/>
        </w:rPr>
      </w:pPr>
    </w:p>
    <w:p>
      <w:pPr>
        <w:ind w:left="2040" w:hanging="1222"/>
        <w:spacing w:after="0" w:line="282" w:lineRule="auto"/>
        <w:tabs>
          <w:tab w:leader="none" w:pos="203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end of the lease, KICO may purchase the fixed assets for a purchase price of $2,024,206, which is 25% of the original fixed asset cost of $8,096,824; or</w:t>
      </w:r>
    </w:p>
    <w:p>
      <w:pPr>
        <w:spacing w:after="0" w:line="161" w:lineRule="exact"/>
        <w:rPr>
          <w:rFonts w:ascii="Times New Roman" w:cs="Times New Roman" w:eastAsia="Times New Roman" w:hAnsi="Times New Roman"/>
          <w:sz w:val="18"/>
          <w:szCs w:val="18"/>
          <w:color w:val="auto"/>
        </w:rPr>
      </w:pPr>
    </w:p>
    <w:p>
      <w:pPr>
        <w:ind w:left="2020" w:hanging="1202"/>
        <w:spacing w:after="0"/>
        <w:tabs>
          <w:tab w:leader="none" w:pos="2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KICO may renew the lease for 16 months at the same rental rate, which totals $2,030,036.</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provision of the Financing requires KICO to pledge collateral for the lease obligation. As of March 31, 2025 and December 31, 2024, the amount of required collateral was approximately $4,885,000 and $5,308,000, respectively. As of March 31, 2025 and December 31, 2024, the fair value of KICO’s pledged collateral was approximately $4,885,000 and $5,308,000, respectively, in various fixed-maturity securities.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9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Future contractual payment obligations under the Financing as of March 31, 2025 are as follows:</w:t>
            </w: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493"/>
        </w:trPr>
        <w:tc>
          <w:tcPr>
            <w:tcW w:w="840" w:type="dxa"/>
            <w:vAlign w:val="bottom"/>
          </w:tcPr>
          <w:p>
            <w:pPr>
              <w:spacing w:after="0"/>
              <w:rPr>
                <w:sz w:val="24"/>
                <w:szCs w:val="24"/>
                <w:color w:val="auto"/>
              </w:rPr>
            </w:pPr>
          </w:p>
        </w:tc>
        <w:tc>
          <w:tcPr>
            <w:tcW w:w="7960" w:type="dxa"/>
            <w:vAlign w:val="bottom"/>
            <w:tcBorders>
              <w:bottom w:val="single" w:sz="8" w:color="auto"/>
            </w:tcBorders>
          </w:tcPr>
          <w:p>
            <w:pPr>
              <w:ind w:left="2620"/>
              <w:spacing w:after="0"/>
              <w:rPr>
                <w:sz w:val="20"/>
                <w:szCs w:val="20"/>
                <w:color w:val="auto"/>
              </w:rPr>
            </w:pPr>
            <w:r>
              <w:rPr>
                <w:rFonts w:ascii="Times New Roman" w:cs="Times New Roman" w:eastAsia="Times New Roman" w:hAnsi="Times New Roman"/>
                <w:sz w:val="18"/>
                <w:szCs w:val="18"/>
                <w:b w:val="1"/>
                <w:bCs w:val="1"/>
                <w:color w:val="auto"/>
              </w:rPr>
              <w:t>For the Years Ending December 31,</w:t>
            </w: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56"/>
        </w:trPr>
        <w:tc>
          <w:tcPr>
            <w:tcW w:w="840" w:type="dxa"/>
            <w:vAlign w:val="bottom"/>
          </w:tcPr>
          <w:p>
            <w:pPr>
              <w:spacing w:after="0"/>
              <w:rPr>
                <w:sz w:val="22"/>
                <w:szCs w:val="22"/>
                <w:color w:val="auto"/>
              </w:rPr>
            </w:pPr>
          </w:p>
        </w:tc>
        <w:tc>
          <w:tcPr>
            <w:tcW w:w="8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Remainder of 2025</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924,137</w:t>
            </w:r>
          </w:p>
        </w:tc>
      </w:tr>
      <w:tr>
        <w:trPr>
          <w:trHeight w:val="250"/>
        </w:trPr>
        <w:tc>
          <w:tcPr>
            <w:tcW w:w="880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1,296,901</w:t>
            </w:r>
          </w:p>
        </w:tc>
      </w:tr>
      <w:tr>
        <w:trPr>
          <w:trHeight w:val="257"/>
        </w:trPr>
        <w:tc>
          <w:tcPr>
            <w:tcW w:w="840" w:type="dxa"/>
            <w:vAlign w:val="bottom"/>
          </w:tcPr>
          <w:p>
            <w:pPr>
              <w:spacing w:after="0"/>
              <w:rPr>
                <w:sz w:val="22"/>
                <w:szCs w:val="22"/>
                <w:color w:val="auto"/>
              </w:rPr>
            </w:pPr>
          </w:p>
        </w:tc>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1,119,021</w:t>
            </w:r>
          </w:p>
        </w:tc>
      </w:tr>
      <w:tr>
        <w:trPr>
          <w:trHeight w:val="250"/>
        </w:trPr>
        <w:tc>
          <w:tcPr>
            <w:tcW w:w="840" w:type="dxa"/>
            <w:vAlign w:val="bottom"/>
          </w:tcPr>
          <w:p>
            <w:pPr>
              <w:spacing w:after="0"/>
              <w:rPr>
                <w:sz w:val="21"/>
                <w:szCs w:val="21"/>
                <w:color w:val="auto"/>
              </w:rPr>
            </w:pPr>
          </w:p>
        </w:tc>
        <w:tc>
          <w:tcPr>
            <w:tcW w:w="7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3,340,059</w:t>
            </w:r>
          </w:p>
        </w:tc>
      </w:tr>
      <w:tr>
        <w:trPr>
          <w:trHeight w:val="263"/>
        </w:trPr>
        <w:tc>
          <w:tcPr>
            <w:tcW w:w="840" w:type="dxa"/>
            <w:vAlign w:val="bottom"/>
          </w:tcPr>
          <w:p>
            <w:pPr>
              <w:spacing w:after="0"/>
              <w:rPr>
                <w:sz w:val="22"/>
                <w:szCs w:val="22"/>
                <w:color w:val="auto"/>
              </w:rPr>
            </w:pPr>
          </w:p>
        </w:tc>
        <w:tc>
          <w:tcPr>
            <w:tcW w:w="8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 purchase price</w:t>
            </w:r>
          </w:p>
        </w:tc>
        <w:tc>
          <w:tcPr>
            <w:tcW w:w="34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2,024,206</w:t>
            </w:r>
          </w:p>
        </w:tc>
      </w:tr>
      <w:tr>
        <w:trPr>
          <w:trHeight w:val="243"/>
        </w:trPr>
        <w:tc>
          <w:tcPr>
            <w:tcW w:w="840" w:type="dxa"/>
            <w:vAlign w:val="bottom"/>
          </w:tcPr>
          <w:p>
            <w:pPr>
              <w:spacing w:after="0"/>
              <w:rPr>
                <w:sz w:val="21"/>
                <w:szCs w:val="21"/>
                <w:color w:val="auto"/>
              </w:rPr>
            </w:pPr>
          </w:p>
        </w:tc>
        <w:tc>
          <w:tcPr>
            <w:tcW w:w="80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5,364,265</w:t>
            </w:r>
          </w:p>
        </w:tc>
      </w:tr>
      <w:tr>
        <w:trPr>
          <w:trHeight w:val="27"/>
        </w:trPr>
        <w:tc>
          <w:tcPr>
            <w:tcW w:w="840" w:type="dxa"/>
            <w:vAlign w:val="bottom"/>
          </w:tcPr>
          <w:p>
            <w:pPr>
              <w:spacing w:after="0"/>
              <w:rPr>
                <w:sz w:val="2"/>
                <w:szCs w:val="2"/>
                <w:color w:val="auto"/>
              </w:rPr>
            </w:pPr>
          </w:p>
        </w:tc>
        <w:tc>
          <w:tcPr>
            <w:tcW w:w="7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Stockholders’ Equity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Dividends Declared and Paid</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November 11, 2022, the Company’s Board of Directors determined to suspend regular quarterly dividends. Future dividend policy will be subject to the discretion of the Company’s Board of Directors.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Preferred Stock</w:t>
      </w:r>
    </w:p>
    <w:p>
      <w:pPr>
        <w:spacing w:after="0" w:line="21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Board of Directors has the authority to issue shares of Preferred Stock from time to time in a series and to fix, before the issuance of each series, the number of shares in each series and the designation, liquidation preferences, conversion privileges, rights and limitations of each series. There was no preferred stock issued as of March 31, 2025 and December 31, 2024.</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2014 Equity Participation Plan</w:t>
      </w:r>
    </w:p>
    <w:p>
      <w:pPr>
        <w:spacing w:after="0" w:line="2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Effective August 12, 2014, the Company's stockholders approved the 2014 Equity Participation Plan (the “2014 Plan”) pursuant to which a maximum of 700,000 shares of Common Stock of the Company were initially authorized to be issued pursuant to the grant of incentive stock options, non-statutory stock options, stock appreciation rights, restricted stock and stock bonuses. Incentive stock options granted under the 2014 Plan expire no later than ten years from the date of grant (except no later than five years for a grant to a 10% stockholder). Non-statutory stock options granted under the 2014 Plan expire no later than ten years from the date of grant. The Board of Directors or the Compensation Committee determined the vesting provisions for stock awards granted under the 2014 Plan, subject to the provisions of the 2014 Plan. On August 5, 2020, the Company’s stockholders approved amendments to the 2014 Plan, including an increase in the maximum number of shares of Common Stock of the Company that were authorized to be issued pursuant to the 2014 Plan to 1,400,000. On August 9, 2023, the Company’s stockholders approved an amendment to the 2014 Plan to increase the maximum number of shares of Common Stock of the Company that were authorized to be issued pursuant to the 2014 Plan to 1,900,000. The 2014 Plan terminated on August 12, 2024 and no further awards may be granted under the 2014 Plan.</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2024 Equity Participation Plan</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Effective August 7, 2024, the Company's stockholders approved the 2024 Equity Participation Plan (the “2024 Plan”). pursuant to which a maximum of 1,000,000 shares of Common Stock of the Company are authorized to be issued pursuant to the grant of incentive stock options, non-statutory stock options, stock appreciation rights, and stock bonus awards. Incentive stock options granted under the 2024 Plan expire no later than ten years from the date of grant (except no later than five years for a grant to a 10% stockholder). Non-statutory stock options granted under the 2024 Plan expire no later than ten years from the date of grant. The Board of Directors or the Compensation Committee determines the vesting provisions for stock awards granted under the 2024 Plan, subject to the provisions of the 2024 Plan. The 2024 Plan terminates on May 10, 2034 and no further awards may be granted under the 2024 Plan after such date.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2025, there were 129,689 shares granted under the 2024 Plan.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Stock Options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results of operations for the three months ended March 31, 2025 and 2024 include stock-based compensation expense for stock options totaling approximately $22,000 and $53,000, respectively, which is included in other operating expenses on the accompanying condensed consolidated statements of income and comprehensive income. Stock-based compensation expense related to stock options for the three months ended March 31, 2025 is net of estimated forfeitures of approximately 19%.</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No options were granted during the three months ended March 31, 2025. The weighted average estimated fair value of stock options granted during the three months ended March 31, 2024 was $1.24 per share. The fair value of stock options at the grant date was estimated using the Black-Scholes option-pricing model. The Black-Scholes option - pricing model was developed for use in estimating the fair value of traded options, which have no vesting restrictions and are fully transferable. In addition, option valuation models require the input of highly subjective assumptions including the expected stock price volatility. Because the Company’s stock options have characteristics significantly different from those of traded options, and because changes in the subjective input assumptions can materially affect the fair value estimate, in management's opinion, the existing models do not necessarily provide a reliable single measure of the fair value of the Company’s stock options.</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weighted average assumptions were used for grants during the following periods: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60" w:type="dxa"/>
            <w:vAlign w:val="bottom"/>
            <w:gridSpan w:val="6"/>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45"/>
        </w:trPr>
        <w:tc>
          <w:tcPr>
            <w:tcW w:w="4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3060" w:type="dxa"/>
            <w:vAlign w:val="bottom"/>
            <w:tcBorders>
              <w:bottom w:val="single" w:sz="8" w:color="auto"/>
            </w:tcBorders>
            <w:gridSpan w:val="6"/>
          </w:tcPr>
          <w:p>
            <w:pPr>
              <w:jc w:val="right"/>
              <w:ind w:right="1110"/>
              <w:spacing w:after="0"/>
              <w:rPr>
                <w:sz w:val="20"/>
                <w:szCs w:val="20"/>
                <w:color w:val="auto"/>
              </w:rPr>
            </w:pPr>
            <w:r>
              <w:rPr>
                <w:rFonts w:ascii="Times New Roman" w:cs="Times New Roman" w:eastAsia="Times New Roman" w:hAnsi="Times New Roman"/>
                <w:sz w:val="18"/>
                <w:szCs w:val="18"/>
                <w:b w:val="1"/>
                <w:bCs w:val="1"/>
                <w:color w:val="auto"/>
              </w:rPr>
              <w:t>March 31,</w:t>
            </w:r>
          </w:p>
        </w:tc>
      </w:tr>
      <w:tr>
        <w:trPr>
          <w:trHeight w:val="250"/>
        </w:trPr>
        <w:tc>
          <w:tcPr>
            <w:tcW w:w="4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460" w:type="dxa"/>
            <w:vAlign w:val="bottom"/>
            <w:tcBorders>
              <w:bottom w:val="single" w:sz="8" w:color="auto"/>
            </w:tcBorders>
            <w:gridSpan w:val="3"/>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57"/>
        </w:trPr>
        <w:tc>
          <w:tcPr>
            <w:tcW w:w="4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40" w:type="dxa"/>
            <w:vAlign w:val="bottom"/>
          </w:tcPr>
          <w:p>
            <w:pPr>
              <w:spacing w:after="0"/>
              <w:rPr>
                <w:sz w:val="22"/>
                <w:szCs w:val="22"/>
                <w:color w:val="auto"/>
              </w:rPr>
            </w:pPr>
          </w:p>
        </w:tc>
      </w:tr>
      <w:tr>
        <w:trPr>
          <w:trHeight w:val="257"/>
        </w:trPr>
        <w:tc>
          <w:tcPr>
            <w:tcW w:w="5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 Yield</w:t>
            </w:r>
          </w:p>
        </w:tc>
        <w:tc>
          <w:tcPr>
            <w:tcW w:w="14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580" w:type="dxa"/>
            <w:vAlign w:val="bottom"/>
            <w:gridSpan w:val="4"/>
            <w:shd w:val="clear" w:color="auto" w:fill="CCEEFF"/>
          </w:tcPr>
          <w:p>
            <w:pPr>
              <w:ind w:left="1100"/>
              <w:spacing w:after="0"/>
              <w:rPr>
                <w:sz w:val="20"/>
                <w:szCs w:val="20"/>
                <w:color w:val="auto"/>
              </w:rPr>
            </w:pPr>
            <w:r>
              <w:rPr>
                <w:rFonts w:ascii="Times New Roman" w:cs="Times New Roman" w:eastAsia="Times New Roman" w:hAnsi="Times New Roman"/>
                <w:sz w:val="18"/>
                <w:szCs w:val="18"/>
                <w:color w:val="auto"/>
              </w:rPr>
              <w:t>n/a</w:t>
            </w: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0.00 %</w:t>
            </w:r>
          </w:p>
        </w:tc>
      </w:tr>
      <w:tr>
        <w:trPr>
          <w:trHeight w:val="250"/>
        </w:trPr>
        <w:tc>
          <w:tcPr>
            <w:tcW w:w="5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Volatility</w:t>
            </w:r>
          </w:p>
        </w:tc>
        <w:tc>
          <w:tcPr>
            <w:tcW w:w="14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80" w:type="dxa"/>
            <w:vAlign w:val="bottom"/>
            <w:gridSpan w:val="4"/>
          </w:tcPr>
          <w:p>
            <w:pPr>
              <w:ind w:left="1100"/>
              <w:spacing w:after="0"/>
              <w:rPr>
                <w:sz w:val="20"/>
                <w:szCs w:val="20"/>
                <w:color w:val="auto"/>
              </w:rPr>
            </w:pPr>
            <w:r>
              <w:rPr>
                <w:rFonts w:ascii="Times New Roman" w:cs="Times New Roman" w:eastAsia="Times New Roman" w:hAnsi="Times New Roman"/>
                <w:sz w:val="18"/>
                <w:szCs w:val="18"/>
                <w:color w:val="auto"/>
              </w:rPr>
              <w:t>n/a</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74.72 %</w:t>
            </w:r>
          </w:p>
        </w:tc>
      </w:tr>
      <w:tr>
        <w:trPr>
          <w:trHeight w:val="263"/>
        </w:trPr>
        <w:tc>
          <w:tcPr>
            <w:tcW w:w="5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14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580" w:type="dxa"/>
            <w:vAlign w:val="bottom"/>
            <w:gridSpan w:val="4"/>
            <w:shd w:val="clear" w:color="auto" w:fill="CCEEFF"/>
          </w:tcPr>
          <w:p>
            <w:pPr>
              <w:ind w:left="1100"/>
              <w:spacing w:after="0"/>
              <w:rPr>
                <w:sz w:val="20"/>
                <w:szCs w:val="20"/>
                <w:color w:val="auto"/>
              </w:rPr>
            </w:pPr>
            <w:r>
              <w:rPr>
                <w:rFonts w:ascii="Times New Roman" w:cs="Times New Roman" w:eastAsia="Times New Roman" w:hAnsi="Times New Roman"/>
                <w:sz w:val="18"/>
                <w:szCs w:val="18"/>
                <w:color w:val="auto"/>
              </w:rPr>
              <w:t>n/a</w:t>
            </w: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4.17 %</w:t>
            </w:r>
          </w:p>
        </w:tc>
      </w:tr>
      <w:tr>
        <w:trPr>
          <w:trHeight w:val="243"/>
        </w:trPr>
        <w:tc>
          <w:tcPr>
            <w:tcW w:w="5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Expected Life</w:t>
            </w:r>
          </w:p>
        </w:tc>
        <w:tc>
          <w:tcPr>
            <w:tcW w:w="14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80" w:type="dxa"/>
            <w:vAlign w:val="bottom"/>
            <w:gridSpan w:val="4"/>
          </w:tcPr>
          <w:p>
            <w:pPr>
              <w:ind w:left="1100"/>
              <w:spacing w:after="0"/>
              <w:rPr>
                <w:sz w:val="20"/>
                <w:szCs w:val="20"/>
                <w:color w:val="auto"/>
              </w:rPr>
            </w:pPr>
            <w:r>
              <w:rPr>
                <w:rFonts w:ascii="Times New Roman" w:cs="Times New Roman" w:eastAsia="Times New Roman" w:hAnsi="Times New Roman"/>
                <w:sz w:val="18"/>
                <w:szCs w:val="18"/>
                <w:color w:val="auto"/>
              </w:rPr>
              <w:t>n/a</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 years</w:t>
            </w:r>
          </w:p>
        </w:tc>
      </w:tr>
      <w:tr>
        <w:trPr>
          <w:trHeight w:val="499"/>
        </w:trPr>
        <w:tc>
          <w:tcPr>
            <w:tcW w:w="976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A summary of stock option activity under the Company’s 2014 Plan for the three months ended March 31, 2025 is as follows:</w:t>
            </w: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450"/>
        </w:trPr>
        <w:tc>
          <w:tcPr>
            <w:tcW w:w="4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6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w w:val="98"/>
              </w:rPr>
              <w:t>Weighted Average</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gridSpan w:val="4"/>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8"/>
              </w:rPr>
              <w:t>Weighted Average</w:t>
            </w: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03"/>
        </w:trPr>
        <w:tc>
          <w:tcPr>
            <w:tcW w:w="4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jc w:val="right"/>
              <w:ind w:right="310"/>
              <w:spacing w:after="0" w:line="202" w:lineRule="exact"/>
              <w:rPr>
                <w:sz w:val="20"/>
                <w:szCs w:val="20"/>
                <w:color w:val="auto"/>
              </w:rPr>
            </w:pPr>
            <w:r>
              <w:rPr>
                <w:rFonts w:ascii="Times New Roman" w:cs="Times New Roman" w:eastAsia="Times New Roman" w:hAnsi="Times New Roman"/>
                <w:sz w:val="18"/>
                <w:szCs w:val="18"/>
                <w:b w:val="1"/>
                <w:bCs w:val="1"/>
                <w:color w:val="auto"/>
              </w:rPr>
              <w:t>Exercise</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gridSpan w:val="4"/>
          </w:tcPr>
          <w:p>
            <w:pPr>
              <w:jc w:val="center"/>
              <w:ind w:right="100"/>
              <w:spacing w:after="0" w:line="202" w:lineRule="exact"/>
              <w:rPr>
                <w:sz w:val="20"/>
                <w:szCs w:val="20"/>
                <w:color w:val="auto"/>
              </w:rPr>
            </w:pPr>
            <w:r>
              <w:rPr>
                <w:rFonts w:ascii="Times New Roman" w:cs="Times New Roman" w:eastAsia="Times New Roman" w:hAnsi="Times New Roman"/>
                <w:sz w:val="18"/>
                <w:szCs w:val="18"/>
                <w:b w:val="1"/>
                <w:bCs w:val="1"/>
                <w:color w:val="auto"/>
                <w:w w:val="99"/>
              </w:rPr>
              <w:t>Remaining</w:t>
            </w:r>
          </w:p>
        </w:tc>
        <w:tc>
          <w:tcPr>
            <w:tcW w:w="140" w:type="dxa"/>
            <w:vAlign w:val="bottom"/>
          </w:tcPr>
          <w:p>
            <w:pPr>
              <w:spacing w:after="0"/>
              <w:rPr>
                <w:sz w:val="17"/>
                <w:szCs w:val="17"/>
                <w:color w:val="auto"/>
              </w:rPr>
            </w:pPr>
          </w:p>
        </w:tc>
        <w:tc>
          <w:tcPr>
            <w:tcW w:w="1340" w:type="dxa"/>
            <w:vAlign w:val="bottom"/>
          </w:tcPr>
          <w:p>
            <w:pPr>
              <w:jc w:val="right"/>
              <w:ind w:right="250"/>
              <w:spacing w:after="0" w:line="202" w:lineRule="exact"/>
              <w:rPr>
                <w:sz w:val="20"/>
                <w:szCs w:val="20"/>
                <w:color w:val="auto"/>
              </w:rPr>
            </w:pPr>
            <w:r>
              <w:rPr>
                <w:rFonts w:ascii="Times New Roman" w:cs="Times New Roman" w:eastAsia="Times New Roman" w:hAnsi="Times New Roman"/>
                <w:sz w:val="18"/>
                <w:szCs w:val="18"/>
                <w:b w:val="1"/>
                <w:bCs w:val="1"/>
                <w:color w:val="auto"/>
              </w:rPr>
              <w:t>Aggregate</w:t>
            </w:r>
          </w:p>
        </w:tc>
      </w:tr>
      <w:tr>
        <w:trPr>
          <w:trHeight w:val="259"/>
        </w:trPr>
        <w:tc>
          <w:tcPr>
            <w:tcW w:w="5040" w:type="dxa"/>
            <w:vAlign w:val="bottom"/>
            <w:gridSpan w:val="2"/>
          </w:tcPr>
          <w:p>
            <w:pPr>
              <w:ind w:left="1940"/>
              <w:spacing w:after="0"/>
              <w:rPr>
                <w:sz w:val="20"/>
                <w:szCs w:val="20"/>
                <w:color w:val="auto"/>
              </w:rPr>
            </w:pPr>
            <w:r>
              <w:rPr>
                <w:rFonts w:ascii="Times New Roman" w:cs="Times New Roman" w:eastAsia="Times New Roman" w:hAnsi="Times New Roman"/>
                <w:sz w:val="18"/>
                <w:szCs w:val="18"/>
                <w:b w:val="1"/>
                <w:bCs w:val="1"/>
                <w:color w:val="auto"/>
              </w:rPr>
              <w:t>Stock Options</w:t>
            </w:r>
          </w:p>
        </w:tc>
        <w:tc>
          <w:tcPr>
            <w:tcW w:w="156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Number of Shares</w:t>
            </w:r>
          </w:p>
        </w:tc>
        <w:tc>
          <w:tcPr>
            <w:tcW w:w="140" w:type="dxa"/>
            <w:vAlign w:val="bottom"/>
          </w:tcPr>
          <w:p>
            <w:pPr>
              <w:spacing w:after="0"/>
              <w:rPr>
                <w:sz w:val="22"/>
                <w:szCs w:val="22"/>
                <w:color w:val="auto"/>
              </w:rPr>
            </w:pP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8"/>
              </w:rPr>
              <w:t>Price per Share</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8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Contractual Term</w:t>
            </w:r>
          </w:p>
        </w:tc>
        <w:tc>
          <w:tcPr>
            <w:tcW w:w="140" w:type="dxa"/>
            <w:vAlign w:val="bottom"/>
          </w:tcPr>
          <w:p>
            <w:pPr>
              <w:spacing w:after="0"/>
              <w:rPr>
                <w:sz w:val="22"/>
                <w:szCs w:val="22"/>
                <w:color w:val="auto"/>
              </w:rPr>
            </w:pPr>
          </w:p>
        </w:tc>
        <w:tc>
          <w:tcPr>
            <w:tcW w:w="134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98"/>
              </w:rPr>
              <w:t>Intrinsic Value</w:t>
            </w:r>
          </w:p>
        </w:tc>
      </w:tr>
      <w:tr>
        <w:trPr>
          <w:trHeight w:val="257"/>
        </w:trPr>
        <w:tc>
          <w:tcPr>
            <w:tcW w:w="49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80" w:type="dxa"/>
            <w:vAlign w:val="bottom"/>
            <w:tcBorders>
              <w:top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32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34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340" w:type="dxa"/>
            <w:vAlign w:val="bottom"/>
            <w:tcBorders>
              <w:top w:val="single" w:sz="8" w:color="auto"/>
            </w:tcBorders>
          </w:tcPr>
          <w:p>
            <w:pPr>
              <w:spacing w:after="0"/>
              <w:rPr>
                <w:sz w:val="22"/>
                <w:szCs w:val="22"/>
                <w:color w:val="auto"/>
              </w:rPr>
            </w:pPr>
          </w:p>
        </w:tc>
      </w:tr>
      <w:tr>
        <w:trPr>
          <w:trHeight w:val="256"/>
        </w:trPr>
        <w:tc>
          <w:tcPr>
            <w:tcW w:w="5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January 1, 2025</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281,913</w:t>
            </w: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1600" w:type="dxa"/>
            <w:vAlign w:val="bottom"/>
            <w:gridSpan w:val="5"/>
            <w:shd w:val="clear" w:color="auto" w:fill="CCEEFF"/>
          </w:tcPr>
          <w:p>
            <w:pPr>
              <w:jc w:val="center"/>
              <w:ind w:left="1150"/>
              <w:spacing w:after="0"/>
              <w:rPr>
                <w:sz w:val="20"/>
                <w:szCs w:val="20"/>
                <w:color w:val="auto"/>
              </w:rPr>
            </w:pPr>
            <w:r>
              <w:rPr>
                <w:rFonts w:ascii="Times New Roman" w:cs="Times New Roman" w:eastAsia="Times New Roman" w:hAnsi="Times New Roman"/>
                <w:sz w:val="18"/>
                <w:szCs w:val="18"/>
                <w:color w:val="auto"/>
              </w:rPr>
              <w:t>3.74</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3,517,111</w:t>
            </w:r>
          </w:p>
        </w:tc>
      </w:tr>
      <w:tr>
        <w:trPr>
          <w:trHeight w:val="257"/>
        </w:trPr>
        <w:tc>
          <w:tcPr>
            <w:tcW w:w="4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80" w:type="dxa"/>
            <w:vAlign w:val="bottom"/>
            <w:gridSpan w:val="3"/>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40" w:type="dxa"/>
            <w:vAlign w:val="bottom"/>
          </w:tcPr>
          <w:p>
            <w:pPr>
              <w:spacing w:after="0"/>
              <w:rPr>
                <w:sz w:val="22"/>
                <w:szCs w:val="22"/>
                <w:color w:val="auto"/>
              </w:rPr>
            </w:pPr>
          </w:p>
        </w:tc>
      </w:tr>
      <w:tr>
        <w:trPr>
          <w:trHeight w:val="257"/>
        </w:trPr>
        <w:tc>
          <w:tcPr>
            <w:tcW w:w="5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580" w:type="dxa"/>
            <w:vAlign w:val="bottom"/>
            <w:gridSpan w:val="4"/>
            <w:shd w:val="clear" w:color="auto" w:fill="CCEEFF"/>
          </w:tcPr>
          <w:p>
            <w:pPr>
              <w:jc w:val="center"/>
              <w:ind w:left="950"/>
              <w:spacing w:after="0"/>
              <w:rPr>
                <w:sz w:val="20"/>
                <w:szCs w:val="20"/>
                <w:color w:val="auto"/>
              </w:rPr>
            </w:pPr>
            <w:r>
              <w:rPr>
                <w:rFonts w:ascii="Times New Roman" w:cs="Times New Roman" w:eastAsia="Times New Roman" w:hAnsi="Times New Roman"/>
                <w:sz w:val="18"/>
                <w:szCs w:val="18"/>
                <w:color w:val="auto"/>
                <w:w w:val="99"/>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5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Exercised</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80" w:type="dxa"/>
            <w:vAlign w:val="bottom"/>
          </w:tcPr>
          <w:p>
            <w:pPr>
              <w:spacing w:after="0"/>
              <w:rPr>
                <w:sz w:val="21"/>
                <w:szCs w:val="21"/>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80" w:type="dxa"/>
            <w:vAlign w:val="bottom"/>
            <w:gridSpan w:val="4"/>
          </w:tcPr>
          <w:p>
            <w:pPr>
              <w:jc w:val="center"/>
              <w:ind w:left="950"/>
              <w:spacing w:after="0"/>
              <w:rPr>
                <w:sz w:val="20"/>
                <w:szCs w:val="20"/>
                <w:color w:val="auto"/>
              </w:rPr>
            </w:pPr>
            <w:r>
              <w:rPr>
                <w:rFonts w:ascii="Times New Roman" w:cs="Times New Roman" w:eastAsia="Times New Roman" w:hAnsi="Times New Roman"/>
                <w:sz w:val="18"/>
                <w:szCs w:val="18"/>
                <w:color w:val="auto"/>
                <w:w w:val="99"/>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641,178</w:t>
            </w:r>
          </w:p>
        </w:tc>
      </w:tr>
      <w:tr>
        <w:trPr>
          <w:trHeight w:val="257"/>
        </w:trPr>
        <w:tc>
          <w:tcPr>
            <w:tcW w:w="5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Expired/Forfeited</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(3,333)</w:t>
            </w: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1600" w:type="dxa"/>
            <w:vAlign w:val="bottom"/>
            <w:gridSpan w:val="5"/>
            <w:shd w:val="clear" w:color="auto" w:fill="CCEEFF"/>
          </w:tcPr>
          <w:p>
            <w:pPr>
              <w:jc w:val="center"/>
              <w:ind w:left="1150"/>
              <w:spacing w:after="0"/>
              <w:rPr>
                <w:sz w:val="20"/>
                <w:szCs w:val="20"/>
                <w:color w:val="auto"/>
              </w:rPr>
            </w:pPr>
            <w:r>
              <w:rPr>
                <w:rFonts w:ascii="Times New Roman" w:cs="Times New Roman" w:eastAsia="Times New Roman" w:hAnsi="Times New Roman"/>
                <w:sz w:val="18"/>
                <w:szCs w:val="18"/>
                <w:color w:val="auto"/>
              </w:rPr>
              <w:t>3.88</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53,761</w:t>
            </w:r>
          </w:p>
        </w:tc>
      </w:tr>
      <w:tr>
        <w:trPr>
          <w:trHeight w:val="243"/>
        </w:trPr>
        <w:tc>
          <w:tcPr>
            <w:tcW w:w="4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70"/>
        </w:trPr>
        <w:tc>
          <w:tcPr>
            <w:tcW w:w="5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March 31, 2025</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219,994</w:t>
            </w:r>
          </w:p>
        </w:tc>
        <w:tc>
          <w:tcPr>
            <w:tcW w:w="80" w:type="dxa"/>
            <w:vAlign w:val="bottom"/>
            <w:shd w:val="clear" w:color="auto" w:fill="CCEEFF"/>
          </w:tcPr>
          <w:p>
            <w:pPr>
              <w:spacing w:after="0"/>
              <w:rPr>
                <w:sz w:val="23"/>
                <w:szCs w:val="23"/>
                <w:color w:val="auto"/>
              </w:rPr>
            </w:pP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1600" w:type="dxa"/>
            <w:vAlign w:val="bottom"/>
            <w:gridSpan w:val="5"/>
            <w:shd w:val="clear" w:color="auto" w:fill="CCEEFF"/>
          </w:tcPr>
          <w:p>
            <w:pPr>
              <w:jc w:val="center"/>
              <w:ind w:left="1150"/>
              <w:spacing w:after="0"/>
              <w:rPr>
                <w:sz w:val="20"/>
                <w:szCs w:val="20"/>
                <w:color w:val="auto"/>
              </w:rPr>
            </w:pPr>
            <w:r>
              <w:rPr>
                <w:rFonts w:ascii="Times New Roman" w:cs="Times New Roman" w:eastAsia="Times New Roman" w:hAnsi="Times New Roman"/>
                <w:sz w:val="18"/>
                <w:szCs w:val="18"/>
                <w:color w:val="auto"/>
              </w:rPr>
              <w:t>3.75</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3,028,599</w:t>
            </w:r>
          </w:p>
        </w:tc>
      </w:tr>
      <w:tr>
        <w:trPr>
          <w:trHeight w:val="20"/>
        </w:trPr>
        <w:tc>
          <w:tcPr>
            <w:tcW w:w="4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gridSpan w:val="3"/>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r>
        <w:trPr>
          <w:trHeight w:val="210"/>
        </w:trPr>
        <w:tc>
          <w:tcPr>
            <w:tcW w:w="4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70"/>
        </w:trPr>
        <w:tc>
          <w:tcPr>
            <w:tcW w:w="5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 and Exercisable at March 31, 2025</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84,609</w:t>
            </w:r>
          </w:p>
        </w:tc>
        <w:tc>
          <w:tcPr>
            <w:tcW w:w="80" w:type="dxa"/>
            <w:vAlign w:val="bottom"/>
            <w:shd w:val="clear" w:color="auto" w:fill="CCEEFF"/>
          </w:tcPr>
          <w:p>
            <w:pPr>
              <w:spacing w:after="0"/>
              <w:rPr>
                <w:sz w:val="23"/>
                <w:szCs w:val="23"/>
                <w:color w:val="auto"/>
              </w:rPr>
            </w:pP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1600" w:type="dxa"/>
            <w:vAlign w:val="bottom"/>
            <w:gridSpan w:val="5"/>
            <w:shd w:val="clear" w:color="auto" w:fill="CCEEFF"/>
          </w:tcPr>
          <w:p>
            <w:pPr>
              <w:jc w:val="center"/>
              <w:ind w:left="1150"/>
              <w:spacing w:after="0"/>
              <w:rPr>
                <w:sz w:val="20"/>
                <w:szCs w:val="20"/>
                <w:color w:val="auto"/>
              </w:rPr>
            </w:pPr>
            <w:r>
              <w:rPr>
                <w:rFonts w:ascii="Times New Roman" w:cs="Times New Roman" w:eastAsia="Times New Roman" w:hAnsi="Times New Roman"/>
                <w:sz w:val="18"/>
                <w:szCs w:val="18"/>
                <w:color w:val="auto"/>
              </w:rPr>
              <w:t>3.77</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1,164,790</w:t>
            </w:r>
          </w:p>
        </w:tc>
      </w:tr>
      <w:tr>
        <w:trPr>
          <w:trHeight w:val="20"/>
        </w:trPr>
        <w:tc>
          <w:tcPr>
            <w:tcW w:w="4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aggregate intrinsic value of options outstanding and options exercisable at March 31, 2025 is calculated as the difference between the exercise price of the underlying options and the market price of the Company’s Common Stock for the options that had exercise prices that were lower than the $16.02 closing price of the Company’s Common Stock on March 31, 2025. The total intrinsic value of options when forfeited are determined as of the date of forfeiture. The total intrinsic value of options when expired are determined as of the date of expiration.</w:t>
      </w:r>
    </w:p>
    <w:p>
      <w:pPr>
        <w:spacing w:after="0" w:line="166"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Participants in the 2014 Plan and the 2024 Plan may exercise their outstanding vested options, in whole or in part, by having the Company reduce the number of shares otherwise issuable by a number of shares having a fair market value equal to the exercise price of the option being exercised ("Net Exercise"), or by exchanging a number of shares owned for a period of greater than one year having a fair market value equal to the exercise price of the option being exercised ("Share Exchange").</w:t>
      </w:r>
    </w:p>
    <w:p>
      <w:pPr>
        <w:spacing w:after="0" w:line="18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Company received $56,149 from the exercise of 25,005 options during the three months ended March 31, 2025. The remaining options exercised during the three months ended March 31, 2025 were Net Exercises and Share Exchanges, resulting in the issuance of 19,924 shares of Common Stock. No options were exercised during three months ended March 31, 2024.</w:t>
      </w:r>
    </w:p>
    <w:p>
      <w:pPr>
        <w:spacing w:after="0" w:line="19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March 31, 2025, the estimated fair value of unamortized compensation cost related to 135,385 unvested stock option awards was approximately $28,000. Unamortized compensation cost as of March 31, 2025 is expected to be recognized over a remaining weighted-average vesting period of 1.77 years.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Restricted Stock Awards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restricted Common Stock activity under the 2014 Plan and the 2024 Plan for three months ended March 31, 2025 is as follows: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Weighted Average</w:t>
            </w: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203"/>
        </w:trPr>
        <w:tc>
          <w:tcPr>
            <w:tcW w:w="6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gridSpan w:val="2"/>
          </w:tcPr>
          <w:p>
            <w:pPr>
              <w:jc w:val="center"/>
              <w:ind w:right="240"/>
              <w:spacing w:after="0" w:line="202" w:lineRule="exact"/>
              <w:rPr>
                <w:sz w:val="20"/>
                <w:szCs w:val="20"/>
                <w:color w:val="auto"/>
              </w:rPr>
            </w:pPr>
            <w:r>
              <w:rPr>
                <w:rFonts w:ascii="Times New Roman" w:cs="Times New Roman" w:eastAsia="Times New Roman" w:hAnsi="Times New Roman"/>
                <w:sz w:val="18"/>
                <w:szCs w:val="18"/>
                <w:b w:val="1"/>
                <w:bCs w:val="1"/>
                <w:color w:val="auto"/>
              </w:rPr>
              <w:t>Grant Date</w:t>
            </w: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203"/>
        </w:trPr>
        <w:tc>
          <w:tcPr>
            <w:tcW w:w="6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gridSpan w:val="2"/>
          </w:tcPr>
          <w:p>
            <w:pPr>
              <w:jc w:val="center"/>
              <w:ind w:right="240"/>
              <w:spacing w:after="0" w:line="202" w:lineRule="exact"/>
              <w:rPr>
                <w:sz w:val="20"/>
                <w:szCs w:val="20"/>
                <w:color w:val="auto"/>
              </w:rPr>
            </w:pPr>
            <w:r>
              <w:rPr>
                <w:rFonts w:ascii="Times New Roman" w:cs="Times New Roman" w:eastAsia="Times New Roman" w:hAnsi="Times New Roman"/>
                <w:sz w:val="18"/>
                <w:szCs w:val="18"/>
                <w:b w:val="1"/>
                <w:bCs w:val="1"/>
                <w:color w:val="auto"/>
                <w:w w:val="99"/>
              </w:rPr>
              <w:t>Fair Value per</w:t>
            </w:r>
          </w:p>
        </w:tc>
        <w:tc>
          <w:tcPr>
            <w:tcW w:w="140" w:type="dxa"/>
            <w:vAlign w:val="bottom"/>
          </w:tcPr>
          <w:p>
            <w:pPr>
              <w:spacing w:after="0"/>
              <w:rPr>
                <w:sz w:val="17"/>
                <w:szCs w:val="17"/>
                <w:color w:val="auto"/>
              </w:rPr>
            </w:pPr>
          </w:p>
        </w:tc>
        <w:tc>
          <w:tcPr>
            <w:tcW w:w="1340" w:type="dxa"/>
            <w:vAlign w:val="bottom"/>
          </w:tcPr>
          <w:p>
            <w:pPr>
              <w:jc w:val="right"/>
              <w:ind w:right="70"/>
              <w:spacing w:after="0" w:line="202" w:lineRule="exact"/>
              <w:rPr>
                <w:sz w:val="20"/>
                <w:szCs w:val="20"/>
                <w:color w:val="auto"/>
              </w:rPr>
            </w:pPr>
            <w:r>
              <w:rPr>
                <w:rFonts w:ascii="Times New Roman" w:cs="Times New Roman" w:eastAsia="Times New Roman" w:hAnsi="Times New Roman"/>
                <w:sz w:val="18"/>
                <w:szCs w:val="18"/>
                <w:b w:val="1"/>
                <w:bCs w:val="1"/>
                <w:color w:val="auto"/>
                <w:w w:val="99"/>
              </w:rPr>
              <w:t>Aggregate Fair</w:t>
            </w:r>
          </w:p>
        </w:tc>
      </w:tr>
      <w:tr>
        <w:trPr>
          <w:trHeight w:val="259"/>
        </w:trPr>
        <w:tc>
          <w:tcPr>
            <w:tcW w:w="6600" w:type="dxa"/>
            <w:vAlign w:val="bottom"/>
            <w:gridSpan w:val="2"/>
          </w:tcPr>
          <w:p>
            <w:pPr>
              <w:ind w:left="2300"/>
              <w:spacing w:after="0"/>
              <w:rPr>
                <w:sz w:val="20"/>
                <w:szCs w:val="20"/>
                <w:color w:val="auto"/>
              </w:rPr>
            </w:pPr>
            <w:r>
              <w:rPr>
                <w:rFonts w:ascii="Times New Roman" w:cs="Times New Roman" w:eastAsia="Times New Roman" w:hAnsi="Times New Roman"/>
                <w:sz w:val="18"/>
                <w:szCs w:val="18"/>
                <w:b w:val="1"/>
                <w:bCs w:val="1"/>
                <w:color w:val="auto"/>
              </w:rPr>
              <w:t>Restricted Stock Awards</w:t>
            </w:r>
          </w:p>
        </w:tc>
        <w:tc>
          <w:tcPr>
            <w:tcW w:w="1580" w:type="dxa"/>
            <w:vAlign w:val="bottom"/>
            <w:gridSpan w:val="2"/>
          </w:tcPr>
          <w:p>
            <w:pPr>
              <w:ind w:left="48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40" w:type="dxa"/>
            <w:vAlign w:val="bottom"/>
          </w:tcPr>
          <w:p>
            <w:pPr>
              <w:spacing w:after="0"/>
              <w:rPr>
                <w:sz w:val="22"/>
                <w:szCs w:val="22"/>
                <w:color w:val="auto"/>
              </w:rPr>
            </w:pPr>
          </w:p>
        </w:tc>
        <w:tc>
          <w:tcPr>
            <w:tcW w:w="14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Share</w:t>
            </w:r>
          </w:p>
        </w:tc>
        <w:tc>
          <w:tcPr>
            <w:tcW w:w="140" w:type="dxa"/>
            <w:vAlign w:val="bottom"/>
          </w:tcPr>
          <w:p>
            <w:pPr>
              <w:spacing w:after="0"/>
              <w:rPr>
                <w:sz w:val="22"/>
                <w:szCs w:val="22"/>
                <w:color w:val="auto"/>
              </w:rPr>
            </w:pPr>
          </w:p>
        </w:tc>
        <w:tc>
          <w:tcPr>
            <w:tcW w:w="134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Value</w:t>
            </w:r>
          </w:p>
        </w:tc>
      </w:tr>
      <w:tr>
        <w:trPr>
          <w:trHeight w:val="256"/>
        </w:trPr>
        <w:tc>
          <w:tcPr>
            <w:tcW w:w="65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3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340" w:type="dxa"/>
            <w:vAlign w:val="bottom"/>
            <w:tcBorders>
              <w:top w:val="single" w:sz="8" w:color="auto"/>
            </w:tcBorders>
          </w:tcPr>
          <w:p>
            <w:pPr>
              <w:spacing w:after="0"/>
              <w:rPr>
                <w:sz w:val="22"/>
                <w:szCs w:val="22"/>
                <w:color w:val="auto"/>
              </w:rPr>
            </w:pPr>
          </w:p>
        </w:tc>
      </w:tr>
      <w:tr>
        <w:trPr>
          <w:trHeight w:val="257"/>
        </w:trPr>
        <w:tc>
          <w:tcPr>
            <w:tcW w:w="6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January 1, 2025</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267,586</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1,402,151</w:t>
            </w:r>
          </w:p>
        </w:tc>
      </w:tr>
      <w:tr>
        <w:trPr>
          <w:trHeight w:val="257"/>
        </w:trPr>
        <w:tc>
          <w:tcPr>
            <w:tcW w:w="6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40" w:type="dxa"/>
            <w:vAlign w:val="bottom"/>
          </w:tcPr>
          <w:p>
            <w:pPr>
              <w:spacing w:after="0"/>
              <w:rPr>
                <w:sz w:val="22"/>
                <w:szCs w:val="22"/>
                <w:color w:val="auto"/>
              </w:rPr>
            </w:pPr>
          </w:p>
        </w:tc>
      </w:tr>
      <w:tr>
        <w:trPr>
          <w:trHeight w:val="257"/>
        </w:trPr>
        <w:tc>
          <w:tcPr>
            <w:tcW w:w="6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70,934</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15.31</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1,086,187</w:t>
            </w:r>
          </w:p>
        </w:tc>
      </w:tr>
      <w:tr>
        <w:trPr>
          <w:trHeight w:val="250"/>
        </w:trPr>
        <w:tc>
          <w:tcPr>
            <w:tcW w:w="6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(212,892)</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(772,798)</w:t>
            </w:r>
          </w:p>
        </w:tc>
      </w:tr>
      <w:tr>
        <w:trPr>
          <w:trHeight w:val="257"/>
        </w:trPr>
        <w:tc>
          <w:tcPr>
            <w:tcW w:w="6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6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40" w:type="dxa"/>
            <w:vAlign w:val="bottom"/>
          </w:tcPr>
          <w:p>
            <w:pPr>
              <w:spacing w:after="0"/>
              <w:rPr>
                <w:sz w:val="22"/>
                <w:szCs w:val="22"/>
                <w:color w:val="auto"/>
              </w:rPr>
            </w:pPr>
          </w:p>
        </w:tc>
      </w:tr>
      <w:tr>
        <w:trPr>
          <w:trHeight w:val="275"/>
        </w:trPr>
        <w:tc>
          <w:tcPr>
            <w:tcW w:w="66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March 31, 2025</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125,628</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13.66</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1,716,078</w:t>
            </w:r>
          </w:p>
        </w:tc>
      </w:tr>
      <w:tr>
        <w:trPr>
          <w:trHeight w:val="20"/>
        </w:trPr>
        <w:tc>
          <w:tcPr>
            <w:tcW w:w="65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Fair value was calculated using the closing price of the Company’s Common Stock on the grant date. For the three months ended March 31, 2025 and 2024, stock-based compensation for these grants was approximately $308,000 and $213,000, respectively, which is included in other operating expenses on the accompanying condensed consolidated statements of income and comprehensive income. These amounts reflect the Company’s accounting expense and do not correspond to the actual value that will be recognized by the directors, executives and employees. Unamortized compensation cost of $1,424,941 as of March 31, 2025 is expected to be recognized over a remaining weighted-average vesting period of 1.46 years.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Employee Stock Purchase Plan</w:t>
      </w:r>
    </w:p>
    <w:p>
      <w:pPr>
        <w:spacing w:after="0" w:line="22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On June 19, 2021, the Company’s Board of Directors adopted the Kingstone Companies, Inc. Employee Stock Purchase Plan (the “ESPP”), subject to stockholder approval. Such approval was obtained on August 10, 2021. The purpose of the ESPP is to provide eligible employees of the Company with an opportunity to use payroll deductions to purchase shares of Common Stock of the Company. The maximum number of shares of Common Stock that may be purchased under the ESPP is 750,000, subject to adjustment as provided for in the ESPP. The ESPP was effective August 10, 2021 and expires on August 10, 2031. A maximum of 5,000 shares of Common Stock may be purchased by an employee during any offering period.</w:t>
      </w:r>
    </w:p>
    <w:p>
      <w:pPr>
        <w:spacing w:after="0" w:line="17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The initial offering period under the ESPP was from November 1, 2021 through October 31, 2022. There was no offering pursuant to the ESPP from November 1, 2022 through December 31, 2024. Effective January 1, 2025, the Company initiated an offering period of January 1, 2025 through December 31, 2025 under the ESPP (the "2025 Offering'). For the three months ended March 31, 2025 and 2024, stock-based compensation under the 2025 Offering was approximately $8,000 and $0, respectively, which is included in other operating expenses on the accompanying condensed consolidated statements of income and comprehensive income.</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Warrants</w:t>
      </w:r>
    </w:p>
    <w:p>
      <w:pPr>
        <w:spacing w:after="0" w:line="212"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8"/>
          <w:szCs w:val="18"/>
          <w:color w:val="auto"/>
        </w:rPr>
        <w:t>In connection with the 2022 Exchange Agreement (see Note 7 – Debt – “Exchange Agreements”), as additional consideration, on December 15, 2022, the Company issued warrants (the "Warrants") to the 2022 Exchanging Noteholders to purchase 969,525 shares of Common Stock. Pursuant to the 2024 Exchange Agreement, the expiration date of the Warrants was extended to June 30, 2026 from December 30, 2025. The fair value of the Warrants, using the Black-Scholes valuation formula, was $993,200, which has been capitalized as a deferred financing cost of the 2022 Notes and the 2024 Notes. The fair value of the Warrants is being amortized over the life of the Warrants, which is 36.5 months through</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September 12, 2024 and effective as of such date, the unamortized balance is being amortized over the extended life of the Warrants, which is now 21.5 months.</w:t>
      </w:r>
    </w:p>
    <w:p>
      <w:pPr>
        <w:spacing w:after="0" w:line="203"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In accordance with ASC 815-40-35 - Derivatives and Hedging – Subsequent Measurement, the effect of a modification or an exchange shall be measured as the difference between the fair value of the modified or exchanged instrument and the fair value of that instrument immediately before it is modified or exchanged. The Company calculated the respective fair values and determined the difference was immaterial.</w:t>
      </w:r>
    </w:p>
    <w:p>
      <w:pPr>
        <w:spacing w:after="0" w:line="19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Warrants are exercisable through June 30, 2026 at an exercise price of $1.00 per share. Holders of the Warrants may exercise their outstanding Warrants in cash, or, in whole or in part, by having the Company reduce the number of shares otherwise issuable by a number of shares having a fair market value equal to the exercise price of the Warrants being exercised ("Net Exercise").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warrants were exercised or granted during the three months ended March 31, 2025 and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2025, Warrants for the purchase of an aggregate of 642,025 shares of Common Stock were outstanding.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Shelf Registration</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April 5, 2024, the Company filed a shelf registration statement on Form S-3 with the SEC under the Securities Act of 1933, as amended, with regard to the registration of $50,000,000 of its equity and debt securities (the “Shelf Registration Statement”). The Shelf Registration Statement was declared effective by the SEC on April 22, 2024. Any offering made pursuant to the Shelf Registration Statement may only be made by means of a prospectus, including a prospectus supplement, forming a part of the effective Shelf Registration Statement, relating to the offering.</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At-the-Market Offering</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May 2024, the Company entered into a Sales Agreement with Janney Montgomery Scott LLC (the “Sales Agent”) under which the Company initially had the ability to issue and sell shares of its Common Stock, from time to time, through the Sales Agent, pursuant to the Shelf Registration Statement, up to an aggregate offering price of approximately $16,400,000 in what is referred to as an “at-the-market” (“ATM”) program. On January 7, 2025, the Company filed a prospectus supplement providing for a going forward aggregate offering price for the ATM program of $25,000,000. During the three months ended March 31, 2025, the Company sold 612,999 shares of its Common Stock at a weighted average price of $16.00 per share and raised $9,545,692 in net proceeds under the ATM program. As of March 31, 2025, the Company had remaining capacity to sell up to an additional $15,945,937 of Common Stock under the ATM program.</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Income Taxes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files a consolidated U.S. federal income tax return that includes all wholly-owned subsidiaries. State tax returns are filed on a consolidated or separate return basis depending on applicable laws. The Company records adjustments related to prior years’ taxes during the period when they are identified, generally when the tax returns are filed. The effect of these adjustments on the current and prior periods (during which the differences originated) is evaluated based upon quantitative and qualitative factors and are considered in relation to the consolidated financial statements taken as a whole for the respective periods.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Deferred tax assets and liabilities are determined using the enacted tax rates applicable to the period the temporary differences are expected to be recovered. Accordingly, the current period income tax provision can be affected by the enactment of new tax rates. The net deferred income taxes on the balance sheets reflect temporary differences between the carrying amounts of the assets and liabilities for financial reporting purposes and income tax purposes, tax effected at various rates depending on whether the temporary differences are subject to federal taxes, state taxes, or both.</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Significant components of the Company’s deferred tax assets and liabilities are as follows:</w:t>
            </w: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450"/>
        </w:trPr>
        <w:tc>
          <w:tcPr>
            <w:tcW w:w="8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60" w:type="dxa"/>
            <w:vAlign w:val="bottom"/>
          </w:tcPr>
          <w:p>
            <w:pPr>
              <w:spacing w:after="0"/>
              <w:rPr>
                <w:sz w:val="24"/>
                <w:szCs w:val="24"/>
                <w:color w:val="auto"/>
              </w:rPr>
            </w:pPr>
          </w:p>
        </w:tc>
        <w:tc>
          <w:tcPr>
            <w:tcW w:w="13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80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506"/>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Deferred tax asset:</w:t>
            </w: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63"/>
        </w:trPr>
        <w:tc>
          <w:tcPr>
            <w:tcW w:w="81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operating loss carryovers (1)</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419,357</w:t>
            </w:r>
          </w:p>
        </w:tc>
      </w:tr>
      <w:tr>
        <w:trPr>
          <w:trHeight w:val="250"/>
        </w:trPr>
        <w:tc>
          <w:tcPr>
            <w:tcW w:w="81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Claims reserve discount</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1,418,989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1,305,466</w:t>
            </w:r>
          </w:p>
        </w:tc>
      </w:tr>
      <w:tr>
        <w:trPr>
          <w:trHeight w:val="263"/>
        </w:trPr>
        <w:tc>
          <w:tcPr>
            <w:tcW w:w="81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Unearned premium</w:t>
            </w: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4,569,622</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3,810,973</w:t>
            </w:r>
          </w:p>
        </w:tc>
      </w:tr>
      <w:tr>
        <w:trPr>
          <w:trHeight w:val="250"/>
        </w:trPr>
        <w:tc>
          <w:tcPr>
            <w:tcW w:w="81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Deferred ceding commission revenue</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1,487,860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2,423,660</w:t>
            </w:r>
          </w:p>
        </w:tc>
      </w:tr>
      <w:tr>
        <w:trPr>
          <w:trHeight w:val="263"/>
        </w:trPr>
        <w:tc>
          <w:tcPr>
            <w:tcW w:w="81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unrealized losses on securities</w:t>
            </w: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2,651,848</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3,069,900</w:t>
            </w:r>
          </w:p>
        </w:tc>
      </w:tr>
      <w:tr>
        <w:trPr>
          <w:trHeight w:val="250"/>
        </w:trPr>
        <w:tc>
          <w:tcPr>
            <w:tcW w:w="818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1,057,826</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834,921</w:t>
            </w:r>
          </w:p>
        </w:tc>
      </w:tr>
      <w:tr>
        <w:trPr>
          <w:trHeight w:val="250"/>
        </w:trPr>
        <w:tc>
          <w:tcPr>
            <w:tcW w:w="8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deferred tax assets</w:t>
            </w:r>
          </w:p>
        </w:tc>
        <w:tc>
          <w:tcPr>
            <w:tcW w:w="22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11,186,145</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11,864,277</w:t>
            </w:r>
          </w:p>
        </w:tc>
      </w:tr>
      <w:tr>
        <w:trPr>
          <w:trHeight w:val="256"/>
        </w:trPr>
        <w:tc>
          <w:tcPr>
            <w:tcW w:w="8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spacing w:after="0"/>
              <w:rPr>
                <w:sz w:val="22"/>
                <w:szCs w:val="22"/>
                <w:color w:val="auto"/>
              </w:rPr>
            </w:pPr>
          </w:p>
        </w:tc>
      </w:tr>
      <w:tr>
        <w:trPr>
          <w:trHeight w:val="257"/>
        </w:trPr>
        <w:tc>
          <w:tcPr>
            <w:tcW w:w="8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liability:</w:t>
            </w: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r>
      <w:tr>
        <w:trPr>
          <w:trHeight w:val="250"/>
        </w:trPr>
        <w:tc>
          <w:tcPr>
            <w:tcW w:w="81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Investment in KICO (2)</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759,543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759,543</w:t>
            </w:r>
          </w:p>
        </w:tc>
      </w:tr>
      <w:tr>
        <w:trPr>
          <w:trHeight w:val="263"/>
        </w:trPr>
        <w:tc>
          <w:tcPr>
            <w:tcW w:w="81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policy acquisition costs</w:t>
            </w: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5,124,208</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5,193,798</w:t>
            </w:r>
          </w:p>
        </w:tc>
      </w:tr>
      <w:tr>
        <w:trPr>
          <w:trHeight w:val="250"/>
        </w:trPr>
        <w:tc>
          <w:tcPr>
            <w:tcW w:w="81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Intangible assets</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105,000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105,000</w:t>
            </w:r>
          </w:p>
        </w:tc>
      </w:tr>
      <w:tr>
        <w:trPr>
          <w:trHeight w:val="263"/>
        </w:trPr>
        <w:tc>
          <w:tcPr>
            <w:tcW w:w="81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2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64,624</w:t>
            </w:r>
          </w:p>
        </w:tc>
        <w:tc>
          <w:tcPr>
            <w:tcW w:w="10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208,016</w:t>
            </w:r>
          </w:p>
        </w:tc>
      </w:tr>
      <w:tr>
        <w:trPr>
          <w:trHeight w:val="243"/>
        </w:trPr>
        <w:tc>
          <w:tcPr>
            <w:tcW w:w="81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6,053,375</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6,266,357</w:t>
            </w:r>
          </w:p>
        </w:tc>
      </w:tr>
      <w:tr>
        <w:trPr>
          <w:trHeight w:val="257"/>
        </w:trPr>
        <w:tc>
          <w:tcPr>
            <w:tcW w:w="80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r>
      <w:tr>
        <w:trPr>
          <w:trHeight w:val="250"/>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deferred income tax asset</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5,132,770</w:t>
            </w:r>
          </w:p>
        </w:tc>
        <w:tc>
          <w:tcPr>
            <w:tcW w:w="10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5,597,920</w:t>
            </w:r>
          </w:p>
        </w:tc>
      </w:tr>
      <w:tr>
        <w:trPr>
          <w:trHeight w:val="27"/>
        </w:trPr>
        <w:tc>
          <w:tcPr>
            <w:tcW w:w="8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bl>
    <w:p>
      <w:pPr>
        <w:spacing w:after="0" w:line="252" w:lineRule="exact"/>
        <w:rPr>
          <w:sz w:val="20"/>
          <w:szCs w:val="20"/>
          <w:color w:val="auto"/>
        </w:rPr>
      </w:pPr>
    </w:p>
    <w:p>
      <w:pPr>
        <w:ind w:left="2020" w:hanging="959"/>
        <w:spacing w:after="0"/>
        <w:tabs>
          <w:tab w:leader="none" w:pos="2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deferred tax assets from net operating loss carryovers (“NOL”) are as follows: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60" w:type="dxa"/>
            <w:vAlign w:val="bottom"/>
          </w:tcPr>
          <w:p>
            <w:pPr>
              <w:spacing w:after="0"/>
              <w:rPr>
                <w:sz w:val="18"/>
                <w:szCs w:val="18"/>
                <w:color w:val="auto"/>
              </w:rPr>
            </w:pPr>
          </w:p>
        </w:tc>
        <w:tc>
          <w:tcPr>
            <w:tcW w:w="13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0" w:type="dxa"/>
            <w:vAlign w:val="bottom"/>
          </w:tcPr>
          <w:p>
            <w:pPr>
              <w:spacing w:after="0"/>
              <w:rPr>
                <w:sz w:val="18"/>
                <w:szCs w:val="18"/>
                <w:color w:val="auto"/>
              </w:rPr>
            </w:pPr>
          </w:p>
        </w:tc>
        <w:tc>
          <w:tcPr>
            <w:tcW w:w="2520" w:type="dxa"/>
            <w:vAlign w:val="bottom"/>
          </w:tcPr>
          <w:p>
            <w:pPr>
              <w:spacing w:after="0"/>
              <w:rPr>
                <w:sz w:val="18"/>
                <w:szCs w:val="18"/>
                <w:color w:val="auto"/>
              </w:rPr>
            </w:pPr>
          </w:p>
        </w:tc>
      </w:tr>
      <w:tr>
        <w:trPr>
          <w:trHeight w:val="259"/>
        </w:trPr>
        <w:tc>
          <w:tcPr>
            <w:tcW w:w="5560" w:type="dxa"/>
            <w:vAlign w:val="bottom"/>
            <w:gridSpan w:val="2"/>
          </w:tcPr>
          <w:p>
            <w:pPr>
              <w:ind w:left="2240"/>
              <w:spacing w:after="0"/>
              <w:rPr>
                <w:sz w:val="20"/>
                <w:szCs w:val="20"/>
                <w:color w:val="auto"/>
              </w:rPr>
            </w:pPr>
            <w:r>
              <w:rPr>
                <w:rFonts w:ascii="Times New Roman" w:cs="Times New Roman" w:eastAsia="Times New Roman" w:hAnsi="Times New Roman"/>
                <w:sz w:val="18"/>
                <w:szCs w:val="18"/>
                <w:b w:val="1"/>
                <w:bCs w:val="1"/>
                <w:color w:val="auto"/>
              </w:rPr>
              <w:t>Type of NOL</w:t>
            </w:r>
          </w:p>
        </w:tc>
        <w:tc>
          <w:tcPr>
            <w:tcW w:w="220" w:type="dxa"/>
            <w:vAlign w:val="bottom"/>
          </w:tcPr>
          <w:p>
            <w:pPr>
              <w:spacing w:after="0"/>
              <w:rPr>
                <w:sz w:val="22"/>
                <w:szCs w:val="22"/>
                <w:color w:val="auto"/>
              </w:rPr>
            </w:pPr>
          </w:p>
        </w:tc>
        <w:tc>
          <w:tcPr>
            <w:tcW w:w="126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2"/>
                <w:szCs w:val="22"/>
                <w:color w:val="auto"/>
              </w:rPr>
            </w:pPr>
          </w:p>
        </w:tc>
        <w:tc>
          <w:tcPr>
            <w:tcW w:w="25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Expiration</w:t>
            </w:r>
          </w:p>
        </w:tc>
      </w:tr>
      <w:tr>
        <w:trPr>
          <w:trHeight w:val="257"/>
        </w:trPr>
        <w:tc>
          <w:tcPr>
            <w:tcW w:w="54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12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3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520" w:type="dxa"/>
            <w:vAlign w:val="bottom"/>
            <w:tcBorders>
              <w:top w:val="single" w:sz="8" w:color="auto"/>
            </w:tcBorders>
          </w:tcPr>
          <w:p>
            <w:pPr>
              <w:spacing w:after="0"/>
              <w:rPr>
                <w:sz w:val="22"/>
                <w:szCs w:val="22"/>
                <w:color w:val="auto"/>
              </w:rPr>
            </w:pPr>
          </w:p>
        </w:tc>
      </w:tr>
      <w:tr>
        <w:trPr>
          <w:trHeight w:val="250"/>
        </w:trPr>
        <w:tc>
          <w:tcPr>
            <w:tcW w:w="55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Federal only, NOL from 2024 and 2023</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419,357</w:t>
            </w:r>
          </w:p>
        </w:tc>
        <w:tc>
          <w:tcPr>
            <w:tcW w:w="100" w:type="dxa"/>
            <w:vAlign w:val="bottom"/>
            <w:shd w:val="clear" w:color="auto" w:fill="CCEEFF"/>
          </w:tcPr>
          <w:p>
            <w:pPr>
              <w:spacing w:after="0"/>
              <w:rPr>
                <w:sz w:val="21"/>
                <w:szCs w:val="21"/>
                <w:color w:val="auto"/>
              </w:rPr>
            </w:pPr>
          </w:p>
        </w:tc>
        <w:tc>
          <w:tcPr>
            <w:tcW w:w="2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None</w:t>
            </w:r>
          </w:p>
        </w:tc>
      </w:tr>
      <w:tr>
        <w:trPr>
          <w:trHeight w:val="256"/>
        </w:trPr>
        <w:tc>
          <w:tcPr>
            <w:tcW w:w="5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12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3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520" w:type="dxa"/>
            <w:vAlign w:val="bottom"/>
          </w:tcPr>
          <w:p>
            <w:pPr>
              <w:spacing w:after="0"/>
              <w:rPr>
                <w:sz w:val="22"/>
                <w:szCs w:val="22"/>
                <w:color w:val="auto"/>
              </w:rPr>
            </w:pPr>
          </w:p>
        </w:tc>
      </w:tr>
      <w:tr>
        <w:trPr>
          <w:trHeight w:val="257"/>
        </w:trPr>
        <w:tc>
          <w:tcPr>
            <w:tcW w:w="55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State only (A)</w:t>
            </w: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3,158,937</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3,075,395</w:t>
            </w:r>
          </w:p>
        </w:tc>
        <w:tc>
          <w:tcPr>
            <w:tcW w:w="100" w:type="dxa"/>
            <w:vAlign w:val="bottom"/>
            <w:shd w:val="clear" w:color="auto" w:fill="CCEEFF"/>
          </w:tcPr>
          <w:p>
            <w:pPr>
              <w:spacing w:after="0"/>
              <w:rPr>
                <w:sz w:val="22"/>
                <w:szCs w:val="22"/>
                <w:color w:val="auto"/>
              </w:rPr>
            </w:pPr>
          </w:p>
        </w:tc>
        <w:tc>
          <w:tcPr>
            <w:tcW w:w="2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December 2027 - December 2045</w:t>
            </w:r>
          </w:p>
        </w:tc>
      </w:tr>
      <w:tr>
        <w:trPr>
          <w:trHeight w:val="250"/>
        </w:trPr>
        <w:tc>
          <w:tcPr>
            <w:tcW w:w="5560" w:type="dxa"/>
            <w:vAlign w:val="bottom"/>
            <w:tcBorders>
              <w:bottom w:val="single" w:sz="8" w:color="CCEEFF"/>
            </w:tcBorders>
            <w:gridSpan w:val="2"/>
          </w:tcPr>
          <w:p>
            <w:pPr>
              <w:ind w:left="60"/>
              <w:spacing w:after="0"/>
              <w:rPr>
                <w:sz w:val="20"/>
                <w:szCs w:val="20"/>
                <w:color w:val="auto"/>
              </w:rPr>
            </w:pPr>
            <w:r>
              <w:rPr>
                <w:rFonts w:ascii="Times New Roman" w:cs="Times New Roman" w:eastAsia="Times New Roman" w:hAnsi="Times New Roman"/>
                <w:sz w:val="18"/>
                <w:szCs w:val="18"/>
                <w:color w:val="auto"/>
              </w:rPr>
              <w:t>Valuation allowance</w:t>
            </w: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(3,158,937)</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(3,075,395)</w:t>
            </w:r>
          </w:p>
        </w:tc>
        <w:tc>
          <w:tcPr>
            <w:tcW w:w="100" w:type="dxa"/>
            <w:vAlign w:val="bottom"/>
            <w:tcBorders>
              <w:bottom w:val="single" w:sz="8" w:color="CCEEFF"/>
            </w:tcBorders>
          </w:tcPr>
          <w:p>
            <w:pPr>
              <w:spacing w:after="0"/>
              <w:rPr>
                <w:sz w:val="21"/>
                <w:szCs w:val="21"/>
                <w:color w:val="auto"/>
              </w:rPr>
            </w:pPr>
          </w:p>
        </w:tc>
        <w:tc>
          <w:tcPr>
            <w:tcW w:w="2520" w:type="dxa"/>
            <w:vAlign w:val="bottom"/>
            <w:tcBorders>
              <w:bottom w:val="single" w:sz="8" w:color="CCEEFF"/>
            </w:tcBorders>
          </w:tcPr>
          <w:p>
            <w:pPr>
              <w:spacing w:after="0"/>
              <w:rPr>
                <w:sz w:val="21"/>
                <w:szCs w:val="21"/>
                <w:color w:val="auto"/>
              </w:rPr>
            </w:pPr>
          </w:p>
        </w:tc>
      </w:tr>
      <w:tr>
        <w:trPr>
          <w:trHeight w:val="250"/>
        </w:trPr>
        <w:tc>
          <w:tcPr>
            <w:tcW w:w="55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State only, net of valuation allowance</w:t>
            </w:r>
          </w:p>
        </w:tc>
        <w:tc>
          <w:tcPr>
            <w:tcW w:w="22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2520" w:type="dxa"/>
            <w:vAlign w:val="bottom"/>
            <w:shd w:val="clear" w:color="auto" w:fill="CCEEFF"/>
          </w:tcPr>
          <w:p>
            <w:pPr>
              <w:spacing w:after="0"/>
              <w:rPr>
                <w:sz w:val="21"/>
                <w:szCs w:val="21"/>
                <w:color w:val="auto"/>
              </w:rPr>
            </w:pPr>
          </w:p>
        </w:tc>
      </w:tr>
      <w:tr>
        <w:trPr>
          <w:trHeight w:val="256"/>
        </w:trPr>
        <w:tc>
          <w:tcPr>
            <w:tcW w:w="5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520" w:type="dxa"/>
            <w:vAlign w:val="bottom"/>
          </w:tcPr>
          <w:p>
            <w:pPr>
              <w:spacing w:after="0"/>
              <w:rPr>
                <w:sz w:val="22"/>
                <w:szCs w:val="22"/>
                <w:color w:val="auto"/>
              </w:rPr>
            </w:pPr>
          </w:p>
        </w:tc>
      </w:tr>
      <w:tr>
        <w:trPr>
          <w:trHeight w:val="270"/>
        </w:trPr>
        <w:tc>
          <w:tcPr>
            <w:tcW w:w="55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Total deferred tax asset from net operating loss carryovers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419,357</w:t>
            </w:r>
          </w:p>
        </w:tc>
        <w:tc>
          <w:tcPr>
            <w:tcW w:w="100" w:type="dxa"/>
            <w:vAlign w:val="bottom"/>
            <w:shd w:val="clear" w:color="auto" w:fill="CCEEFF"/>
          </w:tcPr>
          <w:p>
            <w:pPr>
              <w:spacing w:after="0"/>
              <w:rPr>
                <w:sz w:val="23"/>
                <w:szCs w:val="23"/>
                <w:color w:val="auto"/>
              </w:rPr>
            </w:pPr>
          </w:p>
        </w:tc>
        <w:tc>
          <w:tcPr>
            <w:tcW w:w="2520" w:type="dxa"/>
            <w:vAlign w:val="bottom"/>
            <w:shd w:val="clear" w:color="auto" w:fill="CCEEFF"/>
          </w:tcPr>
          <w:p>
            <w:pPr>
              <w:spacing w:after="0"/>
              <w:rPr>
                <w:sz w:val="23"/>
                <w:szCs w:val="23"/>
                <w:color w:val="auto"/>
              </w:rPr>
            </w:pPr>
          </w:p>
        </w:tc>
      </w:tr>
      <w:tr>
        <w:trPr>
          <w:trHeight w:val="20"/>
        </w:trPr>
        <w:tc>
          <w:tcPr>
            <w:tcW w:w="54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520" w:type="dxa"/>
            <w:vAlign w:val="bottom"/>
            <w:tcBorders>
              <w:top w:val="single" w:sz="8" w:color="CCEEFF"/>
            </w:tcBorders>
          </w:tcPr>
          <w:p>
            <w:pPr>
              <w:spacing w:after="0" w:line="20" w:lineRule="exact"/>
              <w:rPr>
                <w:sz w:val="1"/>
                <w:szCs w:val="1"/>
                <w:color w:val="auto"/>
              </w:rPr>
            </w:pPr>
          </w:p>
        </w:tc>
      </w:tr>
    </w:tbl>
    <w:p>
      <w:pPr>
        <w:spacing w:after="0" w:line="292" w:lineRule="exact"/>
        <w:rPr>
          <w:sz w:val="20"/>
          <w:szCs w:val="20"/>
          <w:color w:val="auto"/>
        </w:rPr>
      </w:pPr>
    </w:p>
    <w:p>
      <w:pPr>
        <w:jc w:val="both"/>
        <w:ind w:left="1380" w:hanging="319"/>
        <w:spacing w:after="0" w:line="256" w:lineRule="auto"/>
        <w:tabs>
          <w:tab w:leader="none" w:pos="1373"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Kingstone generates operating losses for state purposes and has prior year NOLs available. The state NOL as of March 31, 2025 and December 31, 2024 was $48,599,031 and $47,313,775, respectively. KICO, the Company’s insurance underwriting subsidiary, is not subject to state income taxes. KICO’s state tax obligations are paid through a gross premiums tax, which is included in the condensed consolidated statements of income and comprehensive income within other underwriting expenses. Kingstone has recorded a full valuation allowance due to the uncertainty of generating enough state taxable income to utilize 100% of the available state NOLs over their remaining lives, which expire between 2027 and 2045.</w:t>
      </w:r>
    </w:p>
    <w:p>
      <w:pPr>
        <w:spacing w:after="0" w:line="187"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8"/>
          <w:szCs w:val="18"/>
          <w:color w:val="auto"/>
        </w:rPr>
        <w:t>(2) Deferred tax liability – Investment in KICO</w:t>
      </w:r>
    </w:p>
    <w:p>
      <w:pPr>
        <w:spacing w:after="0" w:line="225" w:lineRule="exact"/>
        <w:rPr>
          <w:sz w:val="20"/>
          <w:szCs w:val="20"/>
          <w:color w:val="auto"/>
        </w:rPr>
      </w:pPr>
    </w:p>
    <w:p>
      <w:pPr>
        <w:jc w:val="both"/>
        <w:ind w:left="1040" w:right="20"/>
        <w:spacing w:after="0" w:line="266" w:lineRule="auto"/>
        <w:rPr>
          <w:sz w:val="20"/>
          <w:szCs w:val="20"/>
          <w:color w:val="auto"/>
        </w:rPr>
      </w:pPr>
      <w:r>
        <w:rPr>
          <w:rFonts w:ascii="Times New Roman" w:cs="Times New Roman" w:eastAsia="Times New Roman" w:hAnsi="Times New Roman"/>
          <w:sz w:val="18"/>
          <w:szCs w:val="18"/>
          <w:color w:val="auto"/>
        </w:rPr>
        <w:t>On July 1, 2009, the Company completed the acquisition of 100% of the issued and outstanding common stock of KICO (formerly known as Commercial Mutual Insurance Company (“CMIC”)) pursuant to the conversion of CMIC from an advance premium cooperative to a stock property and casualty insurance</w:t>
      </w:r>
    </w:p>
    <w:p>
      <w:pPr>
        <w:sectPr>
          <w:pgSz w:w="11900" w:h="16838" w:orient="portrait"/>
          <w:cols w:equalWidth="0" w:num="1">
            <w:col w:w="11240"/>
          </w:cols>
          <w:pgMar w:left="320" w:top="119" w:right="33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39" w:name="page40"/>
    <w:bookmarkEnd w:id="39"/>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both"/>
        <w:ind w:left="1040"/>
        <w:spacing w:after="0" w:line="254" w:lineRule="auto"/>
        <w:rPr>
          <w:sz w:val="20"/>
          <w:szCs w:val="20"/>
          <w:color w:val="auto"/>
        </w:rPr>
      </w:pPr>
      <w:r>
        <w:rPr>
          <w:rFonts w:ascii="Times New Roman" w:cs="Times New Roman" w:eastAsia="Times New Roman" w:hAnsi="Times New Roman"/>
          <w:sz w:val="18"/>
          <w:szCs w:val="18"/>
          <w:color w:val="auto"/>
        </w:rPr>
        <w:t>company. Pursuant to the plan of conversion, the Company acquired a 100% equity interest in KICO, in consideration for the exchange of $3,750,000 principal amount of surplus notes of CMIC. In addition, the Company forgave all accrued and unpaid interest on the surplus notes as of the date of conversion. As of the date of acquisition, unpaid accrued interest on the surplus notes along with the accretion of the discount on the original purchase of the surplus notes totaled $2,921,319 (together “Untaxed Interest”). As of the date of acquisition, the deferred tax liability on the Untaxed Interest was $1,169,000. A temporary difference with an indefinite life exists when the parent has a lower carrying value of its subsidiary for income tax purposes. The deferred tax liability was reduced to $759,543 upon the reduction of federal income tax rates as of December 31, 2017. The Company is required to maintain its deferred tax liability of $759,543 related to this temporary difference until the stock of KICO is sold, or the assets of KICO are sold or KICO and the parent are merged.</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assessing the valuation of deferred tax assets, the Company considers whether it is more likely than not that some portion or all of the deferred tax assets will not be realized. The ultimate realization of deferred tax assets is dependent upon the generation of future taxable income during the periods in which those temporary differences become deductible. No valuation allowance against deferred tax assets has been established, except for NOL limitations, as the Company believes it is more likely than not the deferred tax assets will be realized based on the historical taxable income of KICO, or by offset to deferred tax liabilities.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had no material unrecognized tax benefit and no adjustments to liabilities or operations were required. There were no interest or penalties related to income taxes that have been accrued or recognized as of and for the three months ended March 31, 2025 and 2024. If any had been recognized these would have been reported in income tax expense.</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Generally, taxing authorities may examine the Company’s tax returns for the three years from the date of filing. The Company’s tax returns for the years ended December 31, 2021 through December 31, 2024 remain subject to examination.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Earnings Per Common Share</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Basic net earnings per common share is computed by dividing net income by the weighted-average number of shares of Common Stock outstanding. Diluted earnings per common share reflects, in periods in which it has a dilutive effect, the impact of shares of Common Stock issuable upon exercise of stock options and warrants as well as non-vested restricted stock awards. The computation of diluted earnings per common share excludes those options and warrants with an exercise price in excess of the average market price of the Company’s Common Stock during the periods presented. For the three months ended March 31, 2025 and 2024, there were -0- options and 120,553 options with an exercise price in excess of the average market price of the Company’s Common Stock during the periods. For the three months ended March 31, 2025 and 2024, there were no warrants with an exercise price in excess of the average market price of the Company’s Common Stock during the periods.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computation of diluted earnings per common share excludes outstanding options, warrants and non-vested restricted stock awards in periods where the exercise of such options and warrants or vesting of such restricted stock awards would be anti-dilutive. For the three months ended March 31, 2025 and 2024, there were no options, warrants or restricted stock awards that were anti-dilutive for the relevant periods.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reconciliation of the weighted average number of shares of Common Stock used in the calculation of basic and diluted earnings per common share follows:</w:t>
      </w:r>
    </w:p>
    <w:p>
      <w:pPr>
        <w:spacing w:after="0" w:line="191" w:lineRule="exact"/>
        <w:rPr>
          <w:sz w:val="20"/>
          <w:szCs w:val="20"/>
          <w:color w:val="auto"/>
        </w:rPr>
      </w:pPr>
    </w:p>
    <w:p>
      <w:pPr>
        <w:jc w:val="center"/>
        <w:ind w:left="194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jc w:val="center"/>
        <w:ind w:left="194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3219450</wp:posOffset>
            </wp:positionH>
            <wp:positionV relativeFrom="paragraph">
              <wp:posOffset>13335</wp:posOffset>
            </wp:positionV>
            <wp:extent cx="194564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945640" cy="8255"/>
                    </a:xfrm>
                    <a:prstGeom prst="rect">
                      <a:avLst/>
                    </a:prstGeom>
                    <a:noFill/>
                  </pic:spPr>
                </pic:pic>
              </a:graphicData>
            </a:graphic>
          </wp:anchor>
        </w:drawing>
      </w:r>
    </w:p>
    <w:p>
      <w:pPr>
        <w:spacing w:after="0" w:line="19" w:lineRule="exact"/>
        <w:rPr>
          <w:sz w:val="20"/>
          <w:szCs w:val="20"/>
          <w:color w:val="auto"/>
        </w:rPr>
      </w:pPr>
    </w:p>
    <w:p>
      <w:pPr>
        <w:ind w:left="5640"/>
        <w:spacing w:after="0"/>
        <w:tabs>
          <w:tab w:leader="none" w:pos="7200" w:val="left"/>
        </w:tabs>
        <w:rPr>
          <w:sz w:val="20"/>
          <w:szCs w:val="20"/>
          <w:color w:val="auto"/>
        </w:rPr>
      </w:pPr>
      <w:r>
        <w:rPr>
          <w:rFonts w:ascii="Times New Roman" w:cs="Times New Roman" w:eastAsia="Times New Roman" w:hAnsi="Times New Roman"/>
          <w:sz w:val="18"/>
          <w:szCs w:val="18"/>
          <w:b w:val="1"/>
          <w:bCs w:val="1"/>
          <w:color w:val="auto"/>
        </w:rPr>
        <w:t>2025</w:t>
      </w:r>
      <w:r>
        <w:rPr>
          <w:sz w:val="20"/>
          <w:szCs w:val="20"/>
          <w:color w:val="auto"/>
        </w:rPr>
        <w:tab/>
      </w:r>
      <w:r>
        <w:rPr>
          <w:rFonts w:ascii="Times New Roman" w:cs="Times New Roman" w:eastAsia="Times New Roman" w:hAnsi="Times New Roman"/>
          <w:sz w:val="18"/>
          <w:szCs w:val="18"/>
          <w:b w:val="1"/>
          <w:bCs w:val="1"/>
          <w:color w:val="auto"/>
        </w:rPr>
        <w:t>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3219450</wp:posOffset>
            </wp:positionH>
            <wp:positionV relativeFrom="paragraph">
              <wp:posOffset>28575</wp:posOffset>
            </wp:positionV>
            <wp:extent cx="194564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945640" cy="8255"/>
                    </a:xfrm>
                    <a:prstGeom prst="rect">
                      <a:avLst/>
                    </a:prstGeom>
                    <a:noFill/>
                  </pic:spPr>
                </pic:pic>
              </a:graphicData>
            </a:graphic>
          </wp:anchor>
        </w:drawing>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number of shares outstanding</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13,472,404</w:t>
            </w:r>
          </w:p>
        </w:tc>
        <w:tc>
          <w:tcPr>
            <w:tcW w:w="80" w:type="dxa"/>
            <w:vAlign w:val="bottom"/>
            <w:shd w:val="clear" w:color="auto" w:fill="CCEEFF"/>
          </w:tcPr>
          <w:p>
            <w:pPr>
              <w:spacing w:after="0"/>
              <w:rPr>
                <w:sz w:val="22"/>
                <w:szCs w:val="22"/>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10,999,662</w:t>
            </w:r>
          </w:p>
        </w:tc>
        <w:tc>
          <w:tcPr>
            <w:tcW w:w="0" w:type="dxa"/>
            <w:vAlign w:val="bottom"/>
          </w:tcPr>
          <w:p>
            <w:pPr>
              <w:spacing w:after="0"/>
              <w:rPr>
                <w:sz w:val="1"/>
                <w:szCs w:val="1"/>
                <w:color w:val="auto"/>
              </w:rPr>
            </w:pPr>
          </w:p>
        </w:tc>
      </w:tr>
      <w:tr>
        <w:trPr>
          <w:trHeight w:val="257"/>
        </w:trPr>
        <w:tc>
          <w:tcPr>
            <w:tcW w:w="508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dilutive securities, common share equivalents:</w:t>
            </w:r>
          </w:p>
        </w:tc>
        <w:tc>
          <w:tcPr>
            <w:tcW w:w="14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5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 options</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188,679</w:t>
            </w:r>
          </w:p>
        </w:tc>
        <w:tc>
          <w:tcPr>
            <w:tcW w:w="8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13,902</w:t>
            </w:r>
          </w:p>
        </w:tc>
        <w:tc>
          <w:tcPr>
            <w:tcW w:w="0" w:type="dxa"/>
            <w:vAlign w:val="bottom"/>
          </w:tcPr>
          <w:p>
            <w:pPr>
              <w:spacing w:after="0"/>
              <w:rPr>
                <w:sz w:val="1"/>
                <w:szCs w:val="1"/>
                <w:color w:val="auto"/>
              </w:rPr>
            </w:pPr>
          </w:p>
        </w:tc>
      </w:tr>
      <w:tr>
        <w:trPr>
          <w:trHeight w:val="263"/>
        </w:trPr>
        <w:tc>
          <w:tcPr>
            <w:tcW w:w="5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Warrants</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583,567</w:t>
            </w:r>
          </w:p>
        </w:tc>
        <w:tc>
          <w:tcPr>
            <w:tcW w:w="80" w:type="dxa"/>
            <w:vAlign w:val="bottom"/>
            <w:shd w:val="clear" w:color="auto" w:fill="CCEEFF"/>
          </w:tcPr>
          <w:p>
            <w:pPr>
              <w:spacing w:after="0"/>
              <w:rPr>
                <w:sz w:val="22"/>
                <w:szCs w:val="22"/>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518,094</w:t>
            </w:r>
          </w:p>
        </w:tc>
        <w:tc>
          <w:tcPr>
            <w:tcW w:w="0" w:type="dxa"/>
            <w:vAlign w:val="bottom"/>
          </w:tcPr>
          <w:p>
            <w:pPr>
              <w:spacing w:after="0"/>
              <w:rPr>
                <w:sz w:val="1"/>
                <w:szCs w:val="1"/>
                <w:color w:val="auto"/>
              </w:rPr>
            </w:pPr>
          </w:p>
        </w:tc>
      </w:tr>
      <w:tr>
        <w:trPr>
          <w:trHeight w:val="250"/>
        </w:trPr>
        <w:tc>
          <w:tcPr>
            <w:tcW w:w="50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Restricted stock awards</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27,852</w:t>
            </w:r>
          </w:p>
        </w:tc>
        <w:tc>
          <w:tcPr>
            <w:tcW w:w="80" w:type="dxa"/>
            <w:vAlign w:val="bottom"/>
            <w:tcBorders>
              <w:bottom w:val="single" w:sz="8" w:color="CCEEFF"/>
            </w:tcBorders>
          </w:tcPr>
          <w:p>
            <w:pPr>
              <w:spacing w:after="0"/>
              <w:rPr>
                <w:sz w:val="21"/>
                <w:szCs w:val="21"/>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259,862</w:t>
            </w:r>
          </w:p>
        </w:tc>
        <w:tc>
          <w:tcPr>
            <w:tcW w:w="0" w:type="dxa"/>
            <w:vAlign w:val="bottom"/>
          </w:tcPr>
          <w:p>
            <w:pPr>
              <w:spacing w:after="0"/>
              <w:rPr>
                <w:sz w:val="1"/>
                <w:szCs w:val="1"/>
                <w:color w:val="auto"/>
              </w:rPr>
            </w:pPr>
          </w:p>
        </w:tc>
      </w:tr>
      <w:tr>
        <w:trPr>
          <w:trHeight w:val="257"/>
        </w:trPr>
        <w:tc>
          <w:tcPr>
            <w:tcW w:w="508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5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1"/>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number of shares outstanding, used for computing</w:t>
            </w:r>
          </w:p>
        </w:tc>
        <w:tc>
          <w:tcPr>
            <w:tcW w:w="14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14,272,502</w:t>
            </w:r>
          </w:p>
        </w:tc>
        <w:tc>
          <w:tcPr>
            <w:tcW w:w="80" w:type="dxa"/>
            <w:vAlign w:val="bottom"/>
          </w:tcPr>
          <w:p>
            <w:pPr>
              <w:spacing w:after="0"/>
              <w:rPr>
                <w:sz w:val="18"/>
                <w:szCs w:val="18"/>
                <w:color w:val="auto"/>
              </w:rPr>
            </w:pPr>
          </w:p>
        </w:tc>
        <w:tc>
          <w:tcPr>
            <w:tcW w:w="15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11,791,520</w:t>
            </w:r>
          </w:p>
        </w:tc>
        <w:tc>
          <w:tcPr>
            <w:tcW w:w="0" w:type="dxa"/>
            <w:vAlign w:val="bottom"/>
          </w:tcPr>
          <w:p>
            <w:pPr>
              <w:spacing w:after="0"/>
              <w:rPr>
                <w:sz w:val="1"/>
                <w:szCs w:val="1"/>
                <w:color w:val="auto"/>
              </w:rPr>
            </w:pPr>
          </w:p>
        </w:tc>
      </w:tr>
      <w:tr>
        <w:trPr>
          <w:trHeight w:val="226"/>
        </w:trPr>
        <w:tc>
          <w:tcPr>
            <w:tcW w:w="50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1480" w:type="dxa"/>
            <w:vAlign w:val="bottom"/>
            <w:tcBorders>
              <w:bottom w:val="single" w:sz="8" w:color="auto"/>
            </w:tcBorders>
            <w:vMerge w:val="continue"/>
          </w:tcPr>
          <w:p>
            <w:pPr>
              <w:spacing w:after="0"/>
              <w:rPr>
                <w:sz w:val="19"/>
                <w:szCs w:val="19"/>
                <w:color w:val="auto"/>
              </w:rPr>
            </w:pPr>
          </w:p>
        </w:tc>
        <w:tc>
          <w:tcPr>
            <w:tcW w:w="80" w:type="dxa"/>
            <w:vAlign w:val="bottom"/>
          </w:tcPr>
          <w:p>
            <w:pPr>
              <w:spacing w:after="0"/>
              <w:rPr>
                <w:sz w:val="19"/>
                <w:szCs w:val="19"/>
                <w:color w:val="auto"/>
              </w:rPr>
            </w:pPr>
          </w:p>
        </w:tc>
        <w:tc>
          <w:tcPr>
            <w:tcW w:w="15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 Commitments and Contingencies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Litigation</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From time to time, the Company is involved in various legal proceedings in the ordinary course of business. For example, to the extent a claim is asserted by a third party in a lawsuit against one of the Company’s insureds covered by a particular policy, the Company may have a duty to defend the insured party against the claim. These claims may relate to bodily injury, property damage or other compensable injuries as set forth in the policy. Such proceedings are considered in estimating the liability for loss and LAE expenses.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Office Lease</w:t>
      </w:r>
    </w:p>
    <w:p>
      <w:pPr>
        <w:spacing w:after="0" w:line="27"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8"/>
          <w:szCs w:val="18"/>
          <w:color w:val="auto"/>
        </w:rPr>
        <w:t>The Company enters into lease agreements for real estate that is primarily used for office space in the ordinary course of business. These leases are accounted for as operating leases, whereby lease expense is recognized on a straight-line basis over the term of the lease.</w:t>
      </w:r>
    </w:p>
    <w:p>
      <w:pPr>
        <w:spacing w:after="0" w:line="168"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On February 10, 2025, KICO entered into a lease agreement for an office facility located in Kingston, New York under an operating lease. The lease commenced on March 1, 2025 (the "Commencement Date") and will expire on March 31, 2030. KICO has the option to renew the lease for an additional term of five years. KICO may terminate the lease anytime following the third anniversary of the Commencement Date if its insurance business is sold or substantially all of the Company's assets are sold. Base rent over the term of the lease is $269,777 plus a proportionate share of taxes, common area maintenance costs and insurance.</w:t>
      </w:r>
    </w:p>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was a party to a non-cancellable operating lease, dated March 27, 2015, for its office facility for KICO located in Valley Stream, New York, which expired on March 31, 2024. The lease was not renewed.</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 information regarding the Company’s office operating leases is as follows: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740" w:type="dxa"/>
            <w:vAlign w:val="bottom"/>
            <w:gridSpan w:val="4"/>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w w:val="98"/>
              </w:rPr>
              <w:t>Three months ended</w:t>
            </w:r>
          </w:p>
        </w:tc>
        <w:tc>
          <w:tcPr>
            <w:tcW w:w="0" w:type="dxa"/>
            <w:vAlign w:val="bottom"/>
          </w:tcPr>
          <w:p>
            <w:pPr>
              <w:spacing w:after="0"/>
              <w:rPr>
                <w:sz w:val="1"/>
                <w:szCs w:val="1"/>
                <w:color w:val="auto"/>
              </w:rPr>
            </w:pPr>
          </w:p>
        </w:tc>
      </w:tr>
      <w:tr>
        <w:trPr>
          <w:trHeight w:val="238"/>
        </w:trPr>
        <w:tc>
          <w:tcPr>
            <w:tcW w:w="5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00" w:type="dxa"/>
            <w:vAlign w:val="bottom"/>
            <w:gridSpan w:val="3"/>
          </w:tcPr>
          <w:p>
            <w:pPr>
              <w:jc w:val="center"/>
              <w:ind w:left="61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30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Lease cost</w:t>
            </w: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300" w:type="dxa"/>
            <w:vAlign w:val="bottom"/>
            <w:gridSpan w:val="2"/>
            <w:vMerge w:val="continue"/>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4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57"/>
        </w:trPr>
        <w:tc>
          <w:tcPr>
            <w:tcW w:w="52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Borders>
              <w:top w:val="single" w:sz="8" w:color="auto"/>
            </w:tcBorders>
          </w:tcPr>
          <w:p>
            <w:pPr>
              <w:spacing w:after="0"/>
              <w:rPr>
                <w:sz w:val="22"/>
                <w:szCs w:val="22"/>
                <w:color w:val="auto"/>
              </w:rPr>
            </w:pPr>
          </w:p>
        </w:tc>
        <w:tc>
          <w:tcPr>
            <w:tcW w:w="11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Borders>
              <w:top w:val="single" w:sz="8" w:color="auto"/>
            </w:tcBorders>
          </w:tcPr>
          <w:p>
            <w:pPr>
              <w:spacing w:after="0"/>
              <w:rPr>
                <w:sz w:val="22"/>
                <w:szCs w:val="22"/>
                <w:color w:val="auto"/>
              </w:rPr>
            </w:pPr>
          </w:p>
        </w:tc>
        <w:tc>
          <w:tcPr>
            <w:tcW w:w="104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4,464</w:t>
            </w:r>
          </w:p>
        </w:tc>
        <w:tc>
          <w:tcPr>
            <w:tcW w:w="100" w:type="dxa"/>
            <w:vAlign w:val="bottom"/>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41,342</w:t>
            </w:r>
          </w:p>
        </w:tc>
        <w:tc>
          <w:tcPr>
            <w:tcW w:w="0" w:type="dxa"/>
            <w:vAlign w:val="bottom"/>
          </w:tcPr>
          <w:p>
            <w:pPr>
              <w:spacing w:after="0"/>
              <w:rPr>
                <w:sz w:val="1"/>
                <w:szCs w:val="1"/>
                <w:color w:val="auto"/>
              </w:rPr>
            </w:pPr>
          </w:p>
        </w:tc>
      </w:tr>
      <w:tr>
        <w:trPr>
          <w:trHeight w:val="243"/>
        </w:trPr>
        <w:tc>
          <w:tcPr>
            <w:tcW w:w="53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Total lease cost</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4,464</w:t>
            </w:r>
          </w:p>
        </w:tc>
        <w:tc>
          <w:tcPr>
            <w:tcW w:w="100" w:type="dxa"/>
            <w:vAlign w:val="bottom"/>
          </w:tcPr>
          <w:p>
            <w:pPr>
              <w:spacing w:after="0"/>
              <w:rPr>
                <w:sz w:val="21"/>
                <w:szCs w:val="21"/>
                <w:color w:val="auto"/>
              </w:rPr>
            </w:pPr>
          </w:p>
        </w:tc>
        <w:tc>
          <w:tcPr>
            <w:tcW w:w="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41,342</w:t>
            </w:r>
          </w:p>
        </w:tc>
        <w:tc>
          <w:tcPr>
            <w:tcW w:w="0" w:type="dxa"/>
            <w:vAlign w:val="bottom"/>
          </w:tcPr>
          <w:p>
            <w:pPr>
              <w:spacing w:after="0"/>
              <w:rPr>
                <w:sz w:val="1"/>
                <w:szCs w:val="1"/>
                <w:color w:val="auto"/>
              </w:rPr>
            </w:pPr>
          </w:p>
        </w:tc>
      </w:tr>
      <w:tr>
        <w:trPr>
          <w:trHeight w:val="21"/>
        </w:trPr>
        <w:tc>
          <w:tcPr>
            <w:tcW w:w="52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6"/>
        </w:trPr>
        <w:tc>
          <w:tcPr>
            <w:tcW w:w="5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3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Other information on operating leases</w:t>
            </w: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8"/>
        </w:trPr>
        <w:tc>
          <w:tcPr>
            <w:tcW w:w="5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payments included in the measurement of lease liability reported</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5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 operating cash flows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4,085</w:t>
            </w: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49,145</w:t>
            </w:r>
          </w:p>
        </w:tc>
        <w:tc>
          <w:tcPr>
            <w:tcW w:w="0" w:type="dxa"/>
            <w:vAlign w:val="bottom"/>
          </w:tcPr>
          <w:p>
            <w:pPr>
              <w:spacing w:after="0"/>
              <w:rPr>
                <w:sz w:val="1"/>
                <w:szCs w:val="1"/>
                <w:color w:val="auto"/>
              </w:rPr>
            </w:pPr>
          </w:p>
        </w:tc>
      </w:tr>
      <w:tr>
        <w:trPr>
          <w:trHeight w:val="250"/>
        </w:trPr>
        <w:tc>
          <w:tcPr>
            <w:tcW w:w="5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Discount rate</w:t>
            </w:r>
          </w:p>
        </w:tc>
        <w:tc>
          <w:tcPr>
            <w:tcW w:w="340" w:type="dxa"/>
            <w:vAlign w:val="bottom"/>
          </w:tcPr>
          <w:p>
            <w:pPr>
              <w:spacing w:after="0"/>
              <w:rPr>
                <w:sz w:val="21"/>
                <w:szCs w:val="21"/>
                <w:color w:val="auto"/>
              </w:rPr>
            </w:pPr>
          </w:p>
        </w:tc>
        <w:tc>
          <w:tcPr>
            <w:tcW w:w="1140" w:type="dxa"/>
            <w:vAlign w:val="bottom"/>
          </w:tcPr>
          <w:p>
            <w:pPr>
              <w:ind w:left="520"/>
              <w:spacing w:after="0"/>
              <w:rPr>
                <w:sz w:val="20"/>
                <w:szCs w:val="20"/>
                <w:color w:val="auto"/>
              </w:rPr>
            </w:pPr>
            <w:r>
              <w:rPr>
                <w:rFonts w:ascii="Times New Roman" w:cs="Times New Roman" w:eastAsia="Times New Roman" w:hAnsi="Times New Roman"/>
                <w:sz w:val="18"/>
                <w:szCs w:val="18"/>
                <w:color w:val="auto"/>
                <w:w w:val="99"/>
              </w:rPr>
              <w:t>13.75 %</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5.50 %</w:t>
            </w:r>
          </w:p>
        </w:tc>
        <w:tc>
          <w:tcPr>
            <w:tcW w:w="0" w:type="dxa"/>
            <w:vAlign w:val="bottom"/>
          </w:tcPr>
          <w:p>
            <w:pPr>
              <w:spacing w:after="0"/>
              <w:rPr>
                <w:sz w:val="1"/>
                <w:szCs w:val="1"/>
                <w:color w:val="auto"/>
              </w:rPr>
            </w:pPr>
          </w:p>
        </w:tc>
      </w:tr>
      <w:tr>
        <w:trPr>
          <w:trHeight w:val="263"/>
        </w:trPr>
        <w:tc>
          <w:tcPr>
            <w:tcW w:w="5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Remaining lease term in years</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w w:val="97"/>
              </w:rPr>
              <w:t>4.9</w:t>
            </w:r>
          </w:p>
        </w:tc>
        <w:tc>
          <w:tcPr>
            <w:tcW w:w="10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bl>
    <w:p>
      <w:pPr>
        <w:spacing w:after="0" w:line="29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Operating lease right-of-use assets, included in other assets, were $193,545 and $-0- as of March 31, 2025 and December 31, 2024, respectively. Operating lease right-of-use liabilities, included in accounts payable, accrued expenses and other liabilities, were $193,545 and $-0- as of March 31, 2025 and December 31, 2024, respectively.</w:t>
      </w:r>
    </w:p>
    <w:p>
      <w:pPr>
        <w:spacing w:after="0" w:line="1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Rent expense for the three months ended March 31, 2025 and 2024 amounted to $4,464 and $41,342, respectively, and is included in the accompanying condensed consolidated statements of income and comprehensive income within other underwriting expenses.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Employment Agreements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Meryl Golden, President and Chief Executive Officer</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Employment Agreement effective as of January 1, 2023</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June 27, 2022, the Company and Meryl Golden, President and Chief Executive Officer of the Company, entered into a second amended and restated employment agreement which took effect as of January 1, 2023, and expired on December 31, 2024 (the “Second Amended Golden Employment Agreement”).</w:t>
      </w:r>
    </w:p>
    <w:p>
      <w:pPr>
        <w:spacing w:after="0" w:line="169"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Pursuant to the Second Amended Golden Employment Agreement, Ms. Golden was entitled to receive an annual base salary of $500,000 and an annual bonus equal to 3% of the Company’s consolidated income from operations before taxes, exclusive of the Company’s consolidated net investment income (loss), net unrealized gains (losses) on equity securities and net realized gains (losses) on investments, up to a maximum of 1.25 times her base salary. In addition, pursuant to the Second Amended Golden Employment Agreement, Ms. Golden was granted, under the terms of the 2014 Plan, during each of January 2023 and January 2024, a number of shares of restricted stock determined by dividing $136,500 by the fair market value of the Company’s Common Stock on the date of grant. In January 2023, Ms. Golden was granted 101,111 shares of restricted stock pursuant to this provision. The 2023 grant vested with respect to one-half of the award on the first anniversary of the grant date and one-half of the award on December 31, 2024, based on the continued provision of services through such dates. In January 2024, Ms. Golden was granted 64,085 shares of restricted stock pursuant to this provision. The 2024 grant vested on January 2, 2025, based on the continued provision of services through such date. Further, pursuant to the Second Amended Golden Employment Agreement, Ms. Golden would be entitled to receive, under certain circumstances, a payment equal to 1.5 times her then annual base salary and her accrued bonus in the event of the termination of her employment within 18 months following a change of control of the Company.</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Employment Agreement effective as of January 1, 2025</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April 15, 2024, the Company and Ms. Golden entered into a third amended and restated employment agreement (the “Third Amended Golden Employment Agreement”). The Third Amended Golden Employment Agreement was effective as of January 1, 2025 and extends the expiration date of the Second Amended Golden Employment Agreement from December 31, 2024 to December 31, 2026. Pursuant to the Third Amended Golden Employment Agreement, Ms. Golden is entitled to receive an annual base salary of $550,000 (increased from $500,000 previously in effect) and an annual bonus equal to 3% of the Company’s consolidated income from operations before taxes, exclusive of the Company’s consolidated</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net investment income (loss), net unrealized gains (losses) on equity securities and net realized gains (losses) on investments, up to a maximum of 1.25 times her base annual salary (the same as previously in effect). Pursuant to the Third Amended Golden Employment Agreement (and as was provided for in the Second Amended Golden Employment Agreement), in the event that Ms. Golden’s employment is terminated by the Company without cause or she resigns for good reason (each as defined in the Third Amended Golden Employment Agreement), Ms. Golden would be entitled to receive her base salary and the 3% bonus for the remainder of the term. Ms. Golden would be entitled, under certain circumstances, to a payment equal to 1.5 times her then annual salary and her accrued bonus in the event of the termination of her employment following a change of control of the Company (also as is provided for in the Second Amended Golden Employment Agreement). Pursuant to the Third Amended Golden Employment Agreement, Ms. Golden received during January 2025, and will be entitled to receive during January 2026, under certain circumstances, a grant of 40,000 shares of restricted stock. The 2025 grant will become vested with respect to one-half of the award on the first anniversary of the grant date and one-half on December 31, 2026. The 2026 grant will become vested on the first anniversary of the grant date. In the event that the Company is precluded from making a grant to Ms. Golden in 2026, she would instead be entitled to a cash bonus of $136,500 for such year.</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 Employee Benefit Plans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Bonus Plans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Employee Bonus Plan</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For the three months ended March 31, 2025, the Company accrued approximately $123,932 ("Cash Payments") related to an employee bonus plan (the "Bonus Plan"), of which $28,257 is allocated and recorded in loss and LAE, and $95,676 is recorded in other underwriting expenses on the accompanying condensed consolidated statements of income and comprehensive income. In addition to the Cash Payments, the Bonus Plan also calls for a restricted stock award to the Company's senior leadership team ("SLT") in an amount up to their Cash Payments if certain performance metrics have been met. The performance metrics for the three months ended March 31, 2025 were not met, and, accordingly, no amount has been accrued for such period for the SLT bonus. For the three months ended March 31, 2024, the Company did not accrue for, or pay, bonuses related to the Bonus Plan.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Executive Bonus Plan</w:t>
      </w:r>
    </w:p>
    <w:p>
      <w:pPr>
        <w:spacing w:after="0" w:line="241"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For the three months ended March 31, 2025, the Company accrued approximately $26,000 for a bonus pursuant to the Third Amended Golden Employment Agreement, of which $23,000 is recorded in other underwriting expenses, and $3,000 is recorded in other operating expenses on the accompanying condensed consolidated statements of income and comprehensive income. For the three months ended March 31, 2024, the Company did not accrue for, or pay, bonuses related to the Second Amended Golden Employment Agreement.</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401(k) Plan</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maintains a salary reduction plan under Section 401(k) of the Internal Revenue Code (the “401(k) Plan”) for its qualified employees. The Company matches 100% of each participant’s contribution up to 4% of the participant’s eligible contribution. The Company incurred approximately $113,000 and $72,000, respectively, of expense for the three months ended March 31, 2025 and 2024, related to the 401(k) Plan, which is recorded in other underwriting expenses on the accompanying condensed consolidated statements of income and comprehensive income.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 Segment Information</w:t>
      </w:r>
    </w:p>
    <w:p>
      <w:pPr>
        <w:spacing w:after="0" w:line="6"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8"/>
          <w:szCs w:val="18"/>
          <w:color w:val="auto"/>
        </w:rPr>
        <w:t>The Company reports results of operations for its reportable segments consistent with the manner in which its chief operating decision maker ("CODM") reviews the business to assess performance and allocate resources. The Company identifies its CODM to be its President and Chief Executive Officer.</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evaluates the results of its single reportable segment as follows:</w:t>
      </w:r>
    </w:p>
    <w:p>
      <w:pPr>
        <w:spacing w:after="0" w:line="225" w:lineRule="exact"/>
        <w:rPr>
          <w:sz w:val="20"/>
          <w:szCs w:val="20"/>
          <w:color w:val="auto"/>
        </w:rPr>
      </w:pPr>
    </w:p>
    <w:p>
      <w:pPr>
        <w:ind w:left="660"/>
        <w:spacing w:after="0" w:line="250" w:lineRule="auto"/>
        <w:rPr>
          <w:sz w:val="20"/>
          <w:szCs w:val="20"/>
          <w:color w:val="auto"/>
        </w:rPr>
      </w:pPr>
      <w:r>
        <w:rPr>
          <w:rFonts w:ascii="Times New Roman" w:cs="Times New Roman" w:eastAsia="Times New Roman" w:hAnsi="Times New Roman"/>
          <w:sz w:val="18"/>
          <w:szCs w:val="18"/>
          <w:color w:val="auto"/>
        </w:rPr>
        <w:t>Insurance operations are evaluated on underwriting results (net premiums earned, ceding commission earned, other income, loss and loss adjustment expenses, commission expense, and other underwriting expenses), equating to the components of the net combined ratio.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3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Investments from the insurance operations are primarily evaluated on net investment income and its return on equity contribution.</w:t>
      </w:r>
    </w:p>
    <w:p>
      <w:pPr>
        <w:spacing w:after="0" w:line="225" w:lineRule="exact"/>
        <w:rPr>
          <w:sz w:val="20"/>
          <w:szCs w:val="20"/>
          <w:color w:val="auto"/>
        </w:rPr>
      </w:pPr>
    </w:p>
    <w:p>
      <w:pPr>
        <w:jc w:val="both"/>
        <w:ind w:left="660" w:right="20"/>
        <w:spacing w:after="0" w:line="242" w:lineRule="auto"/>
        <w:rPr>
          <w:sz w:val="20"/>
          <w:szCs w:val="20"/>
          <w:color w:val="auto"/>
        </w:rPr>
      </w:pPr>
      <w:r>
        <w:rPr>
          <w:rFonts w:ascii="Times New Roman" w:cs="Times New Roman" w:eastAsia="Times New Roman" w:hAnsi="Times New Roman"/>
          <w:sz w:val="18"/>
          <w:szCs w:val="18"/>
          <w:color w:val="auto"/>
        </w:rPr>
        <w:t>Net (losses) gains on investments, gain on sale of real estate, other operating expenses are corporate expenses, depreciation and amortization, interest expense, and income tax, which are broken out below the insurance operations components of the net combined ratio to return to the consolidated net income.</w:t>
      </w:r>
    </w:p>
    <w:p>
      <w:pPr>
        <w:spacing w:after="0" w:line="197"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The Company's CODM uses these measures of profit or loss predominantly in the annual budget and forecasting process, considering budget-to-actual variances throughout the year. The CODM also uses these profit measures for evaluating (i) financial performance, (ii) pricing in the Company's insurance operations, and (iii) employee compensation.</w:t>
      </w:r>
    </w:p>
    <w:p>
      <w:pPr>
        <w:spacing w:after="0" w:line="197"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The Company does not allocate items not included in the net combined ratio. Such items include net (losses) gains on investments, gain on sale of real estate, depreciation and amortization, interest expense, corporate expenses included in other operating expenses, and assets to these segments. The Company does not allocate income taxes to its segments. The Company does not manage those segments on after-tax results.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reconciles the revenue and expense components of the net combined ratio to consolidated net income for the periods presented.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left="772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20" w:lineRule="exact"/>
        <w:rPr>
          <w:sz w:val="20"/>
          <w:szCs w:val="20"/>
          <w:color w:val="auto"/>
        </w:rPr>
      </w:pPr>
    </w:p>
    <w:p>
      <w:pPr>
        <w:jc w:val="center"/>
        <w:ind w:left="772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4916805</wp:posOffset>
            </wp:positionH>
            <wp:positionV relativeFrom="paragraph">
              <wp:posOffset>21590</wp:posOffset>
            </wp:positionV>
            <wp:extent cx="221996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219960" cy="8255"/>
                    </a:xfrm>
                    <a:prstGeom prst="rect">
                      <a:avLst/>
                    </a:prstGeom>
                    <a:noFill/>
                  </pic:spPr>
                </pic:pic>
              </a:graphicData>
            </a:graphic>
          </wp:anchor>
        </w:drawing>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74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57"/>
        </w:trPr>
        <w:tc>
          <w:tcPr>
            <w:tcW w:w="77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20" w:type="dxa"/>
            <w:vAlign w:val="bottom"/>
          </w:tcPr>
          <w:p>
            <w:pPr>
              <w:spacing w:after="0"/>
              <w:rPr>
                <w:sz w:val="22"/>
                <w:szCs w:val="22"/>
                <w:color w:val="auto"/>
              </w:rPr>
            </w:pPr>
          </w:p>
        </w:tc>
      </w:tr>
      <w:tr>
        <w:trPr>
          <w:trHeight w:val="257"/>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 components of net combined ratio</w:t>
            </w:r>
          </w:p>
        </w:tc>
        <w:tc>
          <w:tcPr>
            <w:tcW w:w="40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r>
      <w:tr>
        <w:trPr>
          <w:trHeight w:val="250"/>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premiums earned</w:t>
            </w: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43,523,063</w:t>
            </w:r>
          </w:p>
        </w:tc>
        <w:tc>
          <w:tcPr>
            <w:tcW w:w="100" w:type="dxa"/>
            <w:vAlign w:val="bottom"/>
          </w:tcPr>
          <w:p>
            <w:pPr>
              <w:spacing w:after="0"/>
              <w:rPr>
                <w:sz w:val="21"/>
                <w:szCs w:val="21"/>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28,819,902</w:t>
            </w:r>
          </w:p>
        </w:tc>
      </w:tr>
      <w:tr>
        <w:trPr>
          <w:trHeight w:val="263"/>
        </w:trPr>
        <w:tc>
          <w:tcPr>
            <w:tcW w:w="7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Ceding commission revenue</w:t>
            </w:r>
          </w:p>
        </w:tc>
        <w:tc>
          <w:tcPr>
            <w:tcW w:w="40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2,958,691</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4,567,111</w:t>
            </w:r>
          </w:p>
        </w:tc>
      </w:tr>
      <w:tr>
        <w:trPr>
          <w:trHeight w:val="250"/>
        </w:trPr>
        <w:tc>
          <w:tcPr>
            <w:tcW w:w="77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 income</w:t>
            </w:r>
          </w:p>
        </w:tc>
        <w:tc>
          <w:tcPr>
            <w:tcW w:w="40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139,954</w:t>
            </w:r>
          </w:p>
        </w:tc>
        <w:tc>
          <w:tcPr>
            <w:tcW w:w="10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148,167</w:t>
            </w:r>
          </w:p>
        </w:tc>
      </w:tr>
      <w:tr>
        <w:trPr>
          <w:trHeight w:val="250"/>
        </w:trPr>
        <w:tc>
          <w:tcPr>
            <w:tcW w:w="77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revenue components of net combined ratio</w:t>
            </w:r>
          </w:p>
        </w:tc>
        <w:tc>
          <w:tcPr>
            <w:tcW w:w="40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46,621,708</w:t>
            </w:r>
          </w:p>
        </w:tc>
        <w:tc>
          <w:tcPr>
            <w:tcW w:w="10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33,535,180</w:t>
            </w:r>
          </w:p>
        </w:tc>
      </w:tr>
      <w:tr>
        <w:trPr>
          <w:trHeight w:val="257"/>
        </w:trPr>
        <w:tc>
          <w:tcPr>
            <w:tcW w:w="77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20" w:type="dxa"/>
            <w:vAlign w:val="bottom"/>
          </w:tcPr>
          <w:p>
            <w:pPr>
              <w:spacing w:after="0"/>
              <w:rPr>
                <w:sz w:val="22"/>
                <w:szCs w:val="22"/>
                <w:color w:val="auto"/>
              </w:rPr>
            </w:pPr>
          </w:p>
        </w:tc>
      </w:tr>
      <w:tr>
        <w:trPr>
          <w:trHeight w:val="257"/>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Expense components of net combined ratio</w:t>
            </w:r>
          </w:p>
        </w:tc>
        <w:tc>
          <w:tcPr>
            <w:tcW w:w="40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r>
      <w:tr>
        <w:trPr>
          <w:trHeight w:val="250"/>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Loss and loss adjustment expenses</w:t>
            </w: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27,175,078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17,859,587</w:t>
            </w:r>
          </w:p>
        </w:tc>
      </w:tr>
      <w:tr>
        <w:trPr>
          <w:trHeight w:val="263"/>
        </w:trPr>
        <w:tc>
          <w:tcPr>
            <w:tcW w:w="77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Commission expense</w:t>
            </w:r>
          </w:p>
        </w:tc>
        <w:tc>
          <w:tcPr>
            <w:tcW w:w="40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9,312,880</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7,851,812</w:t>
            </w:r>
          </w:p>
        </w:tc>
      </w:tr>
      <w:tr>
        <w:trPr>
          <w:trHeight w:val="250"/>
        </w:trPr>
        <w:tc>
          <w:tcPr>
            <w:tcW w:w="77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Other underwriting expenses</w:t>
            </w:r>
          </w:p>
        </w:tc>
        <w:tc>
          <w:tcPr>
            <w:tcW w:w="40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7,405,422</w:t>
            </w:r>
          </w:p>
        </w:tc>
        <w:tc>
          <w:tcPr>
            <w:tcW w:w="10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5,880,605</w:t>
            </w:r>
          </w:p>
        </w:tc>
      </w:tr>
      <w:tr>
        <w:trPr>
          <w:trHeight w:val="250"/>
        </w:trPr>
        <w:tc>
          <w:tcPr>
            <w:tcW w:w="77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expense components of net combined ratio</w:t>
            </w:r>
          </w:p>
        </w:tc>
        <w:tc>
          <w:tcPr>
            <w:tcW w:w="40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43,893,380</w:t>
            </w:r>
          </w:p>
        </w:tc>
        <w:tc>
          <w:tcPr>
            <w:tcW w:w="10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31,592,004</w:t>
            </w:r>
          </w:p>
        </w:tc>
      </w:tr>
      <w:tr>
        <w:trPr>
          <w:trHeight w:val="257"/>
        </w:trPr>
        <w:tc>
          <w:tcPr>
            <w:tcW w:w="77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20" w:type="dxa"/>
            <w:vAlign w:val="bottom"/>
          </w:tcPr>
          <w:p>
            <w:pPr>
              <w:spacing w:after="0"/>
              <w:rPr>
                <w:sz w:val="22"/>
                <w:szCs w:val="22"/>
                <w:color w:val="auto"/>
              </w:rPr>
            </w:pPr>
          </w:p>
        </w:tc>
      </w:tr>
      <w:tr>
        <w:trPr>
          <w:trHeight w:val="250"/>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segment net income</w:t>
            </w:r>
          </w:p>
        </w:tc>
        <w:tc>
          <w:tcPr>
            <w:tcW w:w="40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2,728,328</w:t>
            </w:r>
          </w:p>
        </w:tc>
        <w:tc>
          <w:tcPr>
            <w:tcW w:w="10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1,943,176</w:t>
            </w:r>
          </w:p>
        </w:tc>
      </w:tr>
      <w:tr>
        <w:trPr>
          <w:trHeight w:val="257"/>
        </w:trPr>
        <w:tc>
          <w:tcPr>
            <w:tcW w:w="77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20" w:type="dxa"/>
            <w:vAlign w:val="bottom"/>
          </w:tcPr>
          <w:p>
            <w:pPr>
              <w:spacing w:after="0"/>
              <w:rPr>
                <w:sz w:val="22"/>
                <w:szCs w:val="22"/>
                <w:color w:val="auto"/>
              </w:rPr>
            </w:pPr>
          </w:p>
        </w:tc>
      </w:tr>
      <w:tr>
        <w:trPr>
          <w:trHeight w:val="257"/>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Reconciliation of net income components</w:t>
            </w:r>
          </w:p>
        </w:tc>
        <w:tc>
          <w:tcPr>
            <w:tcW w:w="40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r>
      <w:tr>
        <w:trPr>
          <w:trHeight w:val="250"/>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excluded from net combined ratio:</w:t>
            </w:r>
          </w:p>
        </w:tc>
        <w:tc>
          <w:tcPr>
            <w:tcW w:w="4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77"/>
        </w:trPr>
        <w:tc>
          <w:tcPr>
            <w:tcW w:w="774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r>
      <w:tr>
        <w:trPr>
          <w:trHeight w:val="250"/>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Revenue components excluded from net combined ratio</w:t>
            </w:r>
          </w:p>
        </w:tc>
        <w:tc>
          <w:tcPr>
            <w:tcW w:w="4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63"/>
        </w:trPr>
        <w:tc>
          <w:tcPr>
            <w:tcW w:w="7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investment income</w:t>
            </w:r>
          </w:p>
        </w:tc>
        <w:tc>
          <w:tcPr>
            <w:tcW w:w="40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2,048,596</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1,502,860</w:t>
            </w:r>
          </w:p>
        </w:tc>
      </w:tr>
      <w:tr>
        <w:trPr>
          <w:trHeight w:val="250"/>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(losses) gains on investments</w:t>
            </w: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(137,979)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726,391</w:t>
            </w:r>
          </w:p>
        </w:tc>
      </w:tr>
      <w:tr>
        <w:trPr>
          <w:trHeight w:val="263"/>
        </w:trPr>
        <w:tc>
          <w:tcPr>
            <w:tcW w:w="7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Gain on sale of real estate</w:t>
            </w:r>
          </w:p>
        </w:tc>
        <w:tc>
          <w:tcPr>
            <w:tcW w:w="40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1,965,989</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77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 income</w:t>
            </w:r>
          </w:p>
        </w:tc>
        <w:tc>
          <w:tcPr>
            <w:tcW w:w="40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461</w:t>
            </w:r>
          </w:p>
        </w:tc>
        <w:tc>
          <w:tcPr>
            <w:tcW w:w="10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746</w:t>
            </w:r>
          </w:p>
        </w:tc>
      </w:tr>
      <w:tr>
        <w:trPr>
          <w:trHeight w:val="243"/>
        </w:trPr>
        <w:tc>
          <w:tcPr>
            <w:tcW w:w="77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revenue components excluded</w:t>
            </w:r>
          </w:p>
        </w:tc>
        <w:tc>
          <w:tcPr>
            <w:tcW w:w="40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r>
      <w:tr>
        <w:trPr>
          <w:trHeight w:val="250"/>
        </w:trPr>
        <w:tc>
          <w:tcPr>
            <w:tcW w:w="7740" w:type="dxa"/>
            <w:vAlign w:val="bottom"/>
            <w:tcBorders>
              <w:bottom w:val="single" w:sz="8" w:color="CCEEFF"/>
            </w:tcBorders>
          </w:tcPr>
          <w:p>
            <w:pPr>
              <w:ind w:left="380"/>
              <w:spacing w:after="0"/>
              <w:rPr>
                <w:sz w:val="20"/>
                <w:szCs w:val="20"/>
                <w:color w:val="auto"/>
              </w:rPr>
            </w:pPr>
            <w:r>
              <w:rPr>
                <w:rFonts w:ascii="Times New Roman" w:cs="Times New Roman" w:eastAsia="Times New Roman" w:hAnsi="Times New Roman"/>
                <w:sz w:val="18"/>
                <w:szCs w:val="18"/>
                <w:color w:val="auto"/>
              </w:rPr>
              <w:t>from net combined ratio</w:t>
            </w:r>
          </w:p>
        </w:tc>
        <w:tc>
          <w:tcPr>
            <w:tcW w:w="40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3,877,067</w:t>
            </w:r>
          </w:p>
        </w:tc>
        <w:tc>
          <w:tcPr>
            <w:tcW w:w="10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2,229,997</w:t>
            </w:r>
          </w:p>
        </w:tc>
      </w:tr>
      <w:tr>
        <w:trPr>
          <w:trHeight w:val="256"/>
        </w:trPr>
        <w:tc>
          <w:tcPr>
            <w:tcW w:w="774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r>
      <w:tr>
        <w:trPr>
          <w:trHeight w:val="250"/>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Expense components excluded from net combined ratio</w:t>
            </w:r>
          </w:p>
        </w:tc>
        <w:tc>
          <w:tcPr>
            <w:tcW w:w="4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63"/>
        </w:trPr>
        <w:tc>
          <w:tcPr>
            <w:tcW w:w="77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Other operating expenses</w:t>
            </w:r>
          </w:p>
        </w:tc>
        <w:tc>
          <w:tcPr>
            <w:tcW w:w="40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1,035,737</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778,082</w:t>
            </w:r>
          </w:p>
        </w:tc>
      </w:tr>
      <w:tr>
        <w:trPr>
          <w:trHeight w:val="250"/>
        </w:trPr>
        <w:tc>
          <w:tcPr>
            <w:tcW w:w="77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623,863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596,513</w:t>
            </w:r>
          </w:p>
        </w:tc>
      </w:tr>
      <w:tr>
        <w:trPr>
          <w:trHeight w:val="263"/>
        </w:trPr>
        <w:tc>
          <w:tcPr>
            <w:tcW w:w="77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Interest expense</w:t>
            </w:r>
          </w:p>
        </w:tc>
        <w:tc>
          <w:tcPr>
            <w:tcW w:w="40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227,454</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993,875</w:t>
            </w:r>
          </w:p>
        </w:tc>
      </w:tr>
      <w:tr>
        <w:trPr>
          <w:trHeight w:val="250"/>
        </w:trPr>
        <w:tc>
          <w:tcPr>
            <w:tcW w:w="77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Income tax</w:t>
            </w:r>
          </w:p>
        </w:tc>
        <w:tc>
          <w:tcPr>
            <w:tcW w:w="40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835,681</w:t>
            </w:r>
          </w:p>
        </w:tc>
        <w:tc>
          <w:tcPr>
            <w:tcW w:w="10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378,024</w:t>
            </w:r>
          </w:p>
        </w:tc>
      </w:tr>
      <w:tr>
        <w:trPr>
          <w:trHeight w:val="243"/>
        </w:trPr>
        <w:tc>
          <w:tcPr>
            <w:tcW w:w="77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expense components excluded</w:t>
            </w:r>
          </w:p>
        </w:tc>
        <w:tc>
          <w:tcPr>
            <w:tcW w:w="40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r>
      <w:tr>
        <w:trPr>
          <w:trHeight w:val="250"/>
        </w:trPr>
        <w:tc>
          <w:tcPr>
            <w:tcW w:w="77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from net combined ratio</w:t>
            </w:r>
          </w:p>
        </w:tc>
        <w:tc>
          <w:tcPr>
            <w:tcW w:w="40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2,722,735</w:t>
            </w:r>
          </w:p>
        </w:tc>
        <w:tc>
          <w:tcPr>
            <w:tcW w:w="10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2,746,494</w:t>
            </w:r>
          </w:p>
        </w:tc>
      </w:tr>
      <w:tr>
        <w:trPr>
          <w:trHeight w:val="256"/>
        </w:trPr>
        <w:tc>
          <w:tcPr>
            <w:tcW w:w="774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r>
      <w:tr>
        <w:trPr>
          <w:trHeight w:val="250"/>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net income (loss) components</w:t>
            </w:r>
          </w:p>
        </w:tc>
        <w:tc>
          <w:tcPr>
            <w:tcW w:w="4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57"/>
        </w:trPr>
        <w:tc>
          <w:tcPr>
            <w:tcW w:w="7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excluded from net combined ratio:</w:t>
            </w:r>
          </w:p>
        </w:tc>
        <w:tc>
          <w:tcPr>
            <w:tcW w:w="40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1,154,332</w:t>
            </w:r>
          </w:p>
        </w:tc>
        <w:tc>
          <w:tcPr>
            <w:tcW w:w="100" w:type="dxa"/>
            <w:vAlign w:val="bottom"/>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(516,497)</w:t>
            </w:r>
          </w:p>
        </w:tc>
      </w:tr>
      <w:tr>
        <w:trPr>
          <w:trHeight w:val="256"/>
        </w:trPr>
        <w:tc>
          <w:tcPr>
            <w:tcW w:w="77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20" w:type="dxa"/>
            <w:vAlign w:val="bottom"/>
          </w:tcPr>
          <w:p>
            <w:pPr>
              <w:spacing w:after="0"/>
              <w:rPr>
                <w:sz w:val="22"/>
                <w:szCs w:val="22"/>
                <w:color w:val="auto"/>
              </w:rPr>
            </w:pPr>
          </w:p>
        </w:tc>
      </w:tr>
      <w:tr>
        <w:trPr>
          <w:trHeight w:val="275"/>
        </w:trPr>
        <w:tc>
          <w:tcPr>
            <w:tcW w:w="7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Consolidated net income</w:t>
            </w: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3,882,660</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1,426,679</w:t>
            </w:r>
          </w:p>
        </w:tc>
      </w:tr>
      <w:tr>
        <w:trPr>
          <w:trHeight w:val="20"/>
        </w:trPr>
        <w:tc>
          <w:tcPr>
            <w:tcW w:w="77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45" w:name="page46"/>
    <w:bookmarkEnd w:id="45"/>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the calculation of the net combined ratio and return on equity from net investment income for the periods presented.</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420" w:type="dxa"/>
            <w:vAlign w:val="bottom"/>
          </w:tcPr>
          <w:p>
            <w:pPr>
              <w:spacing w:after="0"/>
              <w:rPr>
                <w:sz w:val="20"/>
                <w:szCs w:val="20"/>
                <w:color w:val="auto"/>
              </w:rPr>
            </w:pPr>
          </w:p>
        </w:tc>
        <w:tc>
          <w:tcPr>
            <w:tcW w:w="3080" w:type="dxa"/>
            <w:vAlign w:val="bottom"/>
            <w:gridSpan w:val="4"/>
          </w:tcPr>
          <w:p>
            <w:pPr>
              <w:jc w:val="center"/>
              <w:ind w:left="53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50"/>
        </w:trPr>
        <w:tc>
          <w:tcPr>
            <w:tcW w:w="7420" w:type="dxa"/>
            <w:vAlign w:val="bottom"/>
            <w:tcBorders>
              <w:bottom w:val="single" w:sz="8" w:color="CCEEFF"/>
            </w:tcBorders>
          </w:tcPr>
          <w:p>
            <w:pPr>
              <w:spacing w:after="0"/>
              <w:rPr>
                <w:sz w:val="21"/>
                <w:szCs w:val="21"/>
                <w:color w:val="auto"/>
              </w:rPr>
            </w:pPr>
          </w:p>
        </w:tc>
        <w:tc>
          <w:tcPr>
            <w:tcW w:w="1180" w:type="dxa"/>
            <w:vAlign w:val="bottom"/>
            <w:tcBorders>
              <w:bottom w:val="single" w:sz="8" w:color="auto"/>
            </w:tcBorders>
          </w:tcPr>
          <w:p>
            <w:pPr>
              <w:spacing w:after="0"/>
              <w:rPr>
                <w:sz w:val="21"/>
                <w:szCs w:val="21"/>
                <w:color w:val="auto"/>
              </w:rPr>
            </w:pPr>
          </w:p>
        </w:tc>
        <w:tc>
          <w:tcPr>
            <w:tcW w:w="1900" w:type="dxa"/>
            <w:vAlign w:val="bottom"/>
            <w:tcBorders>
              <w:bottom w:val="single" w:sz="8" w:color="auto"/>
            </w:tcBorders>
            <w:gridSpan w:val="3"/>
          </w:tcPr>
          <w:p>
            <w:pPr>
              <w:jc w:val="center"/>
              <w:ind w:right="56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64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r>
      <w:tr>
        <w:trPr>
          <w:trHeight w:val="257"/>
        </w:trPr>
        <w:tc>
          <w:tcPr>
            <w:tcW w:w="8600" w:type="dxa"/>
            <w:vAlign w:val="bottom"/>
            <w:gridSpan w:val="2"/>
            <w:shd w:val="clear" w:color="auto" w:fill="CCEEFF"/>
          </w:tcPr>
          <w:p>
            <w:pPr>
              <w:ind w:left="814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9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2024</w:t>
            </w:r>
          </w:p>
        </w:tc>
        <w:tc>
          <w:tcPr>
            <w:tcW w:w="6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r>
      <w:tr>
        <w:trPr>
          <w:trHeight w:val="230"/>
        </w:trPr>
        <w:tc>
          <w:tcPr>
            <w:tcW w:w="74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combined ratio</w:t>
            </w:r>
          </w:p>
        </w:tc>
        <w:tc>
          <w:tcPr>
            <w:tcW w:w="118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63"/>
        </w:trPr>
        <w:tc>
          <w:tcPr>
            <w:tcW w:w="86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loss ratio</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62.4 %</w:t>
            </w:r>
          </w:p>
        </w:tc>
        <w:tc>
          <w:tcPr>
            <w:tcW w:w="10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62.0 %</w:t>
            </w:r>
          </w:p>
        </w:tc>
        <w:tc>
          <w:tcPr>
            <w:tcW w:w="100" w:type="dxa"/>
            <w:vAlign w:val="bottom"/>
            <w:shd w:val="clear" w:color="auto" w:fill="CCEEFF"/>
          </w:tcPr>
          <w:p>
            <w:pPr>
              <w:spacing w:after="0"/>
              <w:rPr>
                <w:sz w:val="22"/>
                <w:szCs w:val="22"/>
                <w:color w:val="auto"/>
              </w:rPr>
            </w:pPr>
          </w:p>
        </w:tc>
      </w:tr>
      <w:tr>
        <w:trPr>
          <w:trHeight w:val="250"/>
        </w:trPr>
        <w:tc>
          <w:tcPr>
            <w:tcW w:w="86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Net underwriting expense ratio</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31.3 %</w:t>
            </w:r>
          </w:p>
        </w:tc>
        <w:tc>
          <w:tcPr>
            <w:tcW w:w="1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31.3 %</w:t>
            </w:r>
          </w:p>
        </w:tc>
        <w:tc>
          <w:tcPr>
            <w:tcW w:w="100" w:type="dxa"/>
            <w:vAlign w:val="bottom"/>
          </w:tcPr>
          <w:p>
            <w:pPr>
              <w:spacing w:after="0"/>
              <w:rPr>
                <w:sz w:val="21"/>
                <w:szCs w:val="21"/>
                <w:color w:val="auto"/>
              </w:rPr>
            </w:pPr>
          </w:p>
        </w:tc>
      </w:tr>
      <w:tr>
        <w:trPr>
          <w:trHeight w:val="275"/>
        </w:trPr>
        <w:tc>
          <w:tcPr>
            <w:tcW w:w="742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combined ratio</w:t>
            </w:r>
          </w:p>
        </w:tc>
        <w:tc>
          <w:tcPr>
            <w:tcW w:w="1180" w:type="dxa"/>
            <w:vAlign w:val="bottom"/>
            <w:tcBorders>
              <w:top w:val="single" w:sz="8" w:color="auto"/>
              <w:bottom w:val="single" w:sz="8" w:color="auto"/>
            </w:tcBorders>
            <w:shd w:val="clear" w:color="auto" w:fill="CCEEFF"/>
          </w:tcPr>
          <w:p>
            <w:pPr>
              <w:spacing w:after="0"/>
              <w:rPr>
                <w:sz w:val="23"/>
                <w:szCs w:val="23"/>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93.7 %</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1180" w:type="dxa"/>
            <w:vAlign w:val="bottom"/>
            <w:tcBorders>
              <w:top w:val="single" w:sz="8" w:color="auto"/>
              <w:bottom w:val="single" w:sz="8" w:color="auto"/>
            </w:tcBorders>
            <w:shd w:val="clear" w:color="auto" w:fill="CCEEFF"/>
          </w:tcPr>
          <w:p>
            <w:pPr>
              <w:spacing w:after="0"/>
              <w:rPr>
                <w:sz w:val="23"/>
                <w:szCs w:val="23"/>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93.3 %</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r>
      <w:tr>
        <w:trPr>
          <w:trHeight w:val="20"/>
        </w:trPr>
        <w:tc>
          <w:tcPr>
            <w:tcW w:w="74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7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Reconciliation of net underwriting expense ratio:</w:t>
            </w:r>
          </w:p>
        </w:tc>
        <w:tc>
          <w:tcPr>
            <w:tcW w:w="400" w:type="dxa"/>
            <w:vAlign w:val="bottom"/>
            <w:shd w:val="clear" w:color="auto" w:fill="CCEEFF"/>
          </w:tcPr>
          <w:p>
            <w:pPr>
              <w:spacing w:after="0"/>
              <w:rPr>
                <w:sz w:val="22"/>
                <w:szCs w:val="22"/>
                <w:color w:val="auto"/>
              </w:rPr>
            </w:pPr>
          </w:p>
        </w:tc>
        <w:tc>
          <w:tcPr>
            <w:tcW w:w="14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4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r>
      <w:tr>
        <w:trPr>
          <w:trHeight w:val="250"/>
        </w:trPr>
        <w:tc>
          <w:tcPr>
            <w:tcW w:w="7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Commission expense and other</w:t>
            </w:r>
          </w:p>
        </w:tc>
        <w:tc>
          <w:tcPr>
            <w:tcW w:w="4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63"/>
        </w:trPr>
        <w:tc>
          <w:tcPr>
            <w:tcW w:w="74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underwriting expenses</w:t>
            </w: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16,718,302</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13,732,417</w:t>
            </w:r>
          </w:p>
        </w:tc>
        <w:tc>
          <w:tcPr>
            <w:tcW w:w="100" w:type="dxa"/>
            <w:vAlign w:val="bottom"/>
          </w:tcPr>
          <w:p>
            <w:pPr>
              <w:spacing w:after="0"/>
              <w:rPr>
                <w:sz w:val="22"/>
                <w:szCs w:val="22"/>
                <w:color w:val="auto"/>
              </w:rPr>
            </w:pPr>
          </w:p>
        </w:tc>
      </w:tr>
      <w:tr>
        <w:trPr>
          <w:trHeight w:val="250"/>
        </w:trPr>
        <w:tc>
          <w:tcPr>
            <w:tcW w:w="74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Less: Ceding commission revenue</w:t>
            </w:r>
          </w:p>
        </w:tc>
        <w:tc>
          <w:tcPr>
            <w:tcW w:w="400" w:type="dxa"/>
            <w:vAlign w:val="bottom"/>
          </w:tcPr>
          <w:p>
            <w:pPr>
              <w:spacing w:after="0"/>
              <w:rPr>
                <w:sz w:val="21"/>
                <w:szCs w:val="21"/>
                <w:color w:val="auto"/>
              </w:rPr>
            </w:pPr>
          </w:p>
        </w:tc>
        <w:tc>
          <w:tcPr>
            <w:tcW w:w="14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(2,958,691)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4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(4,567,111)</w:t>
            </w:r>
          </w:p>
        </w:tc>
        <w:tc>
          <w:tcPr>
            <w:tcW w:w="100" w:type="dxa"/>
            <w:vAlign w:val="bottom"/>
          </w:tcPr>
          <w:p>
            <w:pPr>
              <w:spacing w:after="0"/>
              <w:rPr>
                <w:sz w:val="21"/>
                <w:szCs w:val="21"/>
                <w:color w:val="auto"/>
              </w:rPr>
            </w:pPr>
          </w:p>
        </w:tc>
      </w:tr>
      <w:tr>
        <w:trPr>
          <w:trHeight w:val="263"/>
        </w:trPr>
        <w:tc>
          <w:tcPr>
            <w:tcW w:w="74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Less: Other income</w:t>
            </w:r>
          </w:p>
        </w:tc>
        <w:tc>
          <w:tcPr>
            <w:tcW w:w="400" w:type="dxa"/>
            <w:vAlign w:val="bottom"/>
            <w:tcBorders>
              <w:bottom w:val="single" w:sz="8" w:color="auto"/>
            </w:tcBorders>
            <w:shd w:val="clear" w:color="auto" w:fill="CCEEFF"/>
          </w:tcPr>
          <w:p>
            <w:pPr>
              <w:spacing w:after="0"/>
              <w:rPr>
                <w:sz w:val="22"/>
                <w:szCs w:val="22"/>
                <w:color w:val="auto"/>
              </w:rPr>
            </w:pPr>
          </w:p>
        </w:tc>
        <w:tc>
          <w:tcPr>
            <w:tcW w:w="140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(139,954)</w:t>
            </w:r>
          </w:p>
        </w:tc>
        <w:tc>
          <w:tcPr>
            <w:tcW w:w="100" w:type="dxa"/>
            <w:vAlign w:val="bottom"/>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spacing w:after="0"/>
              <w:rPr>
                <w:sz w:val="22"/>
                <w:szCs w:val="22"/>
                <w:color w:val="auto"/>
              </w:rPr>
            </w:pPr>
          </w:p>
        </w:tc>
        <w:tc>
          <w:tcPr>
            <w:tcW w:w="142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(148,167)</w:t>
            </w:r>
          </w:p>
        </w:tc>
        <w:tc>
          <w:tcPr>
            <w:tcW w:w="100" w:type="dxa"/>
            <w:vAlign w:val="bottom"/>
          </w:tcPr>
          <w:p>
            <w:pPr>
              <w:spacing w:after="0"/>
              <w:rPr>
                <w:sz w:val="22"/>
                <w:szCs w:val="22"/>
                <w:color w:val="auto"/>
              </w:rPr>
            </w:pPr>
          </w:p>
        </w:tc>
      </w:tr>
      <w:tr>
        <w:trPr>
          <w:trHeight w:val="230"/>
        </w:trPr>
        <w:tc>
          <w:tcPr>
            <w:tcW w:w="7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commission expense and other</w:t>
            </w:r>
          </w:p>
        </w:tc>
        <w:tc>
          <w:tcPr>
            <w:tcW w:w="4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82"/>
        </w:trPr>
        <w:tc>
          <w:tcPr>
            <w:tcW w:w="742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underwriting expenses</w:t>
            </w: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13,619,657</w:t>
            </w:r>
          </w:p>
        </w:tc>
        <w:tc>
          <w:tcPr>
            <w:tcW w:w="10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9,017,139</w:t>
            </w:r>
          </w:p>
        </w:tc>
        <w:tc>
          <w:tcPr>
            <w:tcW w:w="100" w:type="dxa"/>
            <w:vAlign w:val="bottom"/>
          </w:tcPr>
          <w:p>
            <w:pPr>
              <w:spacing w:after="0"/>
              <w:rPr>
                <w:sz w:val="24"/>
                <w:szCs w:val="24"/>
                <w:color w:val="auto"/>
              </w:rPr>
            </w:pPr>
          </w:p>
        </w:tc>
      </w:tr>
      <w:tr>
        <w:trPr>
          <w:trHeight w:val="20"/>
        </w:trPr>
        <w:tc>
          <w:tcPr>
            <w:tcW w:w="74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74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75"/>
        </w:trPr>
        <w:tc>
          <w:tcPr>
            <w:tcW w:w="74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earned premium</w:t>
            </w: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43,523,063</w:t>
            </w:r>
          </w:p>
        </w:tc>
        <w:tc>
          <w:tcPr>
            <w:tcW w:w="100" w:type="dxa"/>
            <w:vAlign w:val="bottom"/>
            <w:tcBorders>
              <w:bottom w:val="single" w:sz="8" w:color="auto"/>
            </w:tcBorders>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28,819,902</w:t>
            </w:r>
          </w:p>
        </w:tc>
        <w:tc>
          <w:tcPr>
            <w:tcW w:w="100" w:type="dxa"/>
            <w:vAlign w:val="bottom"/>
          </w:tcPr>
          <w:p>
            <w:pPr>
              <w:spacing w:after="0"/>
              <w:rPr>
                <w:sz w:val="23"/>
                <w:szCs w:val="23"/>
                <w:color w:val="auto"/>
              </w:rPr>
            </w:pPr>
          </w:p>
        </w:tc>
      </w:tr>
      <w:tr>
        <w:trPr>
          <w:trHeight w:val="20"/>
        </w:trPr>
        <w:tc>
          <w:tcPr>
            <w:tcW w:w="74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74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57"/>
        </w:trPr>
        <w:tc>
          <w:tcPr>
            <w:tcW w:w="7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Underwriting Expense Ratio</w:t>
            </w:r>
          </w:p>
        </w:tc>
        <w:tc>
          <w:tcPr>
            <w:tcW w:w="400" w:type="dxa"/>
            <w:vAlign w:val="bottom"/>
            <w:shd w:val="clear" w:color="auto" w:fill="CCEEFF"/>
          </w:tcPr>
          <w:p>
            <w:pPr>
              <w:spacing w:after="0"/>
              <w:rPr>
                <w:sz w:val="22"/>
                <w:szCs w:val="22"/>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31.3 %</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31.3 %</w:t>
            </w:r>
          </w:p>
        </w:tc>
        <w:tc>
          <w:tcPr>
            <w:tcW w:w="100" w:type="dxa"/>
            <w:vAlign w:val="bottom"/>
          </w:tcPr>
          <w:p>
            <w:pPr>
              <w:spacing w:after="0"/>
              <w:rPr>
                <w:sz w:val="22"/>
                <w:szCs w:val="22"/>
                <w:color w:val="auto"/>
              </w:rPr>
            </w:pPr>
          </w:p>
        </w:tc>
      </w:tr>
      <w:tr>
        <w:trPr>
          <w:trHeight w:val="270"/>
        </w:trPr>
        <w:tc>
          <w:tcPr>
            <w:tcW w:w="74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57"/>
        </w:trPr>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Return on equity on net investment income</w:t>
            </w:r>
          </w:p>
        </w:tc>
        <w:tc>
          <w:tcPr>
            <w:tcW w:w="400" w:type="dxa"/>
            <w:vAlign w:val="bottom"/>
            <w:shd w:val="clear" w:color="auto" w:fill="CCEEFF"/>
          </w:tcPr>
          <w:p>
            <w:pPr>
              <w:spacing w:after="0"/>
              <w:rPr>
                <w:sz w:val="22"/>
                <w:szCs w:val="22"/>
                <w:color w:val="auto"/>
              </w:rPr>
            </w:pPr>
          </w:p>
        </w:tc>
        <w:tc>
          <w:tcPr>
            <w:tcW w:w="14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420" w:type="dxa"/>
            <w:vAlign w:val="bottom"/>
            <w:shd w:val="clear" w:color="auto" w:fill="CCEEFF"/>
          </w:tcPr>
          <w:p>
            <w:pPr>
              <w:spacing w:after="0"/>
              <w:rPr>
                <w:sz w:val="22"/>
                <w:szCs w:val="22"/>
                <w:color w:val="auto"/>
              </w:rPr>
            </w:pPr>
          </w:p>
        </w:tc>
        <w:tc>
          <w:tcPr>
            <w:tcW w:w="100" w:type="dxa"/>
            <w:vAlign w:val="bottom"/>
          </w:tcPr>
          <w:p>
            <w:pPr>
              <w:spacing w:after="0"/>
              <w:rPr>
                <w:sz w:val="22"/>
                <w:szCs w:val="22"/>
                <w:color w:val="auto"/>
              </w:rPr>
            </w:pPr>
          </w:p>
        </w:tc>
      </w:tr>
      <w:tr>
        <w:trPr>
          <w:trHeight w:val="250"/>
        </w:trPr>
        <w:tc>
          <w:tcPr>
            <w:tcW w:w="7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Stockholders' equity beginning of period</w:t>
            </w: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66,708,451</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34,504,139</w:t>
            </w:r>
          </w:p>
        </w:tc>
        <w:tc>
          <w:tcPr>
            <w:tcW w:w="100" w:type="dxa"/>
            <w:vAlign w:val="bottom"/>
          </w:tcPr>
          <w:p>
            <w:pPr>
              <w:spacing w:after="0"/>
              <w:rPr>
                <w:sz w:val="21"/>
                <w:szCs w:val="21"/>
                <w:color w:val="auto"/>
              </w:rPr>
            </w:pPr>
          </w:p>
        </w:tc>
      </w:tr>
      <w:tr>
        <w:trPr>
          <w:trHeight w:val="263"/>
        </w:trPr>
        <w:tc>
          <w:tcPr>
            <w:tcW w:w="7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Stockholders' equity end of period</w:t>
            </w: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82,209,963</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35,749,807</w:t>
            </w:r>
          </w:p>
        </w:tc>
        <w:tc>
          <w:tcPr>
            <w:tcW w:w="100" w:type="dxa"/>
            <w:vAlign w:val="bottom"/>
          </w:tcPr>
          <w:p>
            <w:pPr>
              <w:spacing w:after="0"/>
              <w:rPr>
                <w:sz w:val="22"/>
                <w:szCs w:val="22"/>
                <w:color w:val="auto"/>
              </w:rPr>
            </w:pPr>
          </w:p>
        </w:tc>
      </w:tr>
      <w:tr>
        <w:trPr>
          <w:trHeight w:val="250"/>
        </w:trPr>
        <w:tc>
          <w:tcPr>
            <w:tcW w:w="7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Average stockholders' equity</w:t>
            </w: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74,459,207</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35,126,973</w:t>
            </w:r>
          </w:p>
        </w:tc>
        <w:tc>
          <w:tcPr>
            <w:tcW w:w="100" w:type="dxa"/>
            <w:vAlign w:val="bottom"/>
          </w:tcPr>
          <w:p>
            <w:pPr>
              <w:spacing w:after="0"/>
              <w:rPr>
                <w:sz w:val="21"/>
                <w:szCs w:val="21"/>
                <w:color w:val="auto"/>
              </w:rPr>
            </w:pPr>
          </w:p>
        </w:tc>
      </w:tr>
      <w:tr>
        <w:trPr>
          <w:trHeight w:val="263"/>
        </w:trPr>
        <w:tc>
          <w:tcPr>
            <w:tcW w:w="7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investment income</w:t>
            </w: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2,048,596</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1,502,860</w:t>
            </w:r>
          </w:p>
        </w:tc>
        <w:tc>
          <w:tcPr>
            <w:tcW w:w="100" w:type="dxa"/>
            <w:vAlign w:val="bottom"/>
          </w:tcPr>
          <w:p>
            <w:pPr>
              <w:spacing w:after="0"/>
              <w:rPr>
                <w:sz w:val="22"/>
                <w:szCs w:val="22"/>
                <w:color w:val="auto"/>
              </w:rPr>
            </w:pPr>
          </w:p>
        </w:tc>
      </w:tr>
      <w:tr>
        <w:trPr>
          <w:trHeight w:val="250"/>
        </w:trPr>
        <w:tc>
          <w:tcPr>
            <w:tcW w:w="7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Return on equity on net investment income</w:t>
            </w:r>
          </w:p>
        </w:tc>
        <w:tc>
          <w:tcPr>
            <w:tcW w:w="4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2.8 %</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4.3 %</w:t>
            </w:r>
          </w:p>
        </w:tc>
        <w:tc>
          <w:tcPr>
            <w:tcW w:w="100" w:type="dxa"/>
            <w:vAlign w:val="bottom"/>
          </w:tcPr>
          <w:p>
            <w:pPr>
              <w:spacing w:after="0"/>
              <w:rPr>
                <w:sz w:val="21"/>
                <w:szCs w:val="21"/>
                <w:color w:val="auto"/>
              </w:rPr>
            </w:pPr>
          </w:p>
        </w:tc>
      </w:tr>
      <w:tr>
        <w:trPr>
          <w:trHeight w:val="263"/>
        </w:trPr>
        <w:tc>
          <w:tcPr>
            <w:tcW w:w="7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Return on equity on net investment income - annualized</w:t>
            </w:r>
          </w:p>
        </w:tc>
        <w:tc>
          <w:tcPr>
            <w:tcW w:w="400" w:type="dxa"/>
            <w:vAlign w:val="bottom"/>
            <w:shd w:val="clear" w:color="auto" w:fill="CCEEFF"/>
          </w:tcPr>
          <w:p>
            <w:pPr>
              <w:spacing w:after="0"/>
              <w:rPr>
                <w:sz w:val="22"/>
                <w:szCs w:val="22"/>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11.2 %</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17.2 %</w:t>
            </w:r>
          </w:p>
        </w:tc>
        <w:tc>
          <w:tcPr>
            <w:tcW w:w="100" w:type="dxa"/>
            <w:vAlign w:val="bottom"/>
          </w:tcPr>
          <w:p>
            <w:pPr>
              <w:spacing w:after="0"/>
              <w:rPr>
                <w:sz w:val="22"/>
                <w:szCs w:val="22"/>
                <w:color w:val="auto"/>
              </w:rPr>
            </w:pPr>
          </w:p>
        </w:tc>
      </w:tr>
      <w:tr>
        <w:trPr>
          <w:trHeight w:val="243"/>
        </w:trPr>
        <w:tc>
          <w:tcPr>
            <w:tcW w:w="7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assets</w:t>
            </w: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385,439,240</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318,292,723</w:t>
            </w:r>
          </w:p>
        </w:tc>
        <w:tc>
          <w:tcPr>
            <w:tcW w:w="100" w:type="dxa"/>
            <w:vAlign w:val="bottom"/>
          </w:tcPr>
          <w:p>
            <w:pPr>
              <w:spacing w:after="0"/>
              <w:rPr>
                <w:sz w:val="21"/>
                <w:szCs w:val="2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 Sale of Real Estate</w:t>
      </w:r>
    </w:p>
    <w:p>
      <w:pPr>
        <w:spacing w:after="0" w:line="22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On February 5, 2025, a subsidiary of the Company entered into a contract of sale with Ulster County, New York (the “County”) for the sale to the County of the Company’s headquarters building in Kingston, New York, along with an adjacent mixed-use property (collectively, the “Property”). The purchase price for the Property was $3,600,000. The closing of the sale was on March 19, 2025.</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 Subsequent Events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has evaluated events that occurred subsequent to March 31, 2025 through the date these condensed consolidated financial statements were issued for matters that required disclosure or adjustment in these condensed consolidated financial statements.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Renewal Rights Agreement</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both"/>
        <w:ind w:firstLine="648"/>
        <w:spacing w:after="0" w:line="232" w:lineRule="auto"/>
        <w:rPr>
          <w:sz w:val="20"/>
          <w:szCs w:val="20"/>
          <w:color w:val="auto"/>
        </w:rPr>
      </w:pPr>
      <w:r>
        <w:rPr>
          <w:rFonts w:ascii="Times New Roman" w:cs="Times New Roman" w:eastAsia="Times New Roman" w:hAnsi="Times New Roman"/>
          <w:sz w:val="18"/>
          <w:szCs w:val="18"/>
          <w:color w:val="auto"/>
        </w:rPr>
        <w:t>On April 14, 2025, KICO announced that it entered into an agreement to offer a replacement policy to selected homeowners policyholders in Downstate New York as one of its competitors pivots focus away from admitted personal lines business (the"Withdrawal Plan"). The Withdrawal Plan, which includes this transaction, has been approved by the New York Department of Financial Services. This transaction encompasses approximately $70 million in written premium. The Withdrawal Plan will enable KICO to work with new distribution partners to further increase its footprint in Downstate New York by offering an alternative policy to selected homeowners policyholders with effective dates starting in late third quarter of 2025.</w:t>
      </w:r>
    </w:p>
    <w:p>
      <w:pPr>
        <w:spacing w:after="0" w:line="1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There were no other subsequent events identified requiring recognition or disclosure in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2</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MANAGEMENT’S DISCUSSION AND ANALYSIS OF FINANCIAL CONDITION AND RESULTS OF OPERATIONS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offer property and casualty insurance products through our wholly-owned subsidiary, Kingstone Insurance Company (“KICO”). KICO is a New York domiciled carrier writing business through retail and wholesale agents and brokers. KICO is actively writing personal lines and commercial auto insurance in New York, and in 2024 was the 12th largest writer of homeowners insurance in New York. KICO is also licensed in the states of New Jersey, Rhode Island, Massachusetts, Connecticut, Pennsylvania, New Hampshire, and Maine. For the three months ended March 31, 2025 and 2024 respectively, 98.3% and 94.4% of KICO’s direct written premiums came from the New York policies. We refer to our New York business as our “Core” business and the business outside of New York as our “non-Core” business.</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addition, our subsidiary, Cosi Agency, Inc. (“Cosi”), a multi-state licensed general agency, receives commission revenue from KICO for the policies it places with others and pays commissions to these agencies. Cosi retains the profit between the commission revenue received and the commission expense paid (“Net Cosi Revenue”). Commission expense is reduced by Net Cosi Revenue. Cosi-related operating expenses are minimal and are included in other operating expenses.</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derive substantially all of our revenue from KICO, which includes revenues from earned premiums, ceding commissions from quota share reinsurance, net investment income generated from its portfolio, and net realized gains and losses on investment securities. All of KICO’s insurance policies are written for a one year term. Earned premiums represent premiums received from insureds, which are recognized as revenue over the period of time that insurance coverage is provided (i.e., ratably over the one year life of the policy). A significant period of time can elapse from the receipt of insurance premiums to the payment of insurance claims. During this time, KICO invests the premiums, earns investment income and generates net realized and unrealized investment gains and losses on investments. Our holding company earns investment income from its cash holdings.</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expenses include the insurance underwriting expenses of KICO and other operating expenses. Insurance companies incur a significant amount of their total expenses from losses incurred by policyholders, which are referred to as claims. In settling these claims, various loss adjustment expenses (“LAE”) are incurred such as insurance adjusters’ fees and legal expenses. In addition, insurance companies incur policy acquisition costs. Policy acquisition costs include commissions paid to producers, premium taxes, and other expenses related to the underwriting process, including employees’ compensation and benefits.</w:t>
      </w:r>
    </w:p>
    <w:p>
      <w:pPr>
        <w:spacing w:after="0" w:line="183" w:lineRule="exact"/>
        <w:rPr>
          <w:sz w:val="20"/>
          <w:szCs w:val="20"/>
          <w:color w:val="auto"/>
        </w:rPr>
      </w:pPr>
    </w:p>
    <w:p>
      <w:pPr>
        <w:jc w:val="both"/>
        <w:ind w:firstLine="607"/>
        <w:spacing w:after="0" w:line="266" w:lineRule="auto"/>
        <w:rPr>
          <w:sz w:val="20"/>
          <w:szCs w:val="20"/>
          <w:color w:val="auto"/>
        </w:rPr>
      </w:pPr>
      <w:r>
        <w:rPr>
          <w:rFonts w:ascii="Times New Roman" w:cs="Times New Roman" w:eastAsia="Times New Roman" w:hAnsi="Times New Roman"/>
          <w:sz w:val="18"/>
          <w:szCs w:val="18"/>
          <w:color w:val="auto"/>
        </w:rPr>
        <w:t>Other operating expenses include our corporate expenses as a holding company. These corporate expenses include legal and auditing fees, executive employment costs and equity compensation, and other costs directly associated with being a public company.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 Lines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product lines include the following:</w:t>
      </w:r>
    </w:p>
    <w:p>
      <w:pPr>
        <w:spacing w:after="0" w:line="221" w:lineRule="exact"/>
        <w:rPr>
          <w:sz w:val="20"/>
          <w:szCs w:val="20"/>
          <w:color w:val="auto"/>
        </w:rPr>
      </w:pPr>
    </w:p>
    <w:p>
      <w:pPr>
        <w:jc w:val="both"/>
        <w:ind w:right="20" w:firstLine="607"/>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Personal lines</w:t>
      </w:r>
      <w:r>
        <w:rPr>
          <w:rFonts w:ascii="Times New Roman" w:cs="Times New Roman" w:eastAsia="Times New Roman" w:hAnsi="Times New Roman"/>
          <w:sz w:val="18"/>
          <w:szCs w:val="18"/>
          <w:color w:val="auto"/>
        </w:rPr>
        <w:t>: Our largest line of business is personal lines, consisting of homeowners, dwelling fire, cooperative/condominium, renters,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personal umbrella policies.</w:t>
      </w:r>
    </w:p>
    <w:p>
      <w:pPr>
        <w:spacing w:after="0" w:line="155" w:lineRule="exact"/>
        <w:rPr>
          <w:sz w:val="20"/>
          <w:szCs w:val="20"/>
          <w:color w:val="auto"/>
        </w:rPr>
      </w:pPr>
    </w:p>
    <w:p>
      <w:pPr>
        <w:jc w:val="both"/>
        <w:ind w:firstLine="607"/>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Commercial liability: </w:t>
      </w:r>
      <w:r>
        <w:rPr>
          <w:rFonts w:ascii="Times New Roman" w:cs="Times New Roman" w:eastAsia="Times New Roman" w:hAnsi="Times New Roman"/>
          <w:sz w:val="18"/>
          <w:szCs w:val="18"/>
          <w:color w:val="auto"/>
        </w:rPr>
        <w:t>Through July 2019, we offered businessowners policies, which consist primarily of small business retail, service, and office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risks, with limited property exposures. We also wrote artisan’s liability policies for small independent contractors with smaller sized workforces. In addition, we wrote special multi-peril policies for larger and more specialized businessowners risks, including those with limited residential exposures. Further, we offered commercial umbrella policies written above our supporting commercial lines policies.</w:t>
      </w:r>
    </w:p>
    <w:p>
      <w:pPr>
        <w:spacing w:after="0" w:line="17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May 2019, due to the poor performance of these lines we placed a moratorium on new commercial lines and new commercial umbrella submissions while we further reviewed this business. In July 2019, due to the continuing poor performance of these lines, we made the decision to no longer underwrite commercial lines or commercial umbrella risks. In-force policies as of July 31, 2019 for these lines were non-renewed at the end of their annual terms. As of March 31, 2025 and December 31, 2024, there were no commercial liability policies in-force. As of March 31, 2025, these expired policies represented approximately 11.8% of loss and LAE reserves net of reinsurance recoverables. See discussion below under “Additional Financial Information”.</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Livery physical damage: </w:t>
      </w:r>
      <w:r>
        <w:rPr>
          <w:rFonts w:ascii="Times New Roman" w:cs="Times New Roman" w:eastAsia="Times New Roman" w:hAnsi="Times New Roman"/>
          <w:sz w:val="18"/>
          <w:szCs w:val="18"/>
          <w:color w:val="auto"/>
        </w:rPr>
        <w:t>We write for-hire vehicle physical damage only policies for livery and car service vehicles and taxicabs. These policies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insure only the physical damage portion of insurance for such vehicles, with no liability coverage included.</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Other: </w:t>
      </w:r>
      <w:r>
        <w:rPr>
          <w:rFonts w:ascii="Times New Roman" w:cs="Times New Roman" w:eastAsia="Times New Roman" w:hAnsi="Times New Roman"/>
          <w:sz w:val="18"/>
          <w:szCs w:val="18"/>
          <w:color w:val="auto"/>
        </w:rPr>
        <w:t>We write canine legal liability policies and have a small participation in mandatory state joint underwriting associations.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GAAP and Non-GAAP Measures</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We utilize the following key GAAP and non-GAAP measures in analyzing the results of our insurance underwriting business. See "Non-GAAP Financial Measures" for a reconciliation of the below non-GAAP measures to the most directly comparable GAAP measure:</w:t>
      </w:r>
    </w:p>
    <w:p>
      <w:pPr>
        <w:spacing w:after="0" w:line="158" w:lineRule="exact"/>
        <w:rPr>
          <w:sz w:val="20"/>
          <w:szCs w:val="20"/>
          <w:color w:val="auto"/>
        </w:rPr>
      </w:pPr>
    </w:p>
    <w:p>
      <w:pPr>
        <w:jc w:val="both"/>
        <w:ind w:firstLine="607"/>
        <w:spacing w:after="0" w:line="248" w:lineRule="auto"/>
        <w:rPr>
          <w:sz w:val="20"/>
          <w:szCs w:val="20"/>
          <w:color w:val="auto"/>
        </w:rPr>
      </w:pPr>
      <w:r>
        <w:rPr>
          <w:rFonts w:ascii="Times New Roman" w:cs="Times New Roman" w:eastAsia="Times New Roman" w:hAnsi="Times New Roman"/>
          <w:sz w:val="18"/>
          <w:szCs w:val="18"/>
          <w:b w:val="1"/>
          <w:bCs w:val="1"/>
          <w:i w:val="1"/>
          <w:iCs w:val="1"/>
          <w:color w:val="auto"/>
        </w:rPr>
        <w:t xml:space="preserve">Direct written premiums, net premiums written: </w:t>
      </w:r>
      <w:r>
        <w:rPr>
          <w:rFonts w:ascii="Times New Roman" w:cs="Times New Roman" w:eastAsia="Times New Roman" w:hAnsi="Times New Roman"/>
          <w:sz w:val="18"/>
          <w:szCs w:val="18"/>
          <w:color w:val="auto"/>
        </w:rPr>
        <w:t>Direct written premiums represent the total premiums charged on policies issued by an insurance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company during the respective fiscal period. Net written premiums are direct written premiums less premiums ceded to reinsurers. Net premiums earned, the GAAP measure most comparable to direct written premiums and net written premiums, are net written premiums that are pro-rata earned during the fiscal period presented. All of the our policies are written for a twelve-month period. Management uses direct written premiums and net written premiums, along with other measures, to gauge our performance and evaluate results. Direct written premiums and net written premiums are provided as supplemental information, not as a substitute for net premiums earned, and do not reflect the Company’s net premiums earned.</w:t>
      </w:r>
    </w:p>
    <w:p>
      <w:pPr>
        <w:spacing w:after="0" w:line="202"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Core and Non-Core direct written premiums: </w:t>
      </w:r>
      <w:r>
        <w:rPr>
          <w:rFonts w:ascii="Times New Roman" w:cs="Times New Roman" w:eastAsia="Times New Roman" w:hAnsi="Times New Roman"/>
          <w:sz w:val="18"/>
          <w:szCs w:val="18"/>
          <w:color w:val="auto"/>
        </w:rPr>
        <w:t>Core and Non-Core direct written premiums are not based on GAAP. Net premiums earned is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most directly comparable GAAP measure to direct written premiums. The aggregate of Core and Non-Core direct written premiums written is represented by direct written premiums.</w:t>
      </w:r>
    </w:p>
    <w:p>
      <w:pPr>
        <w:spacing w:after="0" w:line="164" w:lineRule="exact"/>
        <w:rPr>
          <w:sz w:val="20"/>
          <w:szCs w:val="20"/>
          <w:color w:val="auto"/>
        </w:rPr>
      </w:pPr>
    </w:p>
    <w:p>
      <w:pPr>
        <w:jc w:val="both"/>
        <w:ind w:firstLine="607"/>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 xml:space="preserve">Net loss ratio: </w:t>
      </w:r>
      <w:r>
        <w:rPr>
          <w:rFonts w:ascii="Times New Roman" w:cs="Times New Roman" w:eastAsia="Times New Roman" w:hAnsi="Times New Roman"/>
          <w:sz w:val="18"/>
          <w:szCs w:val="18"/>
          <w:color w:val="auto"/>
        </w:rPr>
        <w:t>The net loss ratio is a measure of the underwriting profitability of an insurance company’s business. Expressed as a percentage, this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is the ratio of net losses and LAE incurred to net premiums earned.</w:t>
      </w:r>
    </w:p>
    <w:p>
      <w:pPr>
        <w:spacing w:after="0" w:line="154"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18"/>
          <w:szCs w:val="18"/>
          <w:b w:val="1"/>
          <w:bCs w:val="1"/>
          <w:i w:val="1"/>
          <w:iCs w:val="1"/>
          <w:color w:val="auto"/>
        </w:rPr>
        <w:t xml:space="preserve">Underlying loss ratio: </w:t>
      </w:r>
      <w:r>
        <w:rPr>
          <w:rFonts w:ascii="Times New Roman" w:cs="Times New Roman" w:eastAsia="Times New Roman" w:hAnsi="Times New Roman"/>
          <w:sz w:val="18"/>
          <w:szCs w:val="18"/>
          <w:color w:val="auto"/>
        </w:rPr>
        <w:t>The underlying loss ratio is a non-GAAP ratio, which is computed as the GAAP net loss ratio excluding the effect of prior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year loss reserve development and catastrophes losses. Management believes that this ratio is useful to investors, and it is used by management to reveal the trends in our business that may be obscured by prior year loss reserve development and catastrophe losses. Catastrophe losses cause our loss ratios to vary significantly between periods as a result of their incidence of occurrence and magnitude and can have a significant impact on the net loss ratio. Management believes that this measure is useful for investors to evaluate this component separately when reviewing our underwriting performance. The most directly comparable GAAP measure is the net loss ratio. The underlying loss ratio should not be considered a substitute for the net loss ratio and does not reflect our net loss ratio.</w:t>
      </w:r>
    </w:p>
    <w:p>
      <w:pPr>
        <w:spacing w:after="0" w:line="210" w:lineRule="exact"/>
        <w:rPr>
          <w:sz w:val="20"/>
          <w:szCs w:val="20"/>
          <w:color w:val="auto"/>
        </w:rPr>
      </w:pPr>
    </w:p>
    <w:p>
      <w:pPr>
        <w:jc w:val="both"/>
        <w:ind w:firstLine="648"/>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Net loss ratio excluding the effect of catastrophes: </w:t>
      </w:r>
      <w:r>
        <w:rPr>
          <w:rFonts w:ascii="Times New Roman" w:cs="Times New Roman" w:eastAsia="Times New Roman" w:hAnsi="Times New Roman"/>
          <w:sz w:val="16"/>
          <w:szCs w:val="16"/>
          <w:color w:val="auto"/>
        </w:rPr>
        <w:t>The n</w:t>
      </w:r>
      <w:r>
        <w:rPr>
          <w:rFonts w:ascii="Times New Roman" w:cs="Times New Roman" w:eastAsia="Times New Roman" w:hAnsi="Times New Roman"/>
          <w:sz w:val="18"/>
          <w:szCs w:val="18"/>
          <w:color w:val="auto"/>
        </w:rPr>
        <w:t>et loss ratio excluding the effect of catastrophes is a non-GAAP ratio, which is computed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 the difference between the GAAP net loss ratio and the effect of catastrophes on the net loss ratio. Management believes that this ratio is useful to investors, and it is used by management to reveal the trends in our business that may be obscured by catastrophe losses. Catastrophe losses cause our net loss ratios to vary significantly between periods as a result of their incidence of occurrence and magnitude and can have a significant impact on the net loss ratio. Management believes that this measure is useful for investors to evaluate this component separately when reviewing our underwriting performance. The most directly comparable GAAP measure is the net loss ratio. The net loss ratio excluding the effect of catastrophes should not be considered a substitute for the net loss ratio and does not reflect our net loss ratio.</w:t>
      </w:r>
    </w:p>
    <w:p>
      <w:pPr>
        <w:spacing w:after="0" w:line="212"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18"/>
          <w:szCs w:val="18"/>
          <w:b w:val="1"/>
          <w:bCs w:val="1"/>
          <w:i w:val="1"/>
          <w:iCs w:val="1"/>
          <w:color w:val="auto"/>
        </w:rPr>
        <w:t xml:space="preserve">Net loss ratio excluding commercial lines business: </w:t>
      </w:r>
      <w:r>
        <w:rPr>
          <w:rFonts w:ascii="Times New Roman" w:cs="Times New Roman" w:eastAsia="Times New Roman" w:hAnsi="Times New Roman"/>
          <w:sz w:val="16"/>
          <w:szCs w:val="16"/>
          <w:color w:val="auto"/>
        </w:rPr>
        <w:t>The n</w:t>
      </w:r>
      <w:r>
        <w:rPr>
          <w:rFonts w:ascii="Times New Roman" w:cs="Times New Roman" w:eastAsia="Times New Roman" w:hAnsi="Times New Roman"/>
          <w:sz w:val="18"/>
          <w:szCs w:val="18"/>
          <w:color w:val="auto"/>
        </w:rPr>
        <w:t>et loss ratio excluding commercial lines business is a non-GAAP ratio, which is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computed as the difference between the GAAP net loss ratio and the effect of commercial lines on the net loss ratio. Management believes that this ratio is useful to investors, and it is used by management to reveal the trends in our business that may be obscured by losses from commercial lines business. Our commercial lines business has been in run-off since July 2019. Commercial lines losses cause our net loss ratios to vary between periods as a result of changes to their loss reserves during the run-off period and have an impact on the net loss ratio. Management believes that this measure is useful for investors to evaluate this component separately when reviewing our underwriting performance. The most directly comparable GAAP measure is the net loss ratio. The net loss ratio excluding commercial lines business should not be considered a substitute for the net loss ratio and does not reflect our net loss ratio.</w:t>
      </w:r>
    </w:p>
    <w:p>
      <w:pPr>
        <w:spacing w:after="0" w:line="194" w:lineRule="exact"/>
        <w:rPr>
          <w:sz w:val="20"/>
          <w:szCs w:val="20"/>
          <w:color w:val="auto"/>
        </w:rPr>
      </w:pPr>
    </w:p>
    <w:p>
      <w:pPr>
        <w:jc w:val="both"/>
        <w:ind w:firstLine="607"/>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 xml:space="preserve">Net underwriting expense ratio: </w:t>
      </w:r>
      <w:r>
        <w:rPr>
          <w:rFonts w:ascii="Times New Roman" w:cs="Times New Roman" w:eastAsia="Times New Roman" w:hAnsi="Times New Roman"/>
          <w:sz w:val="18"/>
          <w:szCs w:val="18"/>
          <w:color w:val="auto"/>
        </w:rPr>
        <w:t>The net underwriting expense ratio is a measure of an insurance company’s operational efficiency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administering its business. Expressed as a percentage, this is the ratio of the sum of acquisition</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costs (the most significant being commissions paid to our producers) and other underwriting expenses less ceding commission revenue less other income to net premiums earned.</w:t>
      </w:r>
    </w:p>
    <w:p>
      <w:pPr>
        <w:spacing w:after="0" w:line="17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Net underwriting expense ratio excluding the effect of catastrophes: </w:t>
      </w:r>
      <w:r>
        <w:rPr>
          <w:rFonts w:ascii="Times New Roman" w:cs="Times New Roman" w:eastAsia="Times New Roman" w:hAnsi="Times New Roman"/>
          <w:sz w:val="16"/>
          <w:szCs w:val="16"/>
          <w:color w:val="auto"/>
        </w:rPr>
        <w:t>The n</w:t>
      </w:r>
      <w:r>
        <w:rPr>
          <w:rFonts w:ascii="Times New Roman" w:cs="Times New Roman" w:eastAsia="Times New Roman" w:hAnsi="Times New Roman"/>
          <w:sz w:val="18"/>
          <w:szCs w:val="18"/>
          <w:color w:val="auto"/>
        </w:rPr>
        <w:t>et underwriting expense ratio excluding the effect of catastrophes is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non-GAAP ratio, which is computed as the difference between the GAAP net underwriting expense ratio and the effect of catastrophes on the net underwriting expense ratio. Management believes that this ratio is useful to investors, and it is used by management to reveal the trends in our business that may be obscured by catastrophe losses. Catastrophe losses may cause our net underwriting expense ratios to vary significantly between periods as a result of their incidence of occurrence and magnitude and may, but currently do not, have any significant impact on the underwriting expense ratio. Management believes that this measure is useful for investors to evaluate this component separately when reviewing our underwriting performance if there should be a catastrophe effect on the net underwriting expense ratio. The most directly comparable GAAP measure is the net underwriting expense ratio. The net underwriting expense ratio excluding the effect of catastrophes should not be considered a substitute for the net underwriting expense ratio and does not reflect our net underwriting expense ratio.</w:t>
      </w:r>
    </w:p>
    <w:p>
      <w:pPr>
        <w:spacing w:after="0" w:line="188" w:lineRule="exact"/>
        <w:rPr>
          <w:sz w:val="20"/>
          <w:szCs w:val="20"/>
          <w:color w:val="auto"/>
        </w:rPr>
      </w:pPr>
    </w:p>
    <w:p>
      <w:pPr>
        <w:jc w:val="both"/>
        <w:ind w:firstLine="607"/>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 xml:space="preserve">Net combined ratio: </w:t>
      </w:r>
      <w:r>
        <w:rPr>
          <w:rFonts w:ascii="Times New Roman" w:cs="Times New Roman" w:eastAsia="Times New Roman" w:hAnsi="Times New Roman"/>
          <w:sz w:val="18"/>
          <w:szCs w:val="18"/>
          <w:color w:val="auto"/>
        </w:rPr>
        <w:t>The net combined ratio is a measure of an insurance company’s overall underwriting profit. This is the sum of the net loss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net underwriting expense ratios. If the net combined ratio is at or above 100 percent, an insurance company cannot be profitable without investment income, and may not be profitable if investment income is insufficient.</w:t>
      </w:r>
    </w:p>
    <w:p>
      <w:pPr>
        <w:spacing w:after="0" w:line="18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Net combined ratio excluding the effect of catastrophes: </w:t>
      </w:r>
      <w:r>
        <w:rPr>
          <w:rFonts w:ascii="Times New Roman" w:cs="Times New Roman" w:eastAsia="Times New Roman" w:hAnsi="Times New Roman"/>
          <w:sz w:val="16"/>
          <w:szCs w:val="16"/>
          <w:color w:val="auto"/>
        </w:rPr>
        <w:t>The n</w:t>
      </w:r>
      <w:r>
        <w:rPr>
          <w:rFonts w:ascii="Times New Roman" w:cs="Times New Roman" w:eastAsia="Times New Roman" w:hAnsi="Times New Roman"/>
          <w:sz w:val="18"/>
          <w:szCs w:val="18"/>
          <w:color w:val="auto"/>
        </w:rPr>
        <w:t>et combined ratio excluding the effect of catastrophes is a non-GAAP ratio, which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is computed as the difference between the GAAP combined ratio and the effect of catastrophes on the net combined ratio. Management believes that this ratio is useful to investors, and it is used by management to reveal the trends in our business that may be obscured by catastrophe losses. Catastrophe losses cause our net combined ratios to vary significantly between periods as a result of their incidence of occurrence and magnitude and can have a significant impact on the net combined ratio. Management believes that this measure is useful for investors to evaluate this component separately when reviewing our underwriting performance. The most directly comparable GAAP measure is the net combined ratio. The net combined ratio excluding the effect of catastrophes should not be considered a substitute for the net combined ratio and does not reflect our net combined ratio.</w:t>
      </w:r>
    </w:p>
    <w:p>
      <w:pPr>
        <w:spacing w:after="0" w:line="183" w:lineRule="exact"/>
        <w:rPr>
          <w:sz w:val="20"/>
          <w:szCs w:val="20"/>
          <w:color w:val="auto"/>
        </w:rPr>
      </w:pPr>
    </w:p>
    <w:p>
      <w:pPr>
        <w:jc w:val="both"/>
        <w:ind w:firstLine="607"/>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 xml:space="preserve">Underwriting income: </w:t>
      </w:r>
      <w:r>
        <w:rPr>
          <w:rFonts w:ascii="Times New Roman" w:cs="Times New Roman" w:eastAsia="Times New Roman" w:hAnsi="Times New Roman"/>
          <w:sz w:val="18"/>
          <w:szCs w:val="18"/>
          <w:color w:val="auto"/>
        </w:rPr>
        <w:t>Underwriting income is net pre-tax income attributable to our insurance underwriting business before investment activity. It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excludes net investment income, net realized gains from investments, gain on sale of real estate, depreciation and amortization, and interest expense (net premiums earned less expenses included in combined ratio). Underwriting income is a measure of an insurance company’s overall operating profitability before items such as investment income, depreciation and amortization, interest expense and income taxes.</w:t>
      </w:r>
    </w:p>
    <w:p>
      <w:pPr>
        <w:spacing w:after="0" w:line="17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Net income from insurance underwriting business on a standalone basis</w:t>
      </w:r>
      <w:r>
        <w:rPr>
          <w:rFonts w:ascii="Arial" w:cs="Arial" w:eastAsia="Arial" w:hAnsi="Arial"/>
          <w:sz w:val="16"/>
          <w:szCs w:val="16"/>
          <w:b w:val="1"/>
          <w:bCs w:val="1"/>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Net income from insurance underwriting business on a standalone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basis is a non-GAAP measure, which is computed as GAAP net income without the effect of holding company operations on GAAP net income. Management believes that this measure is useful to investors, and it is used by management to reveal the trends in our insurance underwriting business that may be obscured by holding company operations. Holding company operations cause our GAAP net income to vary significantly between periods as a result of their magnitude and can have a significant impact on GAAP net income. Management believes that this measure is useful for investors to evaluate this component separately when reviewing our underwriting performance. The most directly comparable GAAP measure is GAAP net income. Net income from insurance underwriting business on a standalone basis should not be considered a substitute for GAAP net income and does not reflect our GAAP net income.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Our condensed consolidated financial statements include the accounts of Kingstone Companies, Inc. and all majority-owned and controlled subsidiaries. The preparation of financial statements in conformity with GAAP requires our management to make estimates and assumptions in certain circumstances that affect amounts reported in our condensed consolidated financial statements and related notes. In preparing these condensed consolidated financial statements, our management has utilized information including our past history, industry standards, and the current economic environment, and other factors, in forming its estimates and judgments of certain amounts included in the condensed consolidated financial statements, giving due consideration to materiality. It is possible that the ultimate outcome as anticipated by our management in formulating its estimates in these financial statements may not materialize.</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Application of the critical accounting policies involves the exercise of judgment and use of assumptions as to future uncertainties and, as a result, actual results could differ from these estimates. In addition, other companies may utilize different estimates, which may impact comparability of our results of operations to those of similar companies.</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See below a description of these critical accounting estimates. Also see Note 2 to the consolidated financial statements in our Annual Report on Form 10-K for the year ended December 31, 2024.</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Loss and Loss Adjustment Expense Reserves</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Property and casualty loss and loss adjustment expense (“LAE”) reserves are established to provide for the estimated cost of settling both reported (“case”) and incurred but not reported (“IBNR”) claims and claims adjusting expenses. The liability for these reserves is estimated on an undiscounted basis, using individual case-basis valuations and paid claims, pending claims, statistical analyses and various actuarial reserving methodologies. Due to the inherent uncertainty of the reserve process, actual loss costs could vary significantly compared to estimated loss costs. The below table provides detail of our reserves as of March 31, 2025 and December 31, 2024:</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4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45"/>
        </w:trPr>
        <w:tc>
          <w:tcPr>
            <w:tcW w:w="1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March 31, 2025</w:t>
            </w: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r>
      <w:tr>
        <w:trPr>
          <w:trHeight w:val="250"/>
        </w:trPr>
        <w:tc>
          <w:tcPr>
            <w:tcW w:w="19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 in thousands)</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Gross</w:t>
            </w:r>
          </w:p>
        </w:tc>
        <w:tc>
          <w:tcPr>
            <w:tcW w:w="8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Ceded</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Net</w:t>
            </w:r>
          </w:p>
        </w:tc>
        <w:tc>
          <w:tcPr>
            <w:tcW w:w="8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Gross</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Ceded</w:t>
            </w:r>
          </w:p>
        </w:tc>
        <w:tc>
          <w:tcPr>
            <w:tcW w:w="8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Net</w:t>
            </w:r>
          </w:p>
        </w:tc>
      </w:tr>
      <w:tr>
        <w:trPr>
          <w:trHeight w:val="256"/>
        </w:trPr>
        <w:tc>
          <w:tcPr>
            <w:tcW w:w="2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Case loss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64,904</w:t>
            </w: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17,815</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47,089</w:t>
            </w:r>
          </w:p>
        </w:tc>
        <w:tc>
          <w:tcPr>
            <w:tcW w:w="8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64,087</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17,721</w:t>
            </w:r>
          </w:p>
        </w:tc>
        <w:tc>
          <w:tcPr>
            <w:tcW w:w="8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46,366</w:t>
            </w:r>
          </w:p>
        </w:tc>
      </w:tr>
      <w:tr>
        <w:trPr>
          <w:trHeight w:val="250"/>
        </w:trPr>
        <w:tc>
          <w:tcPr>
            <w:tcW w:w="2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Case LAE</w:t>
            </w:r>
          </w:p>
        </w:tc>
        <w:tc>
          <w:tcPr>
            <w:tcW w:w="3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7,073</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5,487</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6,563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1,426</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5,137</w:t>
            </w:r>
          </w:p>
        </w:tc>
      </w:tr>
      <w:tr>
        <w:trPr>
          <w:trHeight w:val="263"/>
        </w:trPr>
        <w:tc>
          <w:tcPr>
            <w:tcW w:w="2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IBNR loss</w:t>
            </w:r>
          </w:p>
        </w:tc>
        <w:tc>
          <w:tcPr>
            <w:tcW w:w="30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45,467</w:t>
            </w: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11,355</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34,111</w:t>
            </w:r>
          </w:p>
        </w:tc>
        <w:tc>
          <w:tcPr>
            <w:tcW w:w="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38,681</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10,661</w:t>
            </w:r>
          </w:p>
        </w:tc>
        <w:tc>
          <w:tcPr>
            <w:tcW w:w="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28,020</w:t>
            </w:r>
          </w:p>
        </w:tc>
      </w:tr>
      <w:tr>
        <w:trPr>
          <w:trHeight w:val="250"/>
        </w:trPr>
        <w:tc>
          <w:tcPr>
            <w:tcW w:w="20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IBNR LAE</w:t>
            </w:r>
          </w:p>
        </w:tc>
        <w:tc>
          <w:tcPr>
            <w:tcW w:w="3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17,891</w:t>
            </w:r>
          </w:p>
        </w:tc>
        <w:tc>
          <w:tcPr>
            <w:tcW w:w="8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2,485</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15,406</w:t>
            </w:r>
          </w:p>
        </w:tc>
        <w:tc>
          <w:tcPr>
            <w:tcW w:w="8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16,879</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2,514</w:t>
            </w:r>
          </w:p>
        </w:tc>
        <w:tc>
          <w:tcPr>
            <w:tcW w:w="8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14,365</w:t>
            </w:r>
          </w:p>
        </w:tc>
      </w:tr>
      <w:tr>
        <w:trPr>
          <w:trHeight w:val="275"/>
        </w:trPr>
        <w:tc>
          <w:tcPr>
            <w:tcW w:w="20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135,335</w:t>
            </w: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33,241</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102,093</w:t>
            </w:r>
          </w:p>
        </w:tc>
        <w:tc>
          <w:tcPr>
            <w:tcW w:w="8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126,210</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32,322</w:t>
            </w:r>
          </w:p>
        </w:tc>
        <w:tc>
          <w:tcPr>
            <w:tcW w:w="8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93,888</w:t>
            </w:r>
          </w:p>
        </w:tc>
      </w:tr>
      <w:tr>
        <w:trPr>
          <w:trHeight w:val="20"/>
        </w:trPr>
        <w:tc>
          <w:tcPr>
            <w:tcW w:w="1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color w:val="auto"/>
        </w:rPr>
        <w:t>(Components may not sum due to rounding)</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ind w:firstLine="607"/>
        <w:spacing w:after="0" w:line="282" w:lineRule="auto"/>
        <w:rPr>
          <w:sz w:val="20"/>
          <w:szCs w:val="20"/>
          <w:color w:val="auto"/>
        </w:rPr>
      </w:pPr>
      <w:r>
        <w:rPr>
          <w:rFonts w:ascii="Times New Roman" w:cs="Times New Roman" w:eastAsia="Times New Roman" w:hAnsi="Times New Roman"/>
          <w:sz w:val="18"/>
          <w:szCs w:val="18"/>
          <w:color w:val="auto"/>
        </w:rPr>
        <w:t>Case Reserves – Reserves for reported losses are based on an estimate of ultimate loss costs of an individual claim derived from individual case-basis valuations, actual claims paid, pending claims, statistical analyses and various actuarial reserving methodologies.</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IBNR Reserves – IBNR reserves are estimates of claims that have occurred but as to which we have not yet been notified to establish the case reserve. IBNR also accounts for loss development on claims that have been reported. IBNR is determined using historical information aggregated by line of insurance and adjusted to current conditions.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Reinsurance</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purchase reinsurance to manage our underwriting risk on certain policies. Reinsurance receivables represent management’s best estimate of loss and LAE recoverable from reinsurers. Reinsurance receivables are estimated using the same methodologies as loss and LAE reserves. Changes in the methods and assumptions used could result in significant variances between actual and estimated losses.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Deferred Income Taxes</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effective tax rate is based on GAAP income at statutory tax rates, adjusted for non-taxable and non-deductible items, and tax credits. Changes in estimates used in preparing the condensed consolidated statements of income and comprehensive income could result in significant changes to our deferred tax asset or liability.</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Deferred tax assets or liabilities are recognized for estimated future tax consequences which result in differences between the financial statement carrying amounts of assets and liabilities and their respective tax basis. These assets and liabilities are carried at the enacted tax rates expected to apply when the asset or liability is expected to be recovered or settled. Changes in estimates and assumptions in the condensed consolidated statements of income and comprehensive income, or changes in the enacted tax rate, could result in significant variances between our carried deferred tax and tax recognized on the recovery or settlement of the asset or liability.</w:t>
      </w:r>
    </w:p>
    <w:p>
      <w:pPr>
        <w:sectPr>
          <w:pgSz w:w="11900" w:h="16838" w:orient="portrait"/>
          <w:cols w:equalWidth="0" w:num="1">
            <w:col w:w="11240"/>
          </w:cols>
          <w:pgMar w:left="320" w:top="119" w:right="339" w:bottom="1440" w:gutter="0" w:footer="0" w:header="0"/>
        </w:sectPr>
      </w:pP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51" w:name="page52"/>
    <w:bookmarkEnd w:id="51"/>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Investments</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Bonds are classified as held-to-maturity (“HTM”) or available-for-sale (“AFS”), and stocks are generally classified as AFS. Investments classified as HTM are carried at amortized cost, which requires very little judgement. Investments in stocks classified as AFS are generally carried at fair value with an unrealized gain/loss recorded in net income. Investments in bonds classified as AFS are generally carried at fair value with an unrealized gain/loss recorded in accumulated other comprehensive income. Actual results could vary significantly from the fair values recognized in the condensed consolidated statements of income and comprehensive income.</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Kingstone 2.0 (completed), Kingstone 3.0 (underway), and Change in Market Dynamics (underway)</w:t>
      </w:r>
    </w:p>
    <w:p>
      <w:pPr>
        <w:spacing w:after="0" w:line="229" w:lineRule="exact"/>
        <w:rPr>
          <w:sz w:val="20"/>
          <w:szCs w:val="20"/>
          <w:color w:val="auto"/>
        </w:rPr>
      </w:pPr>
    </w:p>
    <w:p>
      <w:pPr>
        <w:jc w:val="both"/>
        <w:ind w:firstLine="607"/>
        <w:spacing w:after="0" w:line="282" w:lineRule="auto"/>
        <w:rPr>
          <w:sz w:val="20"/>
          <w:szCs w:val="20"/>
          <w:color w:val="auto"/>
        </w:rPr>
      </w:pPr>
      <w:r>
        <w:rPr>
          <w:rFonts w:ascii="Times New Roman" w:cs="Times New Roman" w:eastAsia="Times New Roman" w:hAnsi="Times New Roman"/>
          <w:sz w:val="18"/>
          <w:szCs w:val="18"/>
          <w:color w:val="auto"/>
        </w:rPr>
        <w:t>Beginning in the fourth quarter of 2019, a series of strategic initiatives, coined “Kingstone 2.0”, were commenced to modernize our company. The pillars of the new strategy were as follows:</w:t>
      </w:r>
    </w:p>
    <w:p>
      <w:pPr>
        <w:spacing w:after="0" w:line="162" w:lineRule="exact"/>
        <w:rPr>
          <w:sz w:val="20"/>
          <w:szCs w:val="20"/>
          <w:color w:val="auto"/>
        </w:rPr>
      </w:pPr>
    </w:p>
    <w:p>
      <w:pPr>
        <w:ind w:left="2120" w:hanging="1069"/>
        <w:spacing w:after="0" w:line="282" w:lineRule="auto"/>
        <w:tabs>
          <w:tab w:leader="none" w:pos="211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Strengthen the management team by adding highly qualified professionals with deep domain experience and diverse backgrounds;</w:t>
      </w:r>
    </w:p>
    <w:p>
      <w:pPr>
        <w:spacing w:after="0" w:line="161" w:lineRule="exact"/>
        <w:rPr>
          <w:rFonts w:ascii="Times New Roman" w:cs="Times New Roman" w:eastAsia="Times New Roman" w:hAnsi="Times New Roman"/>
          <w:sz w:val="18"/>
          <w:szCs w:val="18"/>
          <w:color w:val="auto"/>
        </w:rPr>
      </w:pPr>
    </w:p>
    <w:p>
      <w:pPr>
        <w:ind w:left="2120" w:right="20" w:hanging="1069"/>
        <w:spacing w:after="0" w:line="282" w:lineRule="auto"/>
        <w:tabs>
          <w:tab w:leader="none" w:pos="211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expenses and increase efficiency by embracing technology, including converting to a new policy management system, retiring multiple legacy systems and starting up a new claims system, among other technology initiatives;</w:t>
      </w:r>
    </w:p>
    <w:p>
      <w:pPr>
        <w:spacing w:after="0" w:line="161" w:lineRule="exact"/>
        <w:rPr>
          <w:rFonts w:ascii="Times New Roman" w:cs="Times New Roman" w:eastAsia="Times New Roman" w:hAnsi="Times New Roman"/>
          <w:sz w:val="18"/>
          <w:szCs w:val="18"/>
          <w:color w:val="auto"/>
        </w:rPr>
      </w:pPr>
    </w:p>
    <w:p>
      <w:pPr>
        <w:ind w:left="2120" w:hanging="1069"/>
        <w:spacing w:after="0" w:line="282" w:lineRule="auto"/>
        <w:tabs>
          <w:tab w:leader="none" w:pos="211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and implement a new, more highly segmented product suite (Kingstone Select) which better matches rate to risk using advanced analytics and an abundance of data; and</w:t>
      </w:r>
    </w:p>
    <w:p>
      <w:pPr>
        <w:spacing w:after="0" w:line="161" w:lineRule="exact"/>
        <w:rPr>
          <w:rFonts w:ascii="Times New Roman" w:cs="Times New Roman" w:eastAsia="Times New Roman" w:hAnsi="Times New Roman"/>
          <w:sz w:val="18"/>
          <w:szCs w:val="18"/>
          <w:color w:val="auto"/>
        </w:rPr>
      </w:pPr>
    </w:p>
    <w:p>
      <w:pPr>
        <w:ind w:left="2120" w:right="20" w:hanging="1069"/>
        <w:spacing w:after="0" w:line="282" w:lineRule="auto"/>
        <w:tabs>
          <w:tab w:leader="none" w:pos="211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Better manage our catastrophe exposure in order to reduce the growth rate of our probable maximum loss (“PML”) in order to mitigate the impact of the then emerging “hard market” in catastrophe reinsurance.</w:t>
      </w:r>
    </w:p>
    <w:p>
      <w:pPr>
        <w:spacing w:after="0" w:line="162" w:lineRule="exact"/>
        <w:rPr>
          <w:sz w:val="20"/>
          <w:szCs w:val="20"/>
          <w:color w:val="auto"/>
        </w:rPr>
      </w:pPr>
    </w:p>
    <w:p>
      <w:pPr>
        <w:ind w:firstLine="607"/>
        <w:spacing w:after="0" w:line="282" w:lineRule="auto"/>
        <w:rPr>
          <w:sz w:val="20"/>
          <w:szCs w:val="20"/>
          <w:color w:val="auto"/>
        </w:rPr>
      </w:pPr>
      <w:r>
        <w:rPr>
          <w:rFonts w:ascii="Times New Roman" w:cs="Times New Roman" w:eastAsia="Times New Roman" w:hAnsi="Times New Roman"/>
          <w:sz w:val="18"/>
          <w:szCs w:val="18"/>
          <w:color w:val="auto"/>
        </w:rPr>
        <w:t>We announced the substantive completion of Kingstone 2.0 in late 2022 and embarked on a new strategy to optimize our in-force business, which we coined as “Kingstone 3.0”. The four pillars of this strategy entail:</w:t>
      </w:r>
    </w:p>
    <w:p>
      <w:pPr>
        <w:spacing w:after="0" w:line="162" w:lineRule="exact"/>
        <w:rPr>
          <w:sz w:val="20"/>
          <w:szCs w:val="20"/>
          <w:color w:val="auto"/>
        </w:rPr>
      </w:pPr>
    </w:p>
    <w:p>
      <w:pPr>
        <w:jc w:val="both"/>
        <w:ind w:left="2040" w:hanging="1060"/>
        <w:spacing w:after="0" w:line="246" w:lineRule="auto"/>
        <w:tabs>
          <w:tab w:leader="none" w:pos="20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Aggressively reduced the non-Core book of business, which has had a disproportionately negative impact on underwriting results, by stopping new business, culling the agent base, reducing commissions, or other means, subject to regulatory constraints, and have aggressively reduced policy count. Our request to withdraw from the state of New Jersey was acknowledged in October 2023 and all remaining policies are being non-renewed over a two year period starting January 1, 2024. As of March 31, 2025, our non-Core policy count was down by 67.6% compared to March 31, 2024;</w:t>
      </w:r>
    </w:p>
    <w:p>
      <w:pPr>
        <w:spacing w:after="0" w:line="194" w:lineRule="exact"/>
        <w:rPr>
          <w:rFonts w:ascii="Times New Roman" w:cs="Times New Roman" w:eastAsia="Times New Roman" w:hAnsi="Times New Roman"/>
          <w:sz w:val="18"/>
          <w:szCs w:val="18"/>
          <w:color w:val="auto"/>
        </w:rPr>
      </w:pPr>
    </w:p>
    <w:p>
      <w:pPr>
        <w:jc w:val="both"/>
        <w:ind w:left="2040" w:hanging="1060"/>
        <w:spacing w:after="0" w:line="242" w:lineRule="auto"/>
        <w:tabs>
          <w:tab w:leader="none" w:pos="20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pricing to stay ahead of loss trends, including inflation, by filing the maximum annual rate change that can be supported in each state and product and ensured all policyholders were insured to value. Inflation has been a dominant headwind that is showing signs of stabilizing. We have been cognizant that inflation’s impact on loss costs places added pressure on premiums and, as such, we have been more frequent and aggressive with our rate change requests. Similarly, home replacement values reflect that same inflationary pressure. In September 2023, we completed our first cycle of valuation adjustments, making sure that all homes were insured to value. As a result, we have seen a rise in premiums attributable to the heightened replacement costs. All policies are renewed at the most current replacement cost. Overall average written premium for our Core personal lines renewal policies for the last 12 months, reflecting both rate and replacement cost changes, increased by 18.8%;</w:t>
      </w:r>
    </w:p>
    <w:p>
      <w:pPr>
        <w:spacing w:after="0" w:line="200" w:lineRule="exact"/>
        <w:rPr>
          <w:rFonts w:ascii="Times New Roman" w:cs="Times New Roman" w:eastAsia="Times New Roman" w:hAnsi="Times New Roman"/>
          <w:sz w:val="18"/>
          <w:szCs w:val="18"/>
          <w:color w:val="auto"/>
        </w:rPr>
      </w:pPr>
    </w:p>
    <w:p>
      <w:pPr>
        <w:jc w:val="both"/>
        <w:ind w:left="2040" w:hanging="1060"/>
        <w:spacing w:after="0" w:line="246" w:lineRule="auto"/>
        <w:tabs>
          <w:tab w:leader="none" w:pos="20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Tightly managed reinsurance requirements and costs, using risk selection and other underwriting capabilities to manage the growth rate of our PML. We needed to contain our exposure to spiking reinsurance pricing. We did so and were able to reduce the required limit to be purchased while maintaining our same risk tolerance. We used all the tools available to us to limit new business that was deemed to be too expensive and at the same time re-underwrote the book to cull those risks which presented the greatest risk; and</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both"/>
        <w:ind w:left="2040" w:hanging="1060"/>
        <w:spacing w:after="0" w:line="258" w:lineRule="auto"/>
        <w:tabs>
          <w:tab w:leader="none" w:pos="20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Continuing expense reduction focus with a goal of reducing the net expense ratio to 33% by year-end 2024. For the year ended December 31, 2024, we achieved our goal of 33%, with a net underwriting expense ratio of 31.3%. For the three months ended March 31, 2025, the net underwriting expense ratio remained at 31.3% as compared to the three months ended March 31, 2024.</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We believe that the above actions taken resulted in our return to profitability for the last six consecutive quarters, will continue to have the intended effect, and will continue through the year ended December 31, 2025 and beyond.</w:t>
      </w:r>
    </w:p>
    <w:p>
      <w:pPr>
        <w:spacing w:after="0" w:line="176" w:lineRule="exact"/>
        <w:rPr>
          <w:sz w:val="20"/>
          <w:szCs w:val="20"/>
          <w:color w:val="auto"/>
        </w:rPr>
      </w:pPr>
    </w:p>
    <w:p>
      <w:pPr>
        <w:jc w:val="both"/>
        <w:ind w:firstLine="648"/>
        <w:spacing w:after="0" w:line="232" w:lineRule="auto"/>
        <w:rPr>
          <w:sz w:val="20"/>
          <w:szCs w:val="20"/>
          <w:color w:val="auto"/>
        </w:rPr>
      </w:pPr>
      <w:r>
        <w:rPr>
          <w:rFonts w:ascii="Times New Roman" w:cs="Times New Roman" w:eastAsia="Times New Roman" w:hAnsi="Times New Roman"/>
          <w:sz w:val="18"/>
          <w:szCs w:val="18"/>
          <w:color w:val="auto"/>
        </w:rPr>
        <w:t>On August 2, 2024, two large competitors announced a plan to wind down their personal lines operations in New York State and to non-renew or mid-term cancel their entire book of business before year end 2024. The policyholders of such competitors needed to find alternative coverage. Beginning in the quarter ended September 30, 2024, we began seeing a sizable increase in our policies in force and direct written premiums from these non-renewed and cancelled policies. We refer to this new business as a Change in Market Dynamics.</w:t>
      </w:r>
    </w:p>
    <w:p>
      <w:pPr>
        <w:spacing w:after="0" w:line="185" w:lineRule="exact"/>
        <w:rPr>
          <w:sz w:val="20"/>
          <w:szCs w:val="20"/>
          <w:color w:val="auto"/>
        </w:rPr>
      </w:pPr>
    </w:p>
    <w:p>
      <w:pPr>
        <w:jc w:val="both"/>
        <w:ind w:firstLine="648"/>
        <w:spacing w:after="0" w:line="228" w:lineRule="auto"/>
        <w:rPr>
          <w:sz w:val="20"/>
          <w:szCs w:val="20"/>
          <w:color w:val="auto"/>
        </w:rPr>
      </w:pPr>
      <w:r>
        <w:rPr>
          <w:rFonts w:ascii="Times New Roman" w:cs="Times New Roman" w:eastAsia="Times New Roman" w:hAnsi="Times New Roman"/>
          <w:sz w:val="18"/>
          <w:szCs w:val="18"/>
          <w:color w:val="auto"/>
        </w:rPr>
        <w:t>On April 14, 2025, KICO entered into an agreement to offer a replacement policy to selected homeowners policyholders in Downstate New York as one of our competitors pivots focus away from admitted personal lines business (the"Withdrawal Plan"). The Withdrawal Plan, which includes this transaction, has been approved by the New York Department of Financial Services. This transaction encompasses approximately $70 million in written premium. The Withdrawal Plan will enable KICO to work with new distribution partners to further increase our footprint in Downstate New York by offering an alternative policy to selected homeowners policyholders with effective dates starting in late third quarter of 2025. This transaction will be handled in a similar manner to the Change in Market Dynamics, except that we will be streamlining the process by providing a quote for eligible policyholders to our producers.</w:t>
      </w:r>
    </w:p>
    <w:p>
      <w:pPr>
        <w:spacing w:after="0" w:line="19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See the tables below for our Core and non-Core business for policies in force as of March 31, 2025 and 2024 and direct written premiums for three months ended March 31, 2025 and 2024. For the three months ended March 31, 2025, our Core direct written premiums increased by 22.7% compared to the three months ended March 31, 2024, while Core policies in force increased by 10.4% as of March 31, 2025 as compared to March 31, 2024. For the same periods, our non-Core direct written premiums decreased by 63.5% and policies in force decreased by 67.6%.</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8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gridSpan w:val="5"/>
          </w:tcPr>
          <w:p>
            <w:pPr>
              <w:ind w:left="40"/>
              <w:spacing w:after="0"/>
              <w:rPr>
                <w:sz w:val="20"/>
                <w:szCs w:val="20"/>
                <w:color w:val="auto"/>
              </w:rPr>
            </w:pPr>
            <w:r>
              <w:rPr>
                <w:rFonts w:ascii="Times New Roman" w:cs="Times New Roman" w:eastAsia="Times New Roman" w:hAnsi="Times New Roman"/>
                <w:sz w:val="18"/>
                <w:szCs w:val="18"/>
                <w:b w:val="1"/>
                <w:bCs w:val="1"/>
                <w:color w:val="auto"/>
              </w:rPr>
              <w:t>As of March 31,</w:t>
            </w:r>
          </w:p>
        </w:tc>
        <w:tc>
          <w:tcPr>
            <w:tcW w:w="6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spacing w:after="0"/>
              <w:rPr>
                <w:sz w:val="21"/>
                <w:szCs w:val="21"/>
                <w:color w:val="auto"/>
              </w:rPr>
            </w:pPr>
          </w:p>
        </w:tc>
      </w:tr>
      <w:tr>
        <w:trPr>
          <w:trHeight w:val="250"/>
        </w:trPr>
        <w:tc>
          <w:tcPr>
            <w:tcW w:w="486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2024</w:t>
            </w:r>
          </w:p>
        </w:tc>
        <w:tc>
          <w:tcPr>
            <w:tcW w:w="54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460" w:type="dxa"/>
            <w:vAlign w:val="bottom"/>
            <w:tcBorders>
              <w:bottom w:val="single" w:sz="8" w:color="auto"/>
            </w:tcBorders>
            <w:gridSpan w:val="4"/>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0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Percent</w:t>
            </w:r>
          </w:p>
        </w:tc>
      </w:tr>
      <w:tr>
        <w:trPr>
          <w:trHeight w:val="506"/>
        </w:trPr>
        <w:tc>
          <w:tcPr>
            <w:tcW w:w="496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Policies In Force, as of end of Period</w:t>
            </w: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63"/>
        </w:trPr>
        <w:tc>
          <w:tcPr>
            <w:tcW w:w="496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Core</w:t>
            </w:r>
          </w:p>
        </w:tc>
        <w:tc>
          <w:tcPr>
            <w:tcW w:w="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73,965</w:t>
            </w:r>
          </w:p>
        </w:tc>
        <w:tc>
          <w:tcPr>
            <w:tcW w:w="100" w:type="dxa"/>
            <w:vAlign w:val="bottom"/>
            <w:shd w:val="clear" w:color="auto" w:fill="CCEEFF"/>
          </w:tcPr>
          <w:p>
            <w:pPr>
              <w:spacing w:after="0"/>
              <w:rPr>
                <w:sz w:val="22"/>
                <w:szCs w:val="22"/>
                <w:color w:val="auto"/>
              </w:rPr>
            </w:pPr>
          </w:p>
        </w:tc>
        <w:tc>
          <w:tcPr>
            <w:tcW w:w="14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66,991</w:t>
            </w:r>
          </w:p>
        </w:tc>
        <w:tc>
          <w:tcPr>
            <w:tcW w:w="8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6,974</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10.4 %</w:t>
            </w:r>
          </w:p>
        </w:tc>
      </w:tr>
      <w:tr>
        <w:trPr>
          <w:trHeight w:val="250"/>
        </w:trPr>
        <w:tc>
          <w:tcPr>
            <w:tcW w:w="4960" w:type="dxa"/>
            <w:vAlign w:val="bottom"/>
            <w:tcBorders>
              <w:bottom w:val="single" w:sz="8" w:color="CCEEFF"/>
            </w:tcBorders>
            <w:gridSpan w:val="3"/>
          </w:tcPr>
          <w:p>
            <w:pPr>
              <w:ind w:left="180"/>
              <w:spacing w:after="0"/>
              <w:rPr>
                <w:sz w:val="20"/>
                <w:szCs w:val="20"/>
                <w:color w:val="auto"/>
              </w:rPr>
            </w:pPr>
            <w:r>
              <w:rPr>
                <w:rFonts w:ascii="Times New Roman" w:cs="Times New Roman" w:eastAsia="Times New Roman" w:hAnsi="Times New Roman"/>
                <w:sz w:val="18"/>
                <w:szCs w:val="18"/>
                <w:color w:val="auto"/>
              </w:rPr>
              <w:t>Non-Core</w:t>
            </w:r>
          </w:p>
        </w:tc>
        <w:tc>
          <w:tcPr>
            <w:tcW w:w="2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2,940</w:t>
            </w:r>
          </w:p>
        </w:tc>
        <w:tc>
          <w:tcPr>
            <w:tcW w:w="100" w:type="dxa"/>
            <w:vAlign w:val="bottom"/>
            <w:tcBorders>
              <w:bottom w:val="single" w:sz="8" w:color="CCEEFF"/>
            </w:tcBorders>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9,080</w:t>
            </w:r>
          </w:p>
        </w:tc>
        <w:tc>
          <w:tcPr>
            <w:tcW w:w="80" w:type="dxa"/>
            <w:vAlign w:val="bottom"/>
            <w:tcBorders>
              <w:bottom w:val="single" w:sz="8" w:color="CCEEFF"/>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(6,140)</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CCEEFF"/>
            </w:tcBorders>
          </w:tcPr>
          <w:p>
            <w:pPr>
              <w:spacing w:after="0"/>
              <w:rPr>
                <w:sz w:val="21"/>
                <w:szCs w:val="21"/>
                <w:color w:val="auto"/>
              </w:rPr>
            </w:pPr>
          </w:p>
        </w:tc>
        <w:tc>
          <w:tcPr>
            <w:tcW w:w="13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(67.6)%</w:t>
            </w:r>
          </w:p>
        </w:tc>
      </w:tr>
      <w:tr>
        <w:trPr>
          <w:trHeight w:val="281"/>
        </w:trPr>
        <w:tc>
          <w:tcPr>
            <w:tcW w:w="496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policies in force</w:t>
            </w:r>
          </w:p>
        </w:tc>
        <w:tc>
          <w:tcPr>
            <w:tcW w:w="20" w:type="dxa"/>
            <w:vAlign w:val="bottom"/>
            <w:tcBorders>
              <w:bottom w:val="single" w:sz="8" w:color="auto"/>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120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76,905</w:t>
            </w:r>
          </w:p>
        </w:tc>
        <w:tc>
          <w:tcPr>
            <w:tcW w:w="100" w:type="dxa"/>
            <w:vAlign w:val="bottom"/>
            <w:tcBorders>
              <w:bottom w:val="single" w:sz="8" w:color="CCEEFF"/>
            </w:tcBorders>
            <w:shd w:val="clear" w:color="auto" w:fill="CCEEFF"/>
          </w:tcPr>
          <w:p>
            <w:pPr>
              <w:spacing w:after="0"/>
              <w:rPr>
                <w:sz w:val="24"/>
                <w:szCs w:val="24"/>
                <w:color w:val="auto"/>
              </w:rPr>
            </w:pPr>
          </w:p>
        </w:tc>
        <w:tc>
          <w:tcPr>
            <w:tcW w:w="146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76,071</w:t>
            </w:r>
          </w:p>
        </w:tc>
        <w:tc>
          <w:tcPr>
            <w:tcW w:w="8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auto"/>
            </w:tcBorders>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834</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1.1 %</w:t>
            </w:r>
          </w:p>
        </w:tc>
      </w:tr>
      <w:tr>
        <w:trPr>
          <w:trHeight w:val="20"/>
        </w:trPr>
        <w:tc>
          <w:tcPr>
            <w:tcW w:w="48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r>
      <w:tr>
        <w:trPr>
          <w:trHeight w:val="541"/>
        </w:trPr>
        <w:tc>
          <w:tcPr>
            <w:tcW w:w="4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gridSpan w:val="9"/>
          </w:tcPr>
          <w:p>
            <w:pPr>
              <w:ind w:left="6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6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300" w:type="dxa"/>
            <w:vAlign w:val="bottom"/>
          </w:tcPr>
          <w:p>
            <w:pPr>
              <w:spacing w:after="0"/>
              <w:rPr>
                <w:sz w:val="24"/>
                <w:szCs w:val="24"/>
                <w:color w:val="auto"/>
              </w:rPr>
            </w:pPr>
          </w:p>
        </w:tc>
      </w:tr>
      <w:tr>
        <w:trPr>
          <w:trHeight w:val="244"/>
        </w:trPr>
        <w:tc>
          <w:tcPr>
            <w:tcW w:w="48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(000’s except percentages)</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1"/>
                <w:szCs w:val="21"/>
                <w:color w:val="auto"/>
              </w:rPr>
            </w:pPr>
          </w:p>
        </w:tc>
        <w:tc>
          <w:tcPr>
            <w:tcW w:w="1120" w:type="dxa"/>
            <w:vAlign w:val="bottom"/>
            <w:tcBorders>
              <w:bottom w:val="single" w:sz="8" w:color="auto"/>
            </w:tcBorders>
            <w:gridSpan w:val="3"/>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gridSpan w:val="3"/>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Percent</w:t>
            </w:r>
          </w:p>
        </w:tc>
        <w:tc>
          <w:tcPr>
            <w:tcW w:w="1300" w:type="dxa"/>
            <w:vAlign w:val="bottom"/>
          </w:tcPr>
          <w:p>
            <w:pPr>
              <w:spacing w:after="0"/>
              <w:rPr>
                <w:sz w:val="21"/>
                <w:szCs w:val="21"/>
                <w:color w:val="auto"/>
              </w:rPr>
            </w:pPr>
          </w:p>
        </w:tc>
      </w:tr>
      <w:tr>
        <w:trPr>
          <w:trHeight w:val="513"/>
        </w:trPr>
        <w:tc>
          <w:tcPr>
            <w:tcW w:w="496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Direct written premiums</w:t>
            </w:r>
            <w:r>
              <w:rPr>
                <w:rFonts w:ascii="Times New Roman" w:cs="Times New Roman" w:eastAsia="Times New Roman" w:hAnsi="Times New Roman"/>
                <w:sz w:val="23"/>
                <w:szCs w:val="23"/>
                <w:b w:val="1"/>
                <w:bCs w:val="1"/>
                <w:color w:val="auto"/>
                <w:vertAlign w:val="superscript"/>
              </w:rPr>
              <w:t>1</w:t>
            </w: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56"/>
        </w:trPr>
        <w:tc>
          <w:tcPr>
            <w:tcW w:w="4960" w:type="dxa"/>
            <w:vAlign w:val="bottom"/>
            <w:gridSpan w:val="3"/>
            <w:shd w:val="clear" w:color="auto" w:fill="CCEEFF"/>
          </w:tcPr>
          <w:p>
            <w:pPr>
              <w:ind w:left="180"/>
              <w:spacing w:after="0" w:line="256" w:lineRule="exact"/>
              <w:rPr>
                <w:sz w:val="20"/>
                <w:szCs w:val="20"/>
                <w:color w:val="auto"/>
              </w:rPr>
            </w:pPr>
            <w:r>
              <w:rPr>
                <w:rFonts w:ascii="Times New Roman" w:cs="Times New Roman" w:eastAsia="Times New Roman" w:hAnsi="Times New Roman"/>
                <w:sz w:val="18"/>
                <w:szCs w:val="18"/>
                <w:color w:val="auto"/>
              </w:rPr>
              <w:t>Core</w:t>
            </w:r>
            <w:r>
              <w:rPr>
                <w:rFonts w:ascii="Times New Roman" w:cs="Times New Roman" w:eastAsia="Times New Roman" w:hAnsi="Times New Roman"/>
                <w:sz w:val="23"/>
                <w:szCs w:val="23"/>
                <w:color w:val="auto"/>
                <w:vertAlign w:val="superscript"/>
              </w:rPr>
              <w:t>1</w:t>
            </w:r>
          </w:p>
        </w:tc>
        <w:tc>
          <w:tcPr>
            <w:tcW w:w="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57,175</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46,587</w:t>
            </w:r>
          </w:p>
        </w:tc>
        <w:tc>
          <w:tcPr>
            <w:tcW w:w="100" w:type="dxa"/>
            <w:vAlign w:val="bottom"/>
            <w:shd w:val="clear" w:color="auto" w:fill="CCEEFF"/>
          </w:tcPr>
          <w:p>
            <w:pPr>
              <w:spacing w:after="0"/>
              <w:rPr>
                <w:sz w:val="22"/>
                <w:szCs w:val="22"/>
                <w:color w:val="auto"/>
              </w:rPr>
            </w:pPr>
          </w:p>
        </w:tc>
        <w:tc>
          <w:tcPr>
            <w:tcW w:w="54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10,588</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22.7 %</w:t>
            </w:r>
          </w:p>
        </w:tc>
        <w:tc>
          <w:tcPr>
            <w:tcW w:w="1300" w:type="dxa"/>
            <w:vAlign w:val="bottom"/>
          </w:tcPr>
          <w:p>
            <w:pPr>
              <w:spacing w:after="0"/>
              <w:rPr>
                <w:sz w:val="22"/>
                <w:szCs w:val="22"/>
                <w:color w:val="auto"/>
              </w:rPr>
            </w:pPr>
          </w:p>
        </w:tc>
      </w:tr>
      <w:tr>
        <w:trPr>
          <w:trHeight w:val="257"/>
        </w:trPr>
        <w:tc>
          <w:tcPr>
            <w:tcW w:w="4960" w:type="dxa"/>
            <w:vAlign w:val="bottom"/>
            <w:tcBorders>
              <w:bottom w:val="single" w:sz="8" w:color="CCEEFF"/>
            </w:tcBorders>
            <w:gridSpan w:val="3"/>
          </w:tcPr>
          <w:p>
            <w:pPr>
              <w:ind w:left="180"/>
              <w:spacing w:after="0" w:line="256" w:lineRule="exact"/>
              <w:rPr>
                <w:sz w:val="20"/>
                <w:szCs w:val="20"/>
                <w:color w:val="auto"/>
              </w:rPr>
            </w:pPr>
            <w:r>
              <w:rPr>
                <w:rFonts w:ascii="Times New Roman" w:cs="Times New Roman" w:eastAsia="Times New Roman" w:hAnsi="Times New Roman"/>
                <w:sz w:val="18"/>
                <w:szCs w:val="18"/>
                <w:color w:val="auto"/>
              </w:rPr>
              <w:t>Non-Core</w:t>
            </w:r>
            <w:r>
              <w:rPr>
                <w:rFonts w:ascii="Times New Roman" w:cs="Times New Roman" w:eastAsia="Times New Roman" w:hAnsi="Times New Roman"/>
                <w:sz w:val="23"/>
                <w:szCs w:val="23"/>
                <w:color w:val="auto"/>
                <w:vertAlign w:val="superscript"/>
              </w:rPr>
              <w:t>1</w:t>
            </w:r>
          </w:p>
        </w:tc>
        <w:tc>
          <w:tcPr>
            <w:tcW w:w="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2,738</w:t>
            </w:r>
          </w:p>
        </w:tc>
        <w:tc>
          <w:tcPr>
            <w:tcW w:w="100" w:type="dxa"/>
            <w:vAlign w:val="bottom"/>
            <w:tcBorders>
              <w:bottom w:val="single" w:sz="8" w:color="CCEEFF"/>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(1,738)</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1100" w:type="dxa"/>
            <w:vAlign w:val="bottom"/>
            <w:tcBorders>
              <w:bottom w:val="single" w:sz="8" w:color="CCEEFF"/>
            </w:tcBorders>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(63.5)%</w:t>
            </w:r>
          </w:p>
        </w:tc>
        <w:tc>
          <w:tcPr>
            <w:tcW w:w="1300" w:type="dxa"/>
            <w:vAlign w:val="bottom"/>
          </w:tcPr>
          <w:p>
            <w:pPr>
              <w:spacing w:after="0"/>
              <w:rPr>
                <w:sz w:val="22"/>
                <w:szCs w:val="22"/>
                <w:color w:val="auto"/>
              </w:rPr>
            </w:pPr>
          </w:p>
        </w:tc>
      </w:tr>
      <w:tr>
        <w:trPr>
          <w:trHeight w:val="270"/>
        </w:trPr>
        <w:tc>
          <w:tcPr>
            <w:tcW w:w="49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direct written premiums</w:t>
            </w:r>
          </w:p>
        </w:tc>
        <w:tc>
          <w:tcPr>
            <w:tcW w:w="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58,175</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49,325</w:t>
            </w:r>
          </w:p>
        </w:tc>
        <w:tc>
          <w:tcPr>
            <w:tcW w:w="100" w:type="dxa"/>
            <w:vAlign w:val="bottom"/>
            <w:shd w:val="clear" w:color="auto" w:fill="CCEEFF"/>
          </w:tcPr>
          <w:p>
            <w:pPr>
              <w:spacing w:after="0"/>
              <w:rPr>
                <w:sz w:val="23"/>
                <w:szCs w:val="23"/>
                <w:color w:val="auto"/>
              </w:rPr>
            </w:pPr>
          </w:p>
        </w:tc>
        <w:tc>
          <w:tcPr>
            <w:tcW w:w="54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8,850</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17.9 %</w:t>
            </w:r>
          </w:p>
        </w:tc>
        <w:tc>
          <w:tcPr>
            <w:tcW w:w="1300" w:type="dxa"/>
            <w:vAlign w:val="bottom"/>
          </w:tcPr>
          <w:p>
            <w:pPr>
              <w:spacing w:after="0"/>
              <w:rPr>
                <w:sz w:val="23"/>
                <w:szCs w:val="23"/>
                <w:color w:val="auto"/>
              </w:rPr>
            </w:pPr>
          </w:p>
        </w:tc>
      </w:tr>
      <w:tr>
        <w:trPr>
          <w:trHeight w:val="20"/>
        </w:trPr>
        <w:tc>
          <w:tcPr>
            <w:tcW w:w="48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bl>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(Columns in the table above may not sum to totals due to rounding)</w:t>
      </w:r>
    </w:p>
    <w:p>
      <w:pPr>
        <w:spacing w:after="0" w:line="224"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Direct written premiums, Core written premiums, and Non-Core written premiums are non-GAAP measures defined above under "Key GAAP and Non-GAAP Measures". See "Non-GAAP Financial Measures" below for the reconciliation of direct written premiums, Core written premiums, and Non-Core written premiums to the GAAP measure of net premiums earned.</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Consolidated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Three Months Ended March 31, 2025 Compared to Three Months Ended March 31, 2024</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The following table summarizes the changes in the results of our operations (in thousands) for the periods indicated:</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19" w:right="1440"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60" w:type="dxa"/>
            <w:vAlign w:val="bottom"/>
            <w:gridSpan w:val="4"/>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8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48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tcPr>
          <w:p>
            <w:pPr>
              <w:spacing w:after="0"/>
              <w:rPr>
                <w:sz w:val="16"/>
                <w:szCs w:val="16"/>
                <w:color w:val="auto"/>
              </w:rPr>
            </w:pPr>
          </w:p>
        </w:tc>
        <w:tc>
          <w:tcPr>
            <w:tcW w:w="1440" w:type="dxa"/>
            <w:vAlign w:val="bottom"/>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48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48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Direct written premiums (1)</w:t>
            </w:r>
          </w:p>
        </w:tc>
        <w:tc>
          <w:tcPr>
            <w:tcW w:w="4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58,175</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49,325</w:t>
            </w:r>
          </w:p>
        </w:tc>
        <w:tc>
          <w:tcPr>
            <w:tcW w:w="8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8,850</w:t>
            </w:r>
          </w:p>
        </w:tc>
        <w:tc>
          <w:tcPr>
            <w:tcW w:w="172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17.9 %</w:t>
            </w:r>
          </w:p>
        </w:tc>
        <w:tc>
          <w:tcPr>
            <w:tcW w:w="0" w:type="dxa"/>
            <w:vAlign w:val="bottom"/>
          </w:tcPr>
          <w:p>
            <w:pPr>
              <w:spacing w:after="0"/>
              <w:rPr>
                <w:sz w:val="1"/>
                <w:szCs w:val="1"/>
                <w:color w:val="auto"/>
              </w:rPr>
            </w:pPr>
          </w:p>
        </w:tc>
      </w:tr>
      <w:tr>
        <w:trPr>
          <w:trHeight w:val="193"/>
        </w:trPr>
        <w:tc>
          <w:tcPr>
            <w:tcW w:w="48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Assumed written premiums</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na%</w:t>
            </w:r>
          </w:p>
        </w:tc>
        <w:tc>
          <w:tcPr>
            <w:tcW w:w="0" w:type="dxa"/>
            <w:vAlign w:val="bottom"/>
          </w:tcPr>
          <w:p>
            <w:pPr>
              <w:spacing w:after="0"/>
              <w:rPr>
                <w:sz w:val="1"/>
                <w:szCs w:val="1"/>
                <w:color w:val="auto"/>
              </w:rPr>
            </w:pPr>
          </w:p>
        </w:tc>
      </w:tr>
      <w:tr>
        <w:trPr>
          <w:trHeight w:val="23"/>
        </w:trPr>
        <w:tc>
          <w:tcPr>
            <w:tcW w:w="48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20" w:type="dxa"/>
            <w:vAlign w:val="bottom"/>
            <w:tcBorders>
              <w:bottom w:val="single" w:sz="8" w:color="CCEEFF"/>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48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58,175</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49,325</w:t>
            </w:r>
          </w:p>
        </w:tc>
        <w:tc>
          <w:tcPr>
            <w:tcW w:w="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8,850</w:t>
            </w:r>
          </w:p>
        </w:tc>
        <w:tc>
          <w:tcPr>
            <w:tcW w:w="172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17.9 %</w:t>
            </w:r>
          </w:p>
        </w:tc>
        <w:tc>
          <w:tcPr>
            <w:tcW w:w="0" w:type="dxa"/>
            <w:vAlign w:val="bottom"/>
          </w:tcPr>
          <w:p>
            <w:pPr>
              <w:spacing w:after="0"/>
              <w:rPr>
                <w:sz w:val="1"/>
                <w:szCs w:val="1"/>
                <w:color w:val="auto"/>
              </w:rPr>
            </w:pPr>
          </w:p>
        </w:tc>
      </w:tr>
      <w:tr>
        <w:trPr>
          <w:trHeight w:val="173"/>
        </w:trPr>
        <w:tc>
          <w:tcPr>
            <w:tcW w:w="48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Ceded written premiums</w:t>
            </w:r>
          </w:p>
        </w:tc>
        <w:tc>
          <w:tcPr>
            <w:tcW w:w="100" w:type="dxa"/>
            <w:vAlign w:val="bottom"/>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4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48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Ceded to quota share treaties (2)</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(4,193)</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9,831</w:t>
            </w:r>
          </w:p>
        </w:tc>
        <w:tc>
          <w:tcPr>
            <w:tcW w:w="8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(14,024)</w:t>
            </w:r>
          </w:p>
        </w:tc>
        <w:tc>
          <w:tcPr>
            <w:tcW w:w="15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142.7</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486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Ceded to excess of loss treaties</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1,359</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1,399</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17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(2.9 %)</w:t>
            </w:r>
          </w:p>
        </w:tc>
        <w:tc>
          <w:tcPr>
            <w:tcW w:w="0" w:type="dxa"/>
            <w:vAlign w:val="bottom"/>
          </w:tcPr>
          <w:p>
            <w:pPr>
              <w:spacing w:after="0"/>
              <w:rPr>
                <w:sz w:val="1"/>
                <w:szCs w:val="1"/>
                <w:color w:val="auto"/>
              </w:rPr>
            </w:pPr>
          </w:p>
        </w:tc>
      </w:tr>
      <w:tr>
        <w:trPr>
          <w:trHeight w:val="23"/>
        </w:trPr>
        <w:tc>
          <w:tcPr>
            <w:tcW w:w="4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8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Ceded to catastrophe treaties</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6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na%</w:t>
            </w:r>
          </w:p>
        </w:tc>
        <w:tc>
          <w:tcPr>
            <w:tcW w:w="0" w:type="dxa"/>
            <w:vAlign w:val="bottom"/>
          </w:tcPr>
          <w:p>
            <w:pPr>
              <w:spacing w:after="0"/>
              <w:rPr>
                <w:sz w:val="1"/>
                <w:szCs w:val="1"/>
                <w:color w:val="auto"/>
              </w:rPr>
            </w:pPr>
          </w:p>
        </w:tc>
      </w:tr>
      <w:tr>
        <w:trPr>
          <w:trHeight w:val="186"/>
        </w:trPr>
        <w:tc>
          <w:tcPr>
            <w:tcW w:w="48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Total ceded written premiums</w:t>
            </w:r>
          </w:p>
        </w:tc>
        <w:tc>
          <w:tcPr>
            <w:tcW w:w="10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(2,834)</w:t>
            </w:r>
          </w:p>
        </w:tc>
        <w:tc>
          <w:tcPr>
            <w:tcW w:w="10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11,230</w:t>
            </w:r>
          </w:p>
        </w:tc>
        <w:tc>
          <w:tcPr>
            <w:tcW w:w="8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(14,064)</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125.2</w:t>
            </w: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3"/>
        </w:trPr>
        <w:tc>
          <w:tcPr>
            <w:tcW w:w="48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20" w:type="dxa"/>
            <w:vAlign w:val="bottom"/>
            <w:tcBorders>
              <w:bottom w:val="single" w:sz="8" w:color="CCEEFF"/>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4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48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Net written premiums (1)</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61,009</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38,095</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22,914</w:t>
            </w:r>
          </w:p>
        </w:tc>
        <w:tc>
          <w:tcPr>
            <w:tcW w:w="17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60.1 %</w:t>
            </w:r>
          </w:p>
        </w:tc>
        <w:tc>
          <w:tcPr>
            <w:tcW w:w="0" w:type="dxa"/>
            <w:vAlign w:val="bottom"/>
          </w:tcPr>
          <w:p>
            <w:pPr>
              <w:spacing w:after="0"/>
              <w:rPr>
                <w:sz w:val="1"/>
                <w:szCs w:val="1"/>
                <w:color w:val="auto"/>
              </w:rPr>
            </w:pPr>
          </w:p>
        </w:tc>
      </w:tr>
      <w:tr>
        <w:trPr>
          <w:trHeight w:val="23"/>
        </w:trPr>
        <w:tc>
          <w:tcPr>
            <w:tcW w:w="48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4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48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Change in unearned premiums</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48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Direct and assumed</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2,470</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672</w:t>
            </w:r>
          </w:p>
        </w:tc>
        <w:tc>
          <w:tcPr>
            <w:tcW w:w="8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1,798</w:t>
            </w:r>
          </w:p>
        </w:tc>
        <w:tc>
          <w:tcPr>
            <w:tcW w:w="100" w:type="dxa"/>
            <w:vAlign w:val="bottom"/>
            <w:tcBorders>
              <w:bottom w:val="single" w:sz="8" w:color="CCEEFF"/>
            </w:tcBorders>
            <w:shd w:val="clear" w:color="auto" w:fill="CCEEFF"/>
          </w:tcPr>
          <w:p>
            <w:pPr>
              <w:spacing w:after="0"/>
              <w:rPr>
                <w:sz w:val="17"/>
                <w:szCs w:val="17"/>
                <w:color w:val="auto"/>
              </w:rPr>
            </w:pPr>
          </w:p>
        </w:tc>
        <w:tc>
          <w:tcPr>
            <w:tcW w:w="16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na%</w:t>
            </w:r>
          </w:p>
        </w:tc>
        <w:tc>
          <w:tcPr>
            <w:tcW w:w="0" w:type="dxa"/>
            <w:vAlign w:val="bottom"/>
          </w:tcPr>
          <w:p>
            <w:pPr>
              <w:spacing w:after="0"/>
              <w:rPr>
                <w:sz w:val="1"/>
                <w:szCs w:val="1"/>
                <w:color w:val="auto"/>
              </w:rPr>
            </w:pPr>
          </w:p>
        </w:tc>
      </w:tr>
      <w:tr>
        <w:trPr>
          <w:trHeight w:val="193"/>
        </w:trPr>
        <w:tc>
          <w:tcPr>
            <w:tcW w:w="486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Ceded to reinsurance treaties (2)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(19,957)</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(9,947)</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(10,010)</w:t>
            </w:r>
          </w:p>
        </w:tc>
        <w:tc>
          <w:tcPr>
            <w:tcW w:w="17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(100.6) %</w:t>
            </w:r>
          </w:p>
        </w:tc>
        <w:tc>
          <w:tcPr>
            <w:tcW w:w="0" w:type="dxa"/>
            <w:vAlign w:val="bottom"/>
          </w:tcPr>
          <w:p>
            <w:pPr>
              <w:spacing w:after="0"/>
              <w:rPr>
                <w:sz w:val="1"/>
                <w:szCs w:val="1"/>
                <w:color w:val="auto"/>
              </w:rPr>
            </w:pPr>
          </w:p>
        </w:tc>
      </w:tr>
      <w:tr>
        <w:trPr>
          <w:trHeight w:val="23"/>
        </w:trPr>
        <w:tc>
          <w:tcPr>
            <w:tcW w:w="48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20" w:type="dxa"/>
            <w:vAlign w:val="bottom"/>
            <w:tcBorders>
              <w:bottom w:val="single" w:sz="8" w:color="CCEEFF"/>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48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Change in net unearned premiums</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(17,486)</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(9,275)</w:t>
            </w:r>
          </w:p>
        </w:tc>
        <w:tc>
          <w:tcPr>
            <w:tcW w:w="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(8,211)</w:t>
            </w:r>
          </w:p>
        </w:tc>
        <w:tc>
          <w:tcPr>
            <w:tcW w:w="172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(88.5) %</w:t>
            </w:r>
          </w:p>
        </w:tc>
        <w:tc>
          <w:tcPr>
            <w:tcW w:w="0" w:type="dxa"/>
            <w:vAlign w:val="bottom"/>
          </w:tcPr>
          <w:p>
            <w:pPr>
              <w:spacing w:after="0"/>
              <w:rPr>
                <w:sz w:val="1"/>
                <w:szCs w:val="1"/>
                <w:color w:val="auto"/>
              </w:rPr>
            </w:pPr>
          </w:p>
        </w:tc>
      </w:tr>
      <w:tr>
        <w:trPr>
          <w:trHeight w:val="183"/>
        </w:trPr>
        <w:tc>
          <w:tcPr>
            <w:tcW w:w="4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8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Premiums earned</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4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486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Direct and assumed</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60,645</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49,996</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10,649</w:t>
            </w:r>
          </w:p>
        </w:tc>
        <w:tc>
          <w:tcPr>
            <w:tcW w:w="17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21.3 %</w:t>
            </w:r>
          </w:p>
        </w:tc>
        <w:tc>
          <w:tcPr>
            <w:tcW w:w="0" w:type="dxa"/>
            <w:vAlign w:val="bottom"/>
          </w:tcPr>
          <w:p>
            <w:pPr>
              <w:spacing w:after="0"/>
              <w:rPr>
                <w:sz w:val="1"/>
                <w:szCs w:val="1"/>
                <w:color w:val="auto"/>
              </w:rPr>
            </w:pPr>
          </w:p>
        </w:tc>
      </w:tr>
      <w:tr>
        <w:trPr>
          <w:trHeight w:val="23"/>
        </w:trPr>
        <w:tc>
          <w:tcPr>
            <w:tcW w:w="4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8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Ceded to reinsurance treaties</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(17,122)</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(21,176)</w:t>
            </w:r>
          </w:p>
        </w:tc>
        <w:tc>
          <w:tcPr>
            <w:tcW w:w="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4,054</w:t>
            </w:r>
          </w:p>
        </w:tc>
        <w:tc>
          <w:tcPr>
            <w:tcW w:w="172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19.1 %</w:t>
            </w:r>
          </w:p>
        </w:tc>
        <w:tc>
          <w:tcPr>
            <w:tcW w:w="0" w:type="dxa"/>
            <w:vAlign w:val="bottom"/>
          </w:tcPr>
          <w:p>
            <w:pPr>
              <w:spacing w:after="0"/>
              <w:rPr>
                <w:sz w:val="1"/>
                <w:szCs w:val="1"/>
                <w:color w:val="auto"/>
              </w:rPr>
            </w:pPr>
          </w:p>
        </w:tc>
      </w:tr>
      <w:tr>
        <w:trPr>
          <w:trHeight w:val="186"/>
        </w:trPr>
        <w:tc>
          <w:tcPr>
            <w:tcW w:w="48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Net premiums earned</w:t>
            </w:r>
          </w:p>
        </w:tc>
        <w:tc>
          <w:tcPr>
            <w:tcW w:w="10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43,523</w:t>
            </w:r>
          </w:p>
        </w:tc>
        <w:tc>
          <w:tcPr>
            <w:tcW w:w="10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28,820</w:t>
            </w:r>
          </w:p>
        </w:tc>
        <w:tc>
          <w:tcPr>
            <w:tcW w:w="8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14,703</w:t>
            </w:r>
          </w:p>
        </w:tc>
        <w:tc>
          <w:tcPr>
            <w:tcW w:w="17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51.0 %</w:t>
            </w:r>
          </w:p>
        </w:tc>
        <w:tc>
          <w:tcPr>
            <w:tcW w:w="0" w:type="dxa"/>
            <w:vAlign w:val="bottom"/>
          </w:tcPr>
          <w:p>
            <w:pPr>
              <w:spacing w:after="0"/>
              <w:rPr>
                <w:sz w:val="1"/>
                <w:szCs w:val="1"/>
                <w:color w:val="auto"/>
              </w:rPr>
            </w:pPr>
          </w:p>
        </w:tc>
      </w:tr>
      <w:tr>
        <w:trPr>
          <w:trHeight w:val="23"/>
        </w:trPr>
        <w:tc>
          <w:tcPr>
            <w:tcW w:w="4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20" w:type="dxa"/>
            <w:vAlign w:val="bottom"/>
            <w:gridSpan w:val="2"/>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48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Ceding commission revenue (2)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2,959</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4,567</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(1,608)</w:t>
            </w:r>
          </w:p>
        </w:tc>
        <w:tc>
          <w:tcPr>
            <w:tcW w:w="17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(35.2) %</w:t>
            </w:r>
          </w:p>
        </w:tc>
        <w:tc>
          <w:tcPr>
            <w:tcW w:w="0" w:type="dxa"/>
            <w:vAlign w:val="bottom"/>
          </w:tcPr>
          <w:p>
            <w:pPr>
              <w:spacing w:after="0"/>
              <w:rPr>
                <w:sz w:val="1"/>
                <w:szCs w:val="1"/>
                <w:color w:val="auto"/>
              </w:rPr>
            </w:pPr>
          </w:p>
        </w:tc>
      </w:tr>
      <w:tr>
        <w:trPr>
          <w:trHeight w:val="23"/>
        </w:trPr>
        <w:tc>
          <w:tcPr>
            <w:tcW w:w="4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48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Net investment income</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2,049</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1,503</w:t>
            </w:r>
          </w:p>
        </w:tc>
        <w:tc>
          <w:tcPr>
            <w:tcW w:w="8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546</w:t>
            </w:r>
          </w:p>
        </w:tc>
        <w:tc>
          <w:tcPr>
            <w:tcW w:w="172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36.3 %</w:t>
            </w:r>
          </w:p>
        </w:tc>
        <w:tc>
          <w:tcPr>
            <w:tcW w:w="0" w:type="dxa"/>
            <w:vAlign w:val="bottom"/>
          </w:tcPr>
          <w:p>
            <w:pPr>
              <w:spacing w:after="0"/>
              <w:rPr>
                <w:sz w:val="1"/>
                <w:szCs w:val="1"/>
                <w:color w:val="auto"/>
              </w:rPr>
            </w:pPr>
          </w:p>
        </w:tc>
      </w:tr>
      <w:tr>
        <w:trPr>
          <w:trHeight w:val="193"/>
        </w:trPr>
        <w:tc>
          <w:tcPr>
            <w:tcW w:w="48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Net (losses) gains on investments</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726</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(864)</w:t>
            </w:r>
          </w:p>
        </w:tc>
        <w:tc>
          <w:tcPr>
            <w:tcW w:w="100" w:type="dxa"/>
            <w:vAlign w:val="bottom"/>
          </w:tcPr>
          <w:p>
            <w:pPr>
              <w:spacing w:after="0"/>
              <w:rPr>
                <w:sz w:val="16"/>
                <w:szCs w:val="16"/>
                <w:color w:val="auto"/>
              </w:rPr>
            </w:pP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na%</w:t>
            </w:r>
          </w:p>
        </w:tc>
        <w:tc>
          <w:tcPr>
            <w:tcW w:w="0" w:type="dxa"/>
            <w:vAlign w:val="bottom"/>
          </w:tcPr>
          <w:p>
            <w:pPr>
              <w:spacing w:after="0"/>
              <w:rPr>
                <w:sz w:val="1"/>
                <w:szCs w:val="1"/>
                <w:color w:val="auto"/>
              </w:rPr>
            </w:pPr>
          </w:p>
        </w:tc>
      </w:tr>
      <w:tr>
        <w:trPr>
          <w:trHeight w:val="23"/>
        </w:trPr>
        <w:tc>
          <w:tcPr>
            <w:tcW w:w="4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3"/>
        </w:trPr>
        <w:tc>
          <w:tcPr>
            <w:tcW w:w="4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Gain on sale of real estate</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1,966</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1,966</w:t>
            </w:r>
          </w:p>
        </w:tc>
        <w:tc>
          <w:tcPr>
            <w:tcW w:w="100" w:type="dxa"/>
            <w:vAlign w:val="bottom"/>
            <w:shd w:val="clear" w:color="auto" w:fill="CCEEFF"/>
          </w:tcPr>
          <w:p>
            <w:pPr>
              <w:spacing w:after="0"/>
              <w:rPr>
                <w:sz w:val="16"/>
                <w:szCs w:val="16"/>
                <w:color w:val="auto"/>
              </w:rPr>
            </w:pPr>
          </w:p>
        </w:tc>
        <w:tc>
          <w:tcPr>
            <w:tcW w:w="1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na%</w:t>
            </w:r>
          </w:p>
        </w:tc>
        <w:tc>
          <w:tcPr>
            <w:tcW w:w="0" w:type="dxa"/>
            <w:vAlign w:val="bottom"/>
          </w:tcPr>
          <w:p>
            <w:pPr>
              <w:spacing w:after="0"/>
              <w:rPr>
                <w:sz w:val="1"/>
                <w:szCs w:val="1"/>
                <w:color w:val="auto"/>
              </w:rPr>
            </w:pPr>
          </w:p>
        </w:tc>
      </w:tr>
      <w:tr>
        <w:trPr>
          <w:trHeight w:val="239"/>
        </w:trPr>
        <w:tc>
          <w:tcPr>
            <w:tcW w:w="48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Other income</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w:t>
            </w: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72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 %</w:t>
            </w:r>
          </w:p>
        </w:tc>
        <w:tc>
          <w:tcPr>
            <w:tcW w:w="0" w:type="dxa"/>
            <w:vAlign w:val="bottom"/>
          </w:tcPr>
          <w:p>
            <w:pPr>
              <w:spacing w:after="0"/>
              <w:rPr>
                <w:sz w:val="1"/>
                <w:szCs w:val="1"/>
                <w:color w:val="auto"/>
              </w:rPr>
            </w:pPr>
          </w:p>
        </w:tc>
      </w:tr>
      <w:tr>
        <w:trPr>
          <w:trHeight w:val="186"/>
        </w:trPr>
        <w:tc>
          <w:tcPr>
            <w:tcW w:w="486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Total revenues</w:t>
            </w:r>
          </w:p>
        </w:tc>
        <w:tc>
          <w:tcPr>
            <w:tcW w:w="10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50,499</w:t>
            </w:r>
          </w:p>
        </w:tc>
        <w:tc>
          <w:tcPr>
            <w:tcW w:w="10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35,765</w:t>
            </w:r>
          </w:p>
        </w:tc>
        <w:tc>
          <w:tcPr>
            <w:tcW w:w="8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14,734</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41.2</w:t>
            </w: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3"/>
        </w:trPr>
        <w:tc>
          <w:tcPr>
            <w:tcW w:w="48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4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Expenses</w:t>
            </w: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1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4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48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Loss and loss adjustment expenses</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48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Direct and assumed:</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4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486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Loss and loss adjustment expenses excluding the effect of catastrophes</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33,341</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20,642</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12,699</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61.5</w:t>
            </w: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3"/>
        </w:trPr>
        <w:tc>
          <w:tcPr>
            <w:tcW w:w="4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8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Losses from catastrophes (3)</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893</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2,079</w:t>
            </w:r>
          </w:p>
        </w:tc>
        <w:tc>
          <w:tcPr>
            <w:tcW w:w="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(1,186)</w:t>
            </w:r>
          </w:p>
        </w:tc>
        <w:tc>
          <w:tcPr>
            <w:tcW w:w="172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(57.0) %</w:t>
            </w:r>
          </w:p>
        </w:tc>
        <w:tc>
          <w:tcPr>
            <w:tcW w:w="0" w:type="dxa"/>
            <w:vAlign w:val="bottom"/>
          </w:tcPr>
          <w:p>
            <w:pPr>
              <w:spacing w:after="0"/>
              <w:rPr>
                <w:sz w:val="1"/>
                <w:szCs w:val="1"/>
                <w:color w:val="auto"/>
              </w:rPr>
            </w:pPr>
          </w:p>
        </w:tc>
      </w:tr>
      <w:tr>
        <w:trPr>
          <w:trHeight w:val="186"/>
        </w:trPr>
        <w:tc>
          <w:tcPr>
            <w:tcW w:w="486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Total direct and assumed loss and loss adjustment expenses</w:t>
            </w:r>
          </w:p>
        </w:tc>
        <w:tc>
          <w:tcPr>
            <w:tcW w:w="10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34,234</w:t>
            </w:r>
          </w:p>
        </w:tc>
        <w:tc>
          <w:tcPr>
            <w:tcW w:w="10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22,720</w:t>
            </w:r>
          </w:p>
        </w:tc>
        <w:tc>
          <w:tcPr>
            <w:tcW w:w="8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11,514</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50.7</w:t>
            </w: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3"/>
        </w:trPr>
        <w:tc>
          <w:tcPr>
            <w:tcW w:w="48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4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486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Ceded loss and loss adjustment expenses:</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48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Loss and loss adjustment expenses excluding the effect of catastrophes</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6,916</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4,268</w:t>
            </w:r>
          </w:p>
        </w:tc>
        <w:tc>
          <w:tcPr>
            <w:tcW w:w="8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2,648</w:t>
            </w:r>
          </w:p>
        </w:tc>
        <w:tc>
          <w:tcPr>
            <w:tcW w:w="15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62.0</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486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Losses from catastrophes (3)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593</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(450)</w:t>
            </w:r>
          </w:p>
        </w:tc>
        <w:tc>
          <w:tcPr>
            <w:tcW w:w="17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(75.9) %</w:t>
            </w:r>
          </w:p>
        </w:tc>
        <w:tc>
          <w:tcPr>
            <w:tcW w:w="0" w:type="dxa"/>
            <w:vAlign w:val="bottom"/>
          </w:tcPr>
          <w:p>
            <w:pPr>
              <w:spacing w:after="0"/>
              <w:rPr>
                <w:sz w:val="1"/>
                <w:szCs w:val="1"/>
                <w:color w:val="auto"/>
              </w:rPr>
            </w:pPr>
          </w:p>
        </w:tc>
      </w:tr>
      <w:tr>
        <w:trPr>
          <w:trHeight w:val="23"/>
        </w:trPr>
        <w:tc>
          <w:tcPr>
            <w:tcW w:w="48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48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Total ceded loss and loss adjustment expenses</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7,059</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4,861</w:t>
            </w:r>
          </w:p>
        </w:tc>
        <w:tc>
          <w:tcPr>
            <w:tcW w:w="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2,198</w:t>
            </w:r>
          </w:p>
        </w:tc>
        <w:tc>
          <w:tcPr>
            <w:tcW w:w="15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45.2</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3"/>
        </w:trPr>
        <w:tc>
          <w:tcPr>
            <w:tcW w:w="4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8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Net loss and loss adjustment expenses:</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4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486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Loss and loss adjustment expenses excluding the effect of catastrophes</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26,425</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16,374</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10,051</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61.4</w:t>
            </w: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3"/>
        </w:trPr>
        <w:tc>
          <w:tcPr>
            <w:tcW w:w="4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8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Losses from catastrophes (3)</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750</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1,486</w:t>
            </w:r>
          </w:p>
        </w:tc>
        <w:tc>
          <w:tcPr>
            <w:tcW w:w="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(736)</w:t>
            </w:r>
          </w:p>
        </w:tc>
        <w:tc>
          <w:tcPr>
            <w:tcW w:w="172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(49.5) %</w:t>
            </w:r>
          </w:p>
        </w:tc>
        <w:tc>
          <w:tcPr>
            <w:tcW w:w="0" w:type="dxa"/>
            <w:vAlign w:val="bottom"/>
          </w:tcPr>
          <w:p>
            <w:pPr>
              <w:spacing w:after="0"/>
              <w:rPr>
                <w:sz w:val="1"/>
                <w:szCs w:val="1"/>
                <w:color w:val="auto"/>
              </w:rPr>
            </w:pPr>
          </w:p>
        </w:tc>
      </w:tr>
      <w:tr>
        <w:trPr>
          <w:trHeight w:val="186"/>
        </w:trPr>
        <w:tc>
          <w:tcPr>
            <w:tcW w:w="486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Net loss and loss adjustment expenses</w:t>
            </w:r>
          </w:p>
        </w:tc>
        <w:tc>
          <w:tcPr>
            <w:tcW w:w="10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27,175</w:t>
            </w:r>
          </w:p>
        </w:tc>
        <w:tc>
          <w:tcPr>
            <w:tcW w:w="10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17,860</w:t>
            </w:r>
          </w:p>
        </w:tc>
        <w:tc>
          <w:tcPr>
            <w:tcW w:w="8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9,315</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52.2</w:t>
            </w: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3"/>
        </w:trPr>
        <w:tc>
          <w:tcPr>
            <w:tcW w:w="48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4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48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Commission expense</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9,313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7,852</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1,461</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18.6</w:t>
            </w: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3"/>
        </w:trPr>
        <w:tc>
          <w:tcPr>
            <w:tcW w:w="4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48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Other underwriting expenses</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7,405</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5,881</w:t>
            </w:r>
          </w:p>
        </w:tc>
        <w:tc>
          <w:tcPr>
            <w:tcW w:w="8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1,524</w:t>
            </w:r>
          </w:p>
        </w:tc>
        <w:tc>
          <w:tcPr>
            <w:tcW w:w="15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25.9</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48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Other operating expenses</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1,036</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778</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258</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33.2</w:t>
            </w: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4"/>
        </w:trPr>
        <w:tc>
          <w:tcPr>
            <w:tcW w:w="4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48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624</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597</w:t>
            </w:r>
          </w:p>
        </w:tc>
        <w:tc>
          <w:tcPr>
            <w:tcW w:w="8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15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48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Interest expense</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227</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994</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(767)</w:t>
            </w:r>
          </w:p>
        </w:tc>
        <w:tc>
          <w:tcPr>
            <w:tcW w:w="17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(77.2) %</w:t>
            </w:r>
          </w:p>
        </w:tc>
        <w:tc>
          <w:tcPr>
            <w:tcW w:w="0" w:type="dxa"/>
            <w:vAlign w:val="bottom"/>
          </w:tcPr>
          <w:p>
            <w:pPr>
              <w:spacing w:after="0"/>
              <w:rPr>
                <w:sz w:val="1"/>
                <w:szCs w:val="1"/>
                <w:color w:val="auto"/>
              </w:rPr>
            </w:pPr>
          </w:p>
        </w:tc>
      </w:tr>
      <w:tr>
        <w:trPr>
          <w:trHeight w:val="24"/>
        </w:trPr>
        <w:tc>
          <w:tcPr>
            <w:tcW w:w="48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8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Total expenses</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45,780</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33,961</w:t>
            </w:r>
          </w:p>
        </w:tc>
        <w:tc>
          <w:tcPr>
            <w:tcW w:w="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11,819</w:t>
            </w:r>
          </w:p>
        </w:tc>
        <w:tc>
          <w:tcPr>
            <w:tcW w:w="15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34.8</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3"/>
        </w:trPr>
        <w:tc>
          <w:tcPr>
            <w:tcW w:w="4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8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Income before taxes</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4,718</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1,805</w:t>
            </w:r>
          </w:p>
        </w:tc>
        <w:tc>
          <w:tcPr>
            <w:tcW w:w="8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2,913</w:t>
            </w:r>
          </w:p>
        </w:tc>
        <w:tc>
          <w:tcPr>
            <w:tcW w:w="172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1.614</w:t>
            </w:r>
          </w:p>
        </w:tc>
        <w:tc>
          <w:tcPr>
            <w:tcW w:w="0" w:type="dxa"/>
            <w:vAlign w:val="bottom"/>
          </w:tcPr>
          <w:p>
            <w:pPr>
              <w:spacing w:after="0"/>
              <w:rPr>
                <w:sz w:val="1"/>
                <w:szCs w:val="1"/>
                <w:color w:val="auto"/>
              </w:rPr>
            </w:pPr>
          </w:p>
        </w:tc>
      </w:tr>
      <w:tr>
        <w:trPr>
          <w:trHeight w:val="193"/>
        </w:trPr>
        <w:tc>
          <w:tcPr>
            <w:tcW w:w="48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Income tax expense</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836</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378</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458</w:t>
            </w:r>
          </w:p>
        </w:tc>
        <w:tc>
          <w:tcPr>
            <w:tcW w:w="17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1.212</w:t>
            </w:r>
          </w:p>
        </w:tc>
        <w:tc>
          <w:tcPr>
            <w:tcW w:w="0" w:type="dxa"/>
            <w:vAlign w:val="bottom"/>
          </w:tcPr>
          <w:p>
            <w:pPr>
              <w:spacing w:after="0"/>
              <w:rPr>
                <w:sz w:val="1"/>
                <w:szCs w:val="1"/>
                <w:color w:val="auto"/>
              </w:rPr>
            </w:pPr>
          </w:p>
        </w:tc>
      </w:tr>
      <w:tr>
        <w:trPr>
          <w:trHeight w:val="24"/>
        </w:trPr>
        <w:tc>
          <w:tcPr>
            <w:tcW w:w="48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20" w:type="dxa"/>
            <w:vAlign w:val="bottom"/>
            <w:tcBorders>
              <w:bottom w:val="single" w:sz="8" w:color="CCEEFF"/>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29"/>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income</w:t>
            </w:r>
          </w:p>
        </w:tc>
        <w:tc>
          <w:tcPr>
            <w:tcW w:w="4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3,883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1,427</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2,456</w:t>
            </w:r>
          </w:p>
        </w:tc>
        <w:tc>
          <w:tcPr>
            <w:tcW w:w="17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1.721</w:t>
            </w:r>
          </w:p>
        </w:tc>
        <w:tc>
          <w:tcPr>
            <w:tcW w:w="0" w:type="dxa"/>
            <w:vAlign w:val="bottom"/>
          </w:tcPr>
          <w:p>
            <w:pPr>
              <w:spacing w:after="0"/>
              <w:rPr>
                <w:sz w:val="1"/>
                <w:szCs w:val="1"/>
                <w:color w:val="auto"/>
              </w:rPr>
            </w:pPr>
          </w:p>
        </w:tc>
      </w:tr>
      <w:tr>
        <w:trPr>
          <w:trHeight w:val="20"/>
        </w:trPr>
        <w:tc>
          <w:tcPr>
            <w:tcW w:w="4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(Columns in the table above may not sum to totals due to rounding)</w:t>
      </w:r>
    </w:p>
    <w:p>
      <w:pPr>
        <w:sectPr>
          <w:pgSz w:w="11900" w:h="16838" w:orient="portrait"/>
          <w:cols w:equalWidth="0" w:num="1">
            <w:col w:w="11240"/>
          </w:cols>
          <w:pgMar w:left="320" w:top="11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55" w:name="page56"/>
    <w:bookmarkEnd w:id="55"/>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1620" w:right="400" w:hanging="802"/>
        <w:spacing w:after="0" w:line="282" w:lineRule="auto"/>
        <w:tabs>
          <w:tab w:leader="none" w:pos="161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 written premiums and net premiums written are non-GAAP measures, defined above under "Key GAAP and Non-GAAP Measures", and reconciled in the table herein to the GAAP measure of net premiums earned.</w:t>
      </w:r>
    </w:p>
    <w:p>
      <w:pPr>
        <w:spacing w:after="0" w:line="161" w:lineRule="exact"/>
        <w:rPr>
          <w:rFonts w:ascii="Times New Roman" w:cs="Times New Roman" w:eastAsia="Times New Roman" w:hAnsi="Times New Roman"/>
          <w:sz w:val="18"/>
          <w:szCs w:val="18"/>
          <w:color w:val="auto"/>
        </w:rPr>
      </w:pPr>
    </w:p>
    <w:p>
      <w:pPr>
        <w:jc w:val="both"/>
        <w:ind w:left="1620" w:right="40" w:hanging="802"/>
        <w:spacing w:after="0" w:line="266" w:lineRule="auto"/>
        <w:tabs>
          <w:tab w:leader="none" w:pos="161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three months ended March 31, 2024, our personal lines business was subject to a 27% quota share treaty, expiring on January 1, 2025, which included a runoff of a 3.0% portion through the remainder of 2024. Effective January 1, 2025, we entered into a 16% personal lines quota share treaty, under a cutoff.</w:t>
      </w:r>
    </w:p>
    <w:p>
      <w:pPr>
        <w:spacing w:after="0" w:line="175" w:lineRule="exact"/>
        <w:rPr>
          <w:rFonts w:ascii="Times New Roman" w:cs="Times New Roman" w:eastAsia="Times New Roman" w:hAnsi="Times New Roman"/>
          <w:sz w:val="18"/>
          <w:szCs w:val="18"/>
          <w:color w:val="auto"/>
        </w:rPr>
      </w:pPr>
    </w:p>
    <w:p>
      <w:pPr>
        <w:ind w:left="1620" w:right="120" w:hanging="802"/>
        <w:spacing w:after="0" w:line="261" w:lineRule="auto"/>
        <w:tabs>
          <w:tab w:leader="none" w:pos="161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three months ended March 31, 2025 and 2024 include catastrophe losses, which are defined as losses from an event for which a catastrophe bulletin and related serial number has been issued by the Property Claims Services (PCS) unit of the Insurance Services Office (ISO). PCS catastrophe bulletins are issued for events that cause more than $25 million in total insured losses and affect a significant number of policyholders and insurers.</w:t>
      </w:r>
    </w:p>
    <w:p>
      <w:pPr>
        <w:spacing w:after="0" w:line="230"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3039745</wp:posOffset>
            </wp:positionH>
            <wp:positionV relativeFrom="paragraph">
              <wp:posOffset>28575</wp:posOffset>
            </wp:positionV>
            <wp:extent cx="409765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4097655" cy="8255"/>
                    </a:xfrm>
                    <a:prstGeom prst="rect">
                      <a:avLst/>
                    </a:prstGeom>
                    <a:noFill/>
                  </pic:spPr>
                </pic:pic>
              </a:graphicData>
            </a:graphic>
          </wp:anchor>
        </w:drawing>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7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Percentage</w:t>
            </w:r>
          </w:p>
        </w:tc>
        <w:tc>
          <w:tcPr>
            <w:tcW w:w="1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4780" w:type="dxa"/>
            <w:vAlign w:val="bottom"/>
            <w:vMerge w:val="restart"/>
          </w:tcPr>
          <w:p>
            <w:pPr>
              <w:spacing w:after="0"/>
              <w:rPr>
                <w:sz w:val="19"/>
                <w:szCs w:val="19"/>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80" w:type="dxa"/>
            <w:vAlign w:val="bottom"/>
            <w:vMerge w:val="restart"/>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19"/>
                <w:szCs w:val="19"/>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Point</w:t>
            </w:r>
          </w:p>
        </w:tc>
        <w:tc>
          <w:tcPr>
            <w:tcW w:w="100" w:type="dxa"/>
            <w:vAlign w:val="bottom"/>
          </w:tcPr>
          <w:p>
            <w:pPr>
              <w:spacing w:after="0"/>
              <w:rPr>
                <w:sz w:val="19"/>
                <w:szCs w:val="19"/>
                <w:color w:val="auto"/>
              </w:rPr>
            </w:pPr>
          </w:p>
        </w:tc>
        <w:tc>
          <w:tcPr>
            <w:tcW w:w="158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Percent</w:t>
            </w:r>
          </w:p>
        </w:tc>
        <w:tc>
          <w:tcPr>
            <w:tcW w:w="0" w:type="dxa"/>
            <w:vAlign w:val="bottom"/>
          </w:tcPr>
          <w:p>
            <w:pPr>
              <w:spacing w:after="0"/>
              <w:rPr>
                <w:sz w:val="1"/>
                <w:szCs w:val="1"/>
                <w:color w:val="auto"/>
              </w:rPr>
            </w:pPr>
          </w:p>
        </w:tc>
      </w:tr>
      <w:tr>
        <w:trPr>
          <w:trHeight w:val="241"/>
        </w:trPr>
        <w:tc>
          <w:tcPr>
            <w:tcW w:w="4780" w:type="dxa"/>
            <w:vAlign w:val="bottom"/>
            <w:vMerge w:val="continue"/>
          </w:tcPr>
          <w:p>
            <w:pPr>
              <w:spacing w:after="0"/>
              <w:rPr>
                <w:sz w:val="20"/>
                <w:szCs w:val="20"/>
                <w:color w:val="auto"/>
              </w:rPr>
            </w:pPr>
          </w:p>
        </w:tc>
        <w:tc>
          <w:tcPr>
            <w:tcW w:w="1000" w:type="dxa"/>
            <w:vAlign w:val="bottom"/>
            <w:tcBorders>
              <w:bottom w:val="single" w:sz="8" w:color="auto"/>
            </w:tcBorders>
            <w:vMerge w:val="continue"/>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vMerge w:val="continue"/>
          </w:tcPr>
          <w:p>
            <w:pPr>
              <w:spacing w:after="0"/>
              <w:rPr>
                <w:sz w:val="20"/>
                <w:szCs w:val="20"/>
                <w:color w:val="auto"/>
              </w:rPr>
            </w:pPr>
          </w:p>
        </w:tc>
        <w:tc>
          <w:tcPr>
            <w:tcW w:w="80" w:type="dxa"/>
            <w:vAlign w:val="bottom"/>
          </w:tcPr>
          <w:p>
            <w:pPr>
              <w:spacing w:after="0"/>
              <w:rPr>
                <w:sz w:val="20"/>
                <w:szCs w:val="20"/>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00" w:type="dxa"/>
            <w:vAlign w:val="bottom"/>
          </w:tcPr>
          <w:p>
            <w:pPr>
              <w:spacing w:after="0"/>
              <w:rPr>
                <w:sz w:val="20"/>
                <w:szCs w:val="20"/>
                <w:color w:val="auto"/>
              </w:rPr>
            </w:pPr>
          </w:p>
        </w:tc>
        <w:tc>
          <w:tcPr>
            <w:tcW w:w="158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0" w:type="dxa"/>
            <w:vAlign w:val="bottom"/>
          </w:tcPr>
          <w:p>
            <w:pPr>
              <w:spacing w:after="0"/>
              <w:rPr>
                <w:sz w:val="1"/>
                <w:szCs w:val="1"/>
                <w:color w:val="auto"/>
              </w:rPr>
            </w:pPr>
          </w:p>
        </w:tc>
      </w:tr>
      <w:tr>
        <w:trPr>
          <w:trHeight w:val="448"/>
        </w:trPr>
        <w:tc>
          <w:tcPr>
            <w:tcW w:w="57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Key ratios:</w:t>
            </w: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57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loss ratio</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62.4 %</w:t>
            </w:r>
          </w:p>
        </w:tc>
        <w:tc>
          <w:tcPr>
            <w:tcW w:w="80" w:type="dxa"/>
            <w:vAlign w:val="bottom"/>
            <w:shd w:val="clear" w:color="auto" w:fill="CCEEFF"/>
          </w:tcPr>
          <w:p>
            <w:pPr>
              <w:spacing w:after="0"/>
              <w:rPr>
                <w:sz w:val="22"/>
                <w:szCs w:val="22"/>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62.0 %</w:t>
            </w:r>
          </w:p>
        </w:tc>
        <w:tc>
          <w:tcPr>
            <w:tcW w:w="80" w:type="dxa"/>
            <w:vAlign w:val="bottom"/>
            <w:shd w:val="clear" w:color="auto" w:fill="CCEEFF"/>
          </w:tcPr>
          <w:p>
            <w:pPr>
              <w:spacing w:after="0"/>
              <w:rPr>
                <w:sz w:val="22"/>
                <w:szCs w:val="22"/>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0.6 %</w:t>
            </w:r>
          </w:p>
        </w:tc>
        <w:tc>
          <w:tcPr>
            <w:tcW w:w="0" w:type="dxa"/>
            <w:vAlign w:val="bottom"/>
          </w:tcPr>
          <w:p>
            <w:pPr>
              <w:spacing w:after="0"/>
              <w:rPr>
                <w:sz w:val="1"/>
                <w:szCs w:val="1"/>
                <w:color w:val="auto"/>
              </w:rPr>
            </w:pPr>
          </w:p>
        </w:tc>
      </w:tr>
      <w:tr>
        <w:trPr>
          <w:trHeight w:val="250"/>
        </w:trPr>
        <w:tc>
          <w:tcPr>
            <w:tcW w:w="57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Net underwriting expense ratio</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31.3 %</w:t>
            </w:r>
          </w:p>
        </w:tc>
        <w:tc>
          <w:tcPr>
            <w:tcW w:w="8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31.3 %</w:t>
            </w:r>
          </w:p>
        </w:tc>
        <w:tc>
          <w:tcPr>
            <w:tcW w:w="8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82"/>
        </w:trPr>
        <w:tc>
          <w:tcPr>
            <w:tcW w:w="47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combined ratio</w:t>
            </w:r>
          </w:p>
        </w:tc>
        <w:tc>
          <w:tcPr>
            <w:tcW w:w="1000" w:type="dxa"/>
            <w:vAlign w:val="bottom"/>
            <w:tcBorders>
              <w:top w:val="single" w:sz="8" w:color="auto"/>
              <w:bottom w:val="single" w:sz="8" w:color="auto"/>
            </w:tcBorders>
            <w:shd w:val="clear" w:color="auto" w:fill="CCEEFF"/>
          </w:tcPr>
          <w:p>
            <w:pPr>
              <w:spacing w:after="0"/>
              <w:rPr>
                <w:sz w:val="24"/>
                <w:szCs w:val="24"/>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93.7 %</w:t>
            </w:r>
          </w:p>
        </w:tc>
        <w:tc>
          <w:tcPr>
            <w:tcW w:w="80" w:type="dxa"/>
            <w:vAlign w:val="bottom"/>
            <w:tcBorders>
              <w:top w:val="single" w:sz="8" w:color="CCEEFF"/>
              <w:bottom w:val="single" w:sz="8" w:color="CCEEFF"/>
            </w:tcBorders>
            <w:shd w:val="clear" w:color="auto" w:fill="CCEEFF"/>
          </w:tcPr>
          <w:p>
            <w:pPr>
              <w:spacing w:after="0"/>
              <w:rPr>
                <w:sz w:val="24"/>
                <w:szCs w:val="24"/>
                <w:color w:val="auto"/>
              </w:rPr>
            </w:pP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93.3 %</w:t>
            </w:r>
          </w:p>
        </w:tc>
        <w:tc>
          <w:tcPr>
            <w:tcW w:w="80" w:type="dxa"/>
            <w:vAlign w:val="bottom"/>
            <w:tcBorders>
              <w:top w:val="single" w:sz="8" w:color="CCEEFF"/>
              <w:bottom w:val="single" w:sz="8" w:color="CCEEFF"/>
            </w:tcBorders>
            <w:shd w:val="clear" w:color="auto" w:fill="CCEEFF"/>
          </w:tcPr>
          <w:p>
            <w:pPr>
              <w:spacing w:after="0"/>
              <w:rPr>
                <w:sz w:val="24"/>
                <w:szCs w:val="24"/>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68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0.4 %</w:t>
            </w:r>
          </w:p>
        </w:tc>
        <w:tc>
          <w:tcPr>
            <w:tcW w:w="0" w:type="dxa"/>
            <w:vAlign w:val="bottom"/>
          </w:tcPr>
          <w:p>
            <w:pPr>
              <w:spacing w:after="0"/>
              <w:rPr>
                <w:sz w:val="1"/>
                <w:szCs w:val="1"/>
                <w:color w:val="auto"/>
              </w:rPr>
            </w:pPr>
          </w:p>
        </w:tc>
      </w:tr>
      <w:tr>
        <w:trPr>
          <w:trHeight w:val="20"/>
        </w:trPr>
        <w:tc>
          <w:tcPr>
            <w:tcW w:w="47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Direct Written Premiums(1)</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Direct written premiums during the three months ended March 31, 2025 (“Three Months 2025”) were $58,175,000 compared to $49,325,000 during the three months ended March 31, 2024 (“Three Months 2024”). The increase of $8,850,000, or 17.9%, was primarily due to an increase in premiums from our personal lines business.</w:t>
      </w:r>
    </w:p>
    <w:p>
      <w:pPr>
        <w:spacing w:after="0" w:line="189"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18"/>
          <w:szCs w:val="18"/>
          <w:color w:val="auto"/>
        </w:rPr>
        <w:t>Direct written premiums from our personal lines business for Three Months 2025 were $54,313,000, an increase of $8,573,000, or 18.7%, from $45,740,000 in Three Months 2024. The 18.7% increase in premiums from our personal lines business was primarily due to the increase in premiums associated with our Core business of 22.7% offsetting a 63.5% decrease in our non-Core business. The increase in our Core business premiums and the decrease in our non-Core business premiums is in accordance with both our Kingstone 2.0 and Kingstone 3.0 strategic plans.</w:t>
      </w:r>
    </w:p>
    <w:p>
      <w:pPr>
        <w:spacing w:after="0" w:line="19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Direct written premiums from our livery physical damage business for Three Months 2025 were $3,847,000, an increase of $285,000, or 8.0%, from $3,562,000 in Three Months 2024. The increase in livery physical damage direct written premiums was due to the reversal of an underwriting restriction in place in Three Months 2024 to exclude certain electric vehicles until the approval of adequate rate for the risk was received, which happened in July 2024. The increase was also due to an increase in the values of the autos insured.</w:t>
      </w:r>
    </w:p>
    <w:p>
      <w:pPr>
        <w:spacing w:after="0" w:line="18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Direct written premiums from our Core business were $57,175,000 in Three Months 2025 compared to $46,587,000 in Three Months 2024, an increase of $10,588,000, or 22.7%. The increase in direct written premiums from our Core business was due to rate increases and an increase in policies in force. Policies in force from our Core business increased by 10.4% in Three Months 2025 compared to Three Months 2024. Direct written premiums from our non-Core business were $1,000,000 in Three Months 2025, as compared to $2,738,000 in Three Months 2024, a decrease of $1,738,000, or 63.5%. The decrease in direct written premiums from our non-Core business is a result of our decision to aggressively reduce the book of business in these states. Policies in force from our non-Core business decreased by 67.6% as of March 31, 2025 compared to March 31, 2024. The increase in our Core business and the decrease in our non-Core business is consistent with a key pillar of our Kingstone 3.0 strategy to reduce our non-Core business due to profitability concerns.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w:t>
      </w:r>
    </w:p>
    <w:p>
      <w:pPr>
        <w:spacing w:after="0" w:line="207" w:lineRule="exact"/>
        <w:rPr>
          <w:sz w:val="20"/>
          <w:szCs w:val="20"/>
          <w:color w:val="auto"/>
        </w:rPr>
      </w:pPr>
    </w:p>
    <w:p>
      <w:pPr>
        <w:ind w:firstLine="656"/>
        <w:spacing w:after="0" w:line="282" w:lineRule="auto"/>
        <w:tabs>
          <w:tab w:leader="none" w:pos="91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 written premiums is a non-GAAP measure, defined above under "Key GAAP and Non-GAAP Measures", and reconciled in the table above to the GAAP measure of net premiums earned.</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Net Written Premiums(1) and Net Premiums Earned</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Net written premiums increased $22,914,000, or 60.1%, to $61,009,000 in Three Months 2025 from $38,095,000 in Three Months 2024. Net written premiums include direct premiums, less the amount of written premiums ceded under our reinsurance treaties (quota share, excess of loss, and catastrophe). The increase in Three Months 2025 is primarily due to the additional premiums from the Change in Market Dynamics and changes to our personal lines quota share reinsurance treaty. See quota share reinsurance treaties discussion below.</w:t>
      </w:r>
    </w:p>
    <w:p>
      <w:pPr>
        <w:spacing w:after="0" w:line="1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Quota share reinsurance treaties</w:t>
      </w:r>
    </w:p>
    <w:p>
      <w:pPr>
        <w:spacing w:after="0" w:line="22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Effective January 1, 2024, we entered into a 27% quota share reinsurance treaty for our personal lines business, covering the period from January 1, 2024 through January 1, 2025 (“2024/2025 Treaty”). Upon expiration of the 2024/2025 Treaty on January 1, 2025, we entered into a new 16% quota share reinsurance treaty for our personal lines business, covering the period from January 1, 2025 through January 1, 2026 (“2025/2026 Treaty”). Our personal lines business was subject to the 2025/2026 Treaty in Three Months 2025, and the 2024/2025 Treaty in Three Months 2024. In Three Months 2025, our premiums ceded under quota share treaties decreased by $14,024,000 in comparison to premiums ceded under quota share treaties in Three Months 2024 (see table above). The decrease in Three Months 2025 was attributable to the decrease in quota share ceding percentage rates, offset by an increase in direct written premiums subject to the 2025/2026 Treaty compared to direct written premiums subject to the 2024/2025 Treaty. The inception of the 2025/2026 Treaty was recorded as a cutoff, resulting in the return of $11,471,000 from reinsurers to us of previously ceded written premiums that were unearned as of January 1, 2025.</w:t>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Excess of loss reinsurance treaties</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Three Months 2025, our ceded excess of loss reinsurance premiums decreased $40,000 compared to the ceded excess of loss premiums for Three Months 2024. Effective January 1, 2024, we entered into an underlying excess of loss reinsurance treaty (the “Underlying XOL Treaty”) covering the period from January 1, 2024 through January 1, 2025. The Underlying XOL Treaty provided 50% reinsurance coverage for losses of $400,000 in excess of $600,000. Losses from named storms were excluded from the Underlying XOL Treaty. Effective January 1, 2025, the Underlying XOL Treaty was renewed covering the period from January 1, 2025 through June 30, 2026.</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Catastrophe reinsurance treaties</w:t>
      </w:r>
    </w:p>
    <w:p>
      <w:pPr>
        <w:spacing w:after="0" w:line="22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Most of the premiums written under our personal lines policies are also subject to our catastrophe reinsurance treaties. An increase in our personal lines business historically gave rise to more property exposure, which increased our exposure to catastrophe risk; therefore, our premiums ceded under catastrophe treaties would increase. An increase in our personal lines business historically resulted in an increase in premiums ceded under our catastrophe treaties if reinsurance rates were stable or were increasing. Under Kingstone 2.0 and 3.0 we had a decrease in policies in force, and better catastrophe management, resulting in a decrease in catastrophe exposure, and a decrease in catastrophe premiums. On July 1, 2024 and 2023, we recorded our catastrophe premiums written for the entire treaty period covering July 1 through June 30, resulting in the entire annual premium written being recorded in the third quarter of 2024 and 2023. As a result of recording the entire annual catastrophe premiums at the inception of the treaties, there were no catastrophe premiums in Three Months 2025 or Three Months 2024.</w:t>
      </w:r>
    </w:p>
    <w:p>
      <w:pPr>
        <w:spacing w:after="0" w:line="19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Net premiums earned</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Net premiums earned increased $14,703,000, or 51.0%, to $43,523,000 in Three Months 2025 from $28,820,000 in Three Months 2024. The increase was due to the 11 percentage point reduction in quota share rates discussed above, the increase in premiums from the Change in Market Dynamics which began in the third quarter of 2024, and a decrease in catastrophe premium rates, reflected in ceded catastrophe premiums earned, which increased the amount of growth in net premiums earned.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w:t>
      </w:r>
    </w:p>
    <w:p>
      <w:pPr>
        <w:spacing w:after="0" w:line="225" w:lineRule="exact"/>
        <w:rPr>
          <w:sz w:val="20"/>
          <w:szCs w:val="20"/>
          <w:color w:val="auto"/>
        </w:rPr>
      </w:pPr>
    </w:p>
    <w:p>
      <w:pPr>
        <w:ind w:firstLine="656"/>
        <w:spacing w:after="0" w:line="282" w:lineRule="auto"/>
        <w:tabs>
          <w:tab w:leader="none" w:pos="924"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written premiums is a non-GAAP measure, defined above under "Key GAAP and Non-GAAP Measures", and reconciled in the table above to the GAAP measure of net premiums earned.</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Ceding Commission Revenue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the changes in the components of ceding commission revenue (in thousands) for the periods indicated:</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2760" w:type="dxa"/>
            <w:vAlign w:val="bottom"/>
            <w:tcBorders>
              <w:bottom w:val="single" w:sz="8" w:color="auto"/>
            </w:tcBorders>
            <w:gridSpan w:val="4"/>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10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tcPr>
          <w:p>
            <w:pPr>
              <w:spacing w:after="0"/>
              <w:rPr>
                <w:sz w:val="21"/>
                <w:szCs w:val="21"/>
                <w:color w:val="auto"/>
              </w:rPr>
            </w:pPr>
          </w:p>
        </w:tc>
      </w:tr>
      <w:tr>
        <w:trPr>
          <w:trHeight w:val="250"/>
        </w:trPr>
        <w:tc>
          <w:tcPr>
            <w:tcW w:w="49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 in thousands)</w:t>
            </w:r>
          </w:p>
        </w:tc>
        <w:tc>
          <w:tcPr>
            <w:tcW w:w="320" w:type="dxa"/>
            <w:vAlign w:val="bottom"/>
          </w:tcPr>
          <w:p>
            <w:pPr>
              <w:spacing w:after="0"/>
              <w:rPr>
                <w:sz w:val="21"/>
                <w:szCs w:val="21"/>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00" w:type="dxa"/>
            <w:vAlign w:val="bottom"/>
          </w:tcPr>
          <w:p>
            <w:pPr>
              <w:spacing w:after="0"/>
              <w:rPr>
                <w:sz w:val="21"/>
                <w:szCs w:val="21"/>
                <w:color w:val="auto"/>
              </w:rPr>
            </w:pPr>
          </w:p>
        </w:tc>
        <w:tc>
          <w:tcPr>
            <w:tcW w:w="160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Percent</w:t>
            </w:r>
          </w:p>
        </w:tc>
      </w:tr>
      <w:tr>
        <w:trPr>
          <w:trHeight w:val="257"/>
        </w:trPr>
        <w:tc>
          <w:tcPr>
            <w:tcW w:w="48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1140" w:type="dxa"/>
            <w:vAlign w:val="bottom"/>
            <w:tcBorders>
              <w:top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12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11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0" w:type="dxa"/>
            <w:vAlign w:val="bottom"/>
            <w:tcBorders>
              <w:top w:val="single" w:sz="8" w:color="auto"/>
            </w:tcBorders>
          </w:tcPr>
          <w:p>
            <w:pPr>
              <w:spacing w:after="0"/>
              <w:rPr>
                <w:sz w:val="22"/>
                <w:szCs w:val="22"/>
                <w:color w:val="auto"/>
              </w:rPr>
            </w:pPr>
          </w:p>
        </w:tc>
      </w:tr>
      <w:tr>
        <w:trPr>
          <w:trHeight w:val="256"/>
        </w:trPr>
        <w:tc>
          <w:tcPr>
            <w:tcW w:w="49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Provisional ceding commissions earned</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3,252</w:t>
            </w: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4,555</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(1,303)</w:t>
            </w:r>
          </w:p>
        </w:tc>
        <w:tc>
          <w:tcPr>
            <w:tcW w:w="1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w:t>
            </w:r>
          </w:p>
        </w:tc>
      </w:tr>
      <w:tr>
        <w:trPr>
          <w:trHeight w:val="250"/>
        </w:trPr>
        <w:tc>
          <w:tcPr>
            <w:tcW w:w="4980" w:type="dxa"/>
            <w:vAlign w:val="bottom"/>
            <w:tcBorders>
              <w:bottom w:val="single" w:sz="8" w:color="CCEEFF"/>
            </w:tcBorders>
            <w:gridSpan w:val="2"/>
          </w:tcPr>
          <w:p>
            <w:pPr>
              <w:ind w:left="40"/>
              <w:spacing w:after="0"/>
              <w:rPr>
                <w:sz w:val="20"/>
                <w:szCs w:val="20"/>
                <w:color w:val="auto"/>
              </w:rPr>
            </w:pPr>
            <w:r>
              <w:rPr>
                <w:rFonts w:ascii="Times New Roman" w:cs="Times New Roman" w:eastAsia="Times New Roman" w:hAnsi="Times New Roman"/>
                <w:sz w:val="18"/>
                <w:szCs w:val="18"/>
                <w:color w:val="auto"/>
              </w:rPr>
              <w:t>Contingent ceding commissions earned</w:t>
            </w:r>
          </w:p>
        </w:tc>
        <w:tc>
          <w:tcPr>
            <w:tcW w:w="3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8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100" w:type="dxa"/>
            <w:vAlign w:val="bottom"/>
            <w:tcBorders>
              <w:bottom w:val="single" w:sz="8" w:color="CCEEFF"/>
            </w:tcBorders>
          </w:tcPr>
          <w:p>
            <w:pPr>
              <w:spacing w:after="0"/>
              <w:rPr>
                <w:sz w:val="21"/>
                <w:szCs w:val="21"/>
                <w:color w:val="auto"/>
              </w:rPr>
            </w:pPr>
          </w:p>
        </w:tc>
        <w:tc>
          <w:tcPr>
            <w:tcW w:w="16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na%</w:t>
            </w:r>
          </w:p>
        </w:tc>
      </w:tr>
      <w:tr>
        <w:trPr>
          <w:trHeight w:val="257"/>
        </w:trPr>
        <w:tc>
          <w:tcPr>
            <w:tcW w:w="48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0" w:type="dxa"/>
            <w:vAlign w:val="bottom"/>
            <w:shd w:val="clear" w:color="auto" w:fill="CCEEFF"/>
          </w:tcPr>
          <w:p>
            <w:pPr>
              <w:spacing w:after="0"/>
              <w:rPr>
                <w:sz w:val="22"/>
                <w:szCs w:val="22"/>
                <w:color w:val="auto"/>
              </w:rPr>
            </w:pPr>
          </w:p>
        </w:tc>
      </w:tr>
      <w:tr>
        <w:trPr>
          <w:trHeight w:val="257"/>
        </w:trPr>
        <w:tc>
          <w:tcPr>
            <w:tcW w:w="49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Total ceding commission revenue</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2,959</w:t>
            </w:r>
          </w:p>
        </w:tc>
        <w:tc>
          <w:tcPr>
            <w:tcW w:w="80" w:type="dxa"/>
            <w:vAlign w:val="bottom"/>
          </w:tcPr>
          <w:p>
            <w:pPr>
              <w:spacing w:after="0"/>
              <w:rPr>
                <w:sz w:val="22"/>
                <w:szCs w:val="22"/>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4,567</w:t>
            </w:r>
          </w:p>
        </w:tc>
        <w:tc>
          <w:tcPr>
            <w:tcW w:w="100" w:type="dxa"/>
            <w:vAlign w:val="bottom"/>
          </w:tcPr>
          <w:p>
            <w:pPr>
              <w:spacing w:after="0"/>
              <w:rPr>
                <w:sz w:val="22"/>
                <w:szCs w:val="22"/>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(1,608)</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(35.2)%</w:t>
            </w:r>
          </w:p>
        </w:tc>
      </w:tr>
      <w:tr>
        <w:trPr>
          <w:trHeight w:val="21"/>
        </w:trPr>
        <w:tc>
          <w:tcPr>
            <w:tcW w:w="4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bl>
    <w:p>
      <w:pPr>
        <w:spacing w:after="0" w:line="25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Ceding commission revenue was $2,959,000 in Three Months 2025 compared to $4,567,000 in Three Months 2024. The decrease of $1,608,000 is explained below in the discussion of provisional ceding commissions earned and contingent ceding commissions earned.</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Provisional Ceding Commissions Earned</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Three Months 2025, we earned provisional ceding commissions of $3,252,000 from personal lines earned premiums ceded under the 2025/2026 Treaty, and in Three Months 2024, we earned provisional ceding commissions of $4,555,000 from personal lines earned premiums ceded under the 2024/2025 Treaty. The decrease of $1,303,000 in provisional ceding commissions earned was due to the decrease in premiums ceded under these treaties during Three Months 2025 compared to Three Months 2024, offset by an increase in ceding commission rates under the 2025/2026 Treaty.</w:t>
      </w:r>
    </w:p>
    <w:p>
      <w:pPr>
        <w:spacing w:after="0" w:line="1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Contingent Ceding Commissions Earned</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Under our 2025/2026 Treaty and prior years’ quota share treaties before July 1, 2022, we received a contingent ceding commission based on a Sliding Scale of commission rates and ultimate treaty year loss ratio on the policies reinsured under this agreement based upon which contingent ceding commissions are earned. The Sliding Scale includes minimum and maximum commission rates in relation to specified ultimate loss ratio. The commission rate and contingent ceding commissions earned increase when the estimated ultimate loss ratio decreases and, conversely, the commission rate and contingent ceding commissions earned decrease when the estimated ultimate loss ratio increases. The lower the ceded loss ratio, the more contingent commission we received.</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structure of the 2024/2025 Treaty called for a fixed provisional ceding commission with no opportunity to earn additional contingent ceding commissions.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Net Investment Income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Net investment income was $2,049,000 in Three Months 2025 compared to $1,503,000 in Three Months 2024, an increase of $546,000, or 36.3%.</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average yield on non-cash invested assets was 3.70% as of March 31, 2025 compared to 3.80% as of March 31, 2024.</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Cash and invested assets were $263,359,000 as of March 31, 2025 compared to $189,109,000 as of March 31, 2024, an increase of $74,250,000.</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Net (Losses) Gains on Investments</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Net (losses) on investments were $(138,000) in Three Months 2025 compared to net gains on investments of $726,000 in Three Months 2024. Unrealized (losses) on our equity securities and other investments in Three Months 2025 were $(2,000), compared to unrealized (losses) of $(92,000) in Three Months 2024. Net realized (losses) on sales of investments were $(136,000) in Three Months 2025 compared to net realized gains of $818,000 in Three Months 2024.</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Gain on Sale of Real Estate</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Gain on sale of real estate was $1,966,000 in Three Months 2025 compared to $— in Three Months 2024. On March 19, 2025 one of our subsidiaries closed on the sale of our headquarters building in Kingston, New York, along with an adjacent mixed-use property (collectively, the “Property”). The purchase price for the Property was $3,600,000. We are now renting a smaller facility in Kingston, New York.</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Other income was $140,000 in Three Months 2025 compared to $149,000 in Three Months 2024, a decrease of $9,000, or 6.0%.</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Net Loss and LAE</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Net loss and LAE was $27,175,000 for Three Months 2025 compared to $17,860,000 for Three Months 2024. The net loss ratio was 62.4% in Three Months 2025 compared to 62.0% in Three Months 2024, an increase of 0.4 percentage points.</w:t>
      </w:r>
    </w:p>
    <w:p>
      <w:pPr>
        <w:spacing w:after="0" w:line="162" w:lineRule="exact"/>
        <w:rPr>
          <w:sz w:val="20"/>
          <w:szCs w:val="20"/>
          <w:color w:val="auto"/>
        </w:rPr>
      </w:pPr>
    </w:p>
    <w:p>
      <w:pPr>
        <w:jc w:val="both"/>
        <w:ind w:firstLine="551"/>
        <w:spacing w:after="0" w:line="282" w:lineRule="auto"/>
        <w:rPr>
          <w:sz w:val="20"/>
          <w:szCs w:val="20"/>
          <w:color w:val="auto"/>
        </w:rPr>
      </w:pPr>
      <w:r>
        <w:rPr>
          <w:rFonts w:ascii="Times New Roman" w:cs="Times New Roman" w:eastAsia="Times New Roman" w:hAnsi="Times New Roman"/>
          <w:sz w:val="18"/>
          <w:szCs w:val="18"/>
          <w:color w:val="auto"/>
        </w:rPr>
        <w:t>The following graph summarizes the changes in the components of net loss ratio for the periods indicated, along with the comparable components excluding commercial lines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114300</wp:posOffset>
            </wp:positionV>
            <wp:extent cx="5066030" cy="37801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066030" cy="3780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i w:val="1"/>
          <w:iCs w:val="1"/>
          <w:color w:val="auto"/>
        </w:rPr>
        <w:t>(Percent components may not sum to totals due to rounding)</w:t>
      </w:r>
    </w:p>
    <w:p>
      <w:pPr>
        <w:spacing w:after="0" w:line="200" w:lineRule="exact"/>
        <w:rPr>
          <w:sz w:val="20"/>
          <w:szCs w:val="20"/>
          <w:color w:val="auto"/>
        </w:rPr>
      </w:pPr>
    </w:p>
    <w:p>
      <w:pPr>
        <w:spacing w:after="0" w:line="253"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18"/>
          <w:szCs w:val="18"/>
          <w:color w:val="auto"/>
        </w:rPr>
        <w:t>The loss ratio for Three Months 2025 was in line with Three Months 2024. The underlying loss ratio</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 xml:space="preserve"> (loss ratio excluding the impact of catastrophe and prior year development) for Three Months 2025 was higher than Three Months 2024 mainly due to a larger impact from large losses, while the catastrophe impact was lower and the impact of prior year development was about the same.</w:t>
      </w:r>
    </w:p>
    <w:p>
      <w:pPr>
        <w:spacing w:after="0" w:line="199" w:lineRule="exact"/>
        <w:rPr>
          <w:sz w:val="20"/>
          <w:szCs w:val="20"/>
          <w:color w:val="auto"/>
        </w:rPr>
      </w:pPr>
    </w:p>
    <w:p>
      <w:pPr>
        <w:jc w:val="both"/>
        <w:ind w:firstLine="648"/>
        <w:spacing w:after="0" w:line="226" w:lineRule="auto"/>
        <w:rPr>
          <w:sz w:val="20"/>
          <w:szCs w:val="20"/>
          <w:color w:val="auto"/>
        </w:rPr>
      </w:pPr>
      <w:r>
        <w:rPr>
          <w:rFonts w:ascii="Times New Roman" w:cs="Times New Roman" w:eastAsia="Times New Roman" w:hAnsi="Times New Roman"/>
          <w:sz w:val="18"/>
          <w:szCs w:val="18"/>
          <w:color w:val="auto"/>
        </w:rPr>
        <w:t>The underlying loss ratio</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 xml:space="preserve"> was 62.1% for Three Months 2025, an increase of 3.3 points from the 58.8% underlying loss ratio recorded for Three Months 2024. Overall personal lines non-catastrophe frequency for Three Months 2025 was lower than for the same period in 2024, which is believed to be the result of our new select product as well as our</w:t>
      </w:r>
    </w:p>
    <w:p>
      <w:pPr>
        <w:sectPr>
          <w:pgSz w:w="11900" w:h="16838" w:orient="portrait"/>
          <w:cols w:equalWidth="0" w:num="1">
            <w:col w:w="11240"/>
          </w:cols>
          <w:pgMar w:left="320" w:top="119" w:right="339" w:bottom="1440" w:gutter="0" w:footer="0" w:header="0"/>
        </w:sectPr>
      </w:pP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59" w:name="page60"/>
    <w:bookmarkEnd w:id="59"/>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392"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active efforts to manage less profitable segments. However, overall personal lines non-catastrophe severity for Three Months 2025 was higher than for Three Months 2024, primarily driven by a greater impact from large fire losses.</w:t>
      </w:r>
    </w:p>
    <w:p>
      <w:pPr>
        <w:spacing w:after="0" w:line="189"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There were three newly designated catastrophe events for Three Months 2025. The estimated total net catastrophe impact for the calendar quarter was $750,000, which contributed 1.7 points to the loss ratio. By comparison, the catastrophe impact for Three Months 2024 was 5.2 points.</w:t>
      </w:r>
    </w:p>
    <w:p>
      <w:pPr>
        <w:spacing w:after="0" w:line="189"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There was favorable prior year development of $599,000 for Three Months 2025, which translates to a 1.4 point decrease to the loss ratio. By comparison, the impact of prior year development for Three Months 2024 was a decrease of 2.0 points.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w:t>
      </w:r>
    </w:p>
    <w:p>
      <w:pPr>
        <w:spacing w:after="0" w:line="212" w:lineRule="exact"/>
        <w:rPr>
          <w:sz w:val="20"/>
          <w:szCs w:val="20"/>
          <w:color w:val="auto"/>
        </w:rPr>
      </w:pPr>
    </w:p>
    <w:p>
      <w:pPr>
        <w:jc w:val="both"/>
        <w:ind w:firstLine="615"/>
        <w:spacing w:after="0" w:line="261" w:lineRule="auto"/>
        <w:tabs>
          <w:tab w:leader="none" w:pos="888"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Underlying loss ratio is a non-GAAP ratio, which is computed as the GAAP net loss ratio excluding the effect of prior year loss reserve development and catastrophe losses.Net loss ratio excluding commercial lines business is a non-GAAP ratio, which is computed as the difference between the GAAP net loss ratio and the effect of commercial lines business. See "Non-GAAP Financial Measures" for the reconciliation of underlying loss ratio and net loss ratio excluding commercial lines business to the GAAP measure of net loss ratio.</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See table below under “Additional Financial Information” summarizing net loss ratios by line of 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Commission Expense</w:t>
      </w:r>
    </w:p>
    <w:p>
      <w:pPr>
        <w:spacing w:after="0" w:line="21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Commission expense was $9,313,000 in Three Months 2025 or 15.4% of direct earned premiums. Commission expense was $7,852,000 in Three Months 2024 or 15.7% of direct earned premiums. The increase of $1,461,000 was primarily due to an increase in direct earned premiums of $10,649,000.</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Other Underwriting Expenses</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Other underwriting expenses were $7,405,000, or 12.2% of direct earned premiums, in Three Months 2025 compared to $5,881,000, or 11.8% of direct earned premiums, in Three Months 2024. The increase of $1,524,000, or 25.9%, was primarily due to increases in salaries and employment costs as described below, an increase in underwriting fees due to growth and an increase in premium taxes due to the increase in direct earned premiums.</w:t>
      </w:r>
    </w:p>
    <w:p>
      <w:pPr>
        <w:spacing w:after="0" w:line="162"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18"/>
          <w:szCs w:val="18"/>
          <w:color w:val="auto"/>
        </w:rPr>
        <w:t>Our largest single component of other underwriting expenses is salaries and employment costs, with costs of $3,351,000 in Three Months 2025 compared to $2,601,000 in Three Months 2024. The increase of $750,000, or 28.8%, is unfavorable when compared to the 17.9% increase in direct written premiums; however, it is favorable when compared to the 51.0% increase in net premium earned. The increase in salaries and employment costs was due to hiring additional staff to handle the new business from the Change in Market Dynamics, the strengthening of our professional team by investing in the hiring of higher-level and higher compensated managers and staff needed to manage the business consistent with our Kingstone 2.0 and Kingstone 3.0 strategies, and annual employee salaries increases effective January 1, 2025.</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Our net underwriting expense ratio in Three Months 2025 was 31.3%, remaining constant with the 31.3% in Three Months 2024. The following table shows the individual components of our net underwriting expense ratio for the periods indicated: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420" w:type="dxa"/>
            <w:vAlign w:val="bottom"/>
          </w:tcPr>
          <w:p>
            <w:pPr>
              <w:spacing w:after="0"/>
              <w:rPr>
                <w:sz w:val="17"/>
                <w:szCs w:val="17"/>
                <w:color w:val="auto"/>
              </w:rPr>
            </w:pPr>
          </w:p>
        </w:tc>
        <w:tc>
          <w:tcPr>
            <w:tcW w:w="2980" w:type="dxa"/>
            <w:vAlign w:val="bottom"/>
          </w:tcPr>
          <w:p>
            <w:pPr>
              <w:spacing w:after="0"/>
              <w:rPr>
                <w:sz w:val="17"/>
                <w:szCs w:val="17"/>
                <w:color w:val="auto"/>
              </w:rPr>
            </w:pPr>
          </w:p>
        </w:tc>
        <w:tc>
          <w:tcPr>
            <w:tcW w:w="3360" w:type="dxa"/>
            <w:vAlign w:val="bottom"/>
            <w:gridSpan w:val="5"/>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1480" w:type="dxa"/>
            <w:vAlign w:val="bottom"/>
          </w:tcPr>
          <w:p>
            <w:pPr>
              <w:spacing w:after="0"/>
              <w:rPr>
                <w:sz w:val="17"/>
                <w:szCs w:val="17"/>
                <w:color w:val="auto"/>
              </w:rPr>
            </w:pPr>
          </w:p>
        </w:tc>
      </w:tr>
      <w:tr>
        <w:trPr>
          <w:trHeight w:val="265"/>
        </w:trPr>
        <w:tc>
          <w:tcPr>
            <w:tcW w:w="3420" w:type="dxa"/>
            <w:vAlign w:val="bottom"/>
          </w:tcPr>
          <w:p>
            <w:pPr>
              <w:spacing w:after="0"/>
              <w:rPr>
                <w:sz w:val="23"/>
                <w:szCs w:val="23"/>
                <w:color w:val="auto"/>
              </w:rPr>
            </w:pPr>
          </w:p>
        </w:tc>
        <w:tc>
          <w:tcPr>
            <w:tcW w:w="2980" w:type="dxa"/>
            <w:vAlign w:val="bottom"/>
          </w:tcPr>
          <w:p>
            <w:pPr>
              <w:spacing w:after="0"/>
              <w:rPr>
                <w:sz w:val="23"/>
                <w:szCs w:val="23"/>
                <w:color w:val="auto"/>
              </w:rPr>
            </w:pPr>
          </w:p>
        </w:tc>
        <w:tc>
          <w:tcPr>
            <w:tcW w:w="2160" w:type="dxa"/>
            <w:vAlign w:val="bottom"/>
            <w:tcBorders>
              <w:bottom w:val="single" w:sz="8" w:color="auto"/>
            </w:tcBorders>
            <w:gridSpan w:val="3"/>
          </w:tcPr>
          <w:p>
            <w:pPr>
              <w:jc w:val="center"/>
              <w:ind w:left="101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1120" w:type="dxa"/>
            <w:vAlign w:val="bottom"/>
            <w:tcBorders>
              <w:bottom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148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Percentage</w:t>
            </w:r>
          </w:p>
        </w:tc>
      </w:tr>
      <w:tr>
        <w:trPr>
          <w:trHeight w:val="243"/>
        </w:trPr>
        <w:tc>
          <w:tcPr>
            <w:tcW w:w="3420" w:type="dxa"/>
            <w:vAlign w:val="bottom"/>
          </w:tcPr>
          <w:p>
            <w:pPr>
              <w:spacing w:after="0"/>
              <w:rPr>
                <w:sz w:val="21"/>
                <w:szCs w:val="21"/>
                <w:color w:val="auto"/>
              </w:rPr>
            </w:pPr>
          </w:p>
        </w:tc>
        <w:tc>
          <w:tcPr>
            <w:tcW w:w="4560" w:type="dxa"/>
            <w:vAlign w:val="bottom"/>
            <w:gridSpan w:val="2"/>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2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21"/>
                <w:szCs w:val="21"/>
                <w:color w:val="auto"/>
              </w:rPr>
            </w:pPr>
          </w:p>
        </w:tc>
        <w:tc>
          <w:tcPr>
            <w:tcW w:w="148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Point Change</w:t>
            </w:r>
          </w:p>
        </w:tc>
      </w:tr>
      <w:tr>
        <w:trPr>
          <w:trHeight w:val="236"/>
        </w:trPr>
        <w:tc>
          <w:tcPr>
            <w:tcW w:w="3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underwriting expenses</w:t>
            </w:r>
          </w:p>
        </w:tc>
        <w:tc>
          <w:tcPr>
            <w:tcW w:w="2980" w:type="dxa"/>
            <w:vAlign w:val="bottom"/>
          </w:tcPr>
          <w:p>
            <w:pPr>
              <w:spacing w:after="0"/>
              <w:rPr>
                <w:sz w:val="20"/>
                <w:szCs w:val="20"/>
                <w:color w:val="auto"/>
              </w:rPr>
            </w:pPr>
          </w:p>
        </w:tc>
        <w:tc>
          <w:tcPr>
            <w:tcW w:w="15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480" w:type="dxa"/>
            <w:vAlign w:val="bottom"/>
            <w:tcBorders>
              <w:top w:val="single" w:sz="8" w:color="auto"/>
            </w:tcBorders>
          </w:tcPr>
          <w:p>
            <w:pPr>
              <w:spacing w:after="0"/>
              <w:rPr>
                <w:sz w:val="20"/>
                <w:szCs w:val="20"/>
                <w:color w:val="auto"/>
              </w:rPr>
            </w:pPr>
          </w:p>
        </w:tc>
      </w:tr>
      <w:tr>
        <w:trPr>
          <w:trHeight w:val="263"/>
        </w:trPr>
        <w:tc>
          <w:tcPr>
            <w:tcW w:w="34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Employment costs</w:t>
            </w:r>
          </w:p>
        </w:tc>
        <w:tc>
          <w:tcPr>
            <w:tcW w:w="4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7.7 %</w:t>
            </w: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9.0 %</w:t>
            </w:r>
          </w:p>
        </w:tc>
        <w:tc>
          <w:tcPr>
            <w:tcW w:w="80" w:type="dxa"/>
            <w:vAlign w:val="bottom"/>
            <w:shd w:val="clear" w:color="auto" w:fill="CCEEFF"/>
          </w:tcPr>
          <w:p>
            <w:pPr>
              <w:spacing w:after="0"/>
              <w:rPr>
                <w:sz w:val="22"/>
                <w:szCs w:val="22"/>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50"/>
        </w:trPr>
        <w:tc>
          <w:tcPr>
            <w:tcW w:w="3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Underwriting fees (inspections/surveys)</w:t>
            </w:r>
          </w:p>
        </w:tc>
        <w:tc>
          <w:tcPr>
            <w:tcW w:w="456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6.7</w:t>
            </w:r>
          </w:p>
        </w:tc>
        <w:tc>
          <w:tcPr>
            <w:tcW w:w="8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63"/>
        </w:trPr>
        <w:tc>
          <w:tcPr>
            <w:tcW w:w="34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IT expenses</w:t>
            </w:r>
          </w:p>
        </w:tc>
        <w:tc>
          <w:tcPr>
            <w:tcW w:w="456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2.1</w:t>
            </w:r>
          </w:p>
        </w:tc>
        <w:tc>
          <w:tcPr>
            <w:tcW w:w="80" w:type="dxa"/>
            <w:vAlign w:val="bottom"/>
            <w:shd w:val="clear" w:color="auto" w:fill="CCEEFF"/>
          </w:tcPr>
          <w:p>
            <w:pPr>
              <w:spacing w:after="0"/>
              <w:rPr>
                <w:sz w:val="22"/>
                <w:szCs w:val="22"/>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r>
      <w:tr>
        <w:trPr>
          <w:trHeight w:val="250"/>
        </w:trPr>
        <w:tc>
          <w:tcPr>
            <w:tcW w:w="3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Professional fees</w:t>
            </w:r>
          </w:p>
        </w:tc>
        <w:tc>
          <w:tcPr>
            <w:tcW w:w="456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63"/>
        </w:trPr>
        <w:tc>
          <w:tcPr>
            <w:tcW w:w="34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expenses</w:t>
            </w:r>
          </w:p>
        </w:tc>
        <w:tc>
          <w:tcPr>
            <w:tcW w:w="2980" w:type="dxa"/>
            <w:vAlign w:val="bottom"/>
            <w:shd w:val="clear" w:color="auto" w:fill="CCEEFF"/>
          </w:tcPr>
          <w:p>
            <w:pPr>
              <w:spacing w:after="0"/>
              <w:rPr>
                <w:sz w:val="22"/>
                <w:szCs w:val="22"/>
                <w:color w:val="auto"/>
              </w:rPr>
            </w:pPr>
          </w:p>
        </w:tc>
        <w:tc>
          <w:tcPr>
            <w:tcW w:w="15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4"/>
        </w:trPr>
        <w:tc>
          <w:tcPr>
            <w:tcW w:w="3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other underwriting expenses</w:t>
            </w:r>
          </w:p>
        </w:tc>
        <w:tc>
          <w:tcPr>
            <w:tcW w:w="456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17.0</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20.4</w:t>
            </w:r>
          </w:p>
        </w:tc>
        <w:tc>
          <w:tcPr>
            <w:tcW w:w="8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56"/>
        </w:trPr>
        <w:tc>
          <w:tcPr>
            <w:tcW w:w="3420" w:type="dxa"/>
            <w:vAlign w:val="bottom"/>
            <w:tcBorders>
              <w:top w:val="single" w:sz="8" w:color="CCEEFF"/>
            </w:tcBorders>
            <w:shd w:val="clear" w:color="auto" w:fill="CCEEFF"/>
          </w:tcPr>
          <w:p>
            <w:pPr>
              <w:spacing w:after="0"/>
              <w:rPr>
                <w:sz w:val="22"/>
                <w:szCs w:val="22"/>
                <w:color w:val="auto"/>
              </w:rPr>
            </w:pPr>
          </w:p>
        </w:tc>
        <w:tc>
          <w:tcPr>
            <w:tcW w:w="2980" w:type="dxa"/>
            <w:vAlign w:val="bottom"/>
            <w:tcBorders>
              <w:top w:val="single" w:sz="8" w:color="CCEEFF"/>
            </w:tcBorders>
            <w:shd w:val="clear" w:color="auto" w:fill="CCEEFF"/>
          </w:tcPr>
          <w:p>
            <w:pPr>
              <w:spacing w:after="0"/>
              <w:rPr>
                <w:sz w:val="22"/>
                <w:szCs w:val="22"/>
                <w:color w:val="auto"/>
              </w:rPr>
            </w:pPr>
          </w:p>
        </w:tc>
        <w:tc>
          <w:tcPr>
            <w:tcW w:w="158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480" w:type="dxa"/>
            <w:vAlign w:val="bottom"/>
            <w:tcBorders>
              <w:top w:val="single" w:sz="8" w:color="auto"/>
            </w:tcBorders>
            <w:shd w:val="clear" w:color="auto" w:fill="CCEEFF"/>
          </w:tcPr>
          <w:p>
            <w:pPr>
              <w:spacing w:after="0"/>
              <w:rPr>
                <w:sz w:val="22"/>
                <w:szCs w:val="22"/>
                <w:color w:val="auto"/>
              </w:rPr>
            </w:pPr>
          </w:p>
        </w:tc>
        <w:tc>
          <w:tcPr>
            <w:tcW w:w="1120" w:type="dxa"/>
            <w:vAlign w:val="bottom"/>
            <w:tcBorders>
              <w:top w:val="single" w:sz="8" w:color="auto"/>
            </w:tcBorders>
            <w:shd w:val="clear" w:color="auto" w:fill="CCEEFF"/>
          </w:tcPr>
          <w:p>
            <w:pPr>
              <w:spacing w:after="0"/>
              <w:rPr>
                <w:sz w:val="22"/>
                <w:szCs w:val="22"/>
                <w:color w:val="auto"/>
              </w:rPr>
            </w:pPr>
          </w:p>
        </w:tc>
        <w:tc>
          <w:tcPr>
            <w:tcW w:w="80" w:type="dxa"/>
            <w:vAlign w:val="bottom"/>
            <w:tcBorders>
              <w:top w:val="single" w:sz="8" w:color="CCEEFF"/>
            </w:tcBorders>
            <w:shd w:val="clear" w:color="auto" w:fill="CCEEFF"/>
          </w:tcPr>
          <w:p>
            <w:pPr>
              <w:spacing w:after="0"/>
              <w:rPr>
                <w:sz w:val="22"/>
                <w:szCs w:val="22"/>
                <w:color w:val="auto"/>
              </w:rPr>
            </w:pPr>
          </w:p>
        </w:tc>
        <w:tc>
          <w:tcPr>
            <w:tcW w:w="1480" w:type="dxa"/>
            <w:vAlign w:val="bottom"/>
            <w:tcBorders>
              <w:top w:val="single" w:sz="8" w:color="auto"/>
            </w:tcBorders>
            <w:shd w:val="clear" w:color="auto" w:fill="CCEEFF"/>
          </w:tcPr>
          <w:p>
            <w:pPr>
              <w:spacing w:after="0"/>
              <w:rPr>
                <w:sz w:val="22"/>
                <w:szCs w:val="22"/>
                <w:color w:val="auto"/>
              </w:rPr>
            </w:pPr>
          </w:p>
        </w:tc>
      </w:tr>
      <w:tr>
        <w:trPr>
          <w:trHeight w:val="250"/>
        </w:trPr>
        <w:tc>
          <w:tcPr>
            <w:tcW w:w="3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Commission expense</w:t>
            </w:r>
          </w:p>
        </w:tc>
        <w:tc>
          <w:tcPr>
            <w:tcW w:w="456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21.4</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27.2</w:t>
            </w:r>
          </w:p>
        </w:tc>
        <w:tc>
          <w:tcPr>
            <w:tcW w:w="8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57"/>
        </w:trPr>
        <w:tc>
          <w:tcPr>
            <w:tcW w:w="3420" w:type="dxa"/>
            <w:vAlign w:val="bottom"/>
            <w:tcBorders>
              <w:top w:val="single" w:sz="8" w:color="CCEEFF"/>
            </w:tcBorders>
            <w:shd w:val="clear" w:color="auto" w:fill="CCEEFF"/>
          </w:tcPr>
          <w:p>
            <w:pPr>
              <w:spacing w:after="0"/>
              <w:rPr>
                <w:sz w:val="22"/>
                <w:szCs w:val="22"/>
                <w:color w:val="auto"/>
              </w:rPr>
            </w:pPr>
          </w:p>
        </w:tc>
        <w:tc>
          <w:tcPr>
            <w:tcW w:w="2980" w:type="dxa"/>
            <w:vAlign w:val="bottom"/>
            <w:tcBorders>
              <w:top w:val="single" w:sz="8" w:color="CCEEFF"/>
            </w:tcBorders>
            <w:shd w:val="clear" w:color="auto" w:fill="CCEEFF"/>
          </w:tcPr>
          <w:p>
            <w:pPr>
              <w:spacing w:after="0"/>
              <w:rPr>
                <w:sz w:val="22"/>
                <w:szCs w:val="22"/>
                <w:color w:val="auto"/>
              </w:rPr>
            </w:pPr>
          </w:p>
        </w:tc>
        <w:tc>
          <w:tcPr>
            <w:tcW w:w="158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480" w:type="dxa"/>
            <w:vAlign w:val="bottom"/>
            <w:tcBorders>
              <w:top w:val="single" w:sz="8" w:color="auto"/>
            </w:tcBorders>
            <w:shd w:val="clear" w:color="auto" w:fill="CCEEFF"/>
          </w:tcPr>
          <w:p>
            <w:pPr>
              <w:spacing w:after="0"/>
              <w:rPr>
                <w:sz w:val="22"/>
                <w:szCs w:val="22"/>
                <w:color w:val="auto"/>
              </w:rPr>
            </w:pPr>
          </w:p>
        </w:tc>
        <w:tc>
          <w:tcPr>
            <w:tcW w:w="1120" w:type="dxa"/>
            <w:vAlign w:val="bottom"/>
            <w:tcBorders>
              <w:top w:val="single" w:sz="8" w:color="auto"/>
            </w:tcBorders>
            <w:shd w:val="clear" w:color="auto" w:fill="CCEEFF"/>
          </w:tcPr>
          <w:p>
            <w:pPr>
              <w:spacing w:after="0"/>
              <w:rPr>
                <w:sz w:val="22"/>
                <w:szCs w:val="22"/>
                <w:color w:val="auto"/>
              </w:rPr>
            </w:pPr>
          </w:p>
        </w:tc>
        <w:tc>
          <w:tcPr>
            <w:tcW w:w="80" w:type="dxa"/>
            <w:vAlign w:val="bottom"/>
            <w:tcBorders>
              <w:top w:val="single" w:sz="8" w:color="CCEEFF"/>
            </w:tcBorders>
            <w:shd w:val="clear" w:color="auto" w:fill="CCEEFF"/>
          </w:tcPr>
          <w:p>
            <w:pPr>
              <w:spacing w:after="0"/>
              <w:rPr>
                <w:sz w:val="22"/>
                <w:szCs w:val="22"/>
                <w:color w:val="auto"/>
              </w:rPr>
            </w:pPr>
          </w:p>
        </w:tc>
        <w:tc>
          <w:tcPr>
            <w:tcW w:w="1480" w:type="dxa"/>
            <w:vAlign w:val="bottom"/>
            <w:tcBorders>
              <w:top w:val="single" w:sz="8" w:color="auto"/>
            </w:tcBorders>
            <w:shd w:val="clear" w:color="auto" w:fill="CCEEFF"/>
          </w:tcPr>
          <w:p>
            <w:pPr>
              <w:spacing w:after="0"/>
              <w:rPr>
                <w:sz w:val="22"/>
                <w:szCs w:val="22"/>
                <w:color w:val="auto"/>
              </w:rPr>
            </w:pPr>
          </w:p>
        </w:tc>
      </w:tr>
      <w:tr>
        <w:trPr>
          <w:trHeight w:val="250"/>
        </w:trPr>
        <w:tc>
          <w:tcPr>
            <w:tcW w:w="3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Ceding commission revenue</w:t>
            </w:r>
          </w:p>
        </w:tc>
        <w:tc>
          <w:tcPr>
            <w:tcW w:w="298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63"/>
        </w:trPr>
        <w:tc>
          <w:tcPr>
            <w:tcW w:w="34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Provisional</w:t>
            </w:r>
          </w:p>
        </w:tc>
        <w:tc>
          <w:tcPr>
            <w:tcW w:w="456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(15.8)</w:t>
            </w:r>
          </w:p>
        </w:tc>
        <w:tc>
          <w:tcPr>
            <w:tcW w:w="80" w:type="dxa"/>
            <w:vAlign w:val="bottom"/>
            <w:shd w:val="clear" w:color="auto" w:fill="CCEEFF"/>
          </w:tcPr>
          <w:p>
            <w:pPr>
              <w:spacing w:after="0"/>
              <w:rPr>
                <w:sz w:val="22"/>
                <w:szCs w:val="22"/>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250"/>
        </w:trPr>
        <w:tc>
          <w:tcPr>
            <w:tcW w:w="34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Contingent</w:t>
            </w:r>
          </w:p>
        </w:tc>
        <w:tc>
          <w:tcPr>
            <w:tcW w:w="2980" w:type="dxa"/>
            <w:vAlign w:val="bottom"/>
            <w:tcBorders>
              <w:bottom w:val="single" w:sz="8" w:color="CCEEFF"/>
            </w:tcBorders>
          </w:tcPr>
          <w:p>
            <w:pPr>
              <w:spacing w:after="0"/>
              <w:rPr>
                <w:sz w:val="21"/>
                <w:szCs w:val="21"/>
                <w:color w:val="auto"/>
              </w:rPr>
            </w:pPr>
          </w:p>
        </w:tc>
        <w:tc>
          <w:tcPr>
            <w:tcW w:w="15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Borders>
              <w:bottom w:val="single" w:sz="8" w:color="CCEEFF"/>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21"/>
                <w:szCs w:val="21"/>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w:t>
            </w:r>
          </w:p>
        </w:tc>
      </w:tr>
      <w:tr>
        <w:trPr>
          <w:trHeight w:val="250"/>
        </w:trPr>
        <w:tc>
          <w:tcPr>
            <w:tcW w:w="3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ceding commission revenue</w:t>
            </w:r>
          </w:p>
        </w:tc>
        <w:tc>
          <w:tcPr>
            <w:tcW w:w="456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(15.8)</w:t>
            </w:r>
          </w:p>
        </w:tc>
        <w:tc>
          <w:tcPr>
            <w:tcW w:w="8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r>
      <w:tr>
        <w:trPr>
          <w:trHeight w:val="256"/>
        </w:trPr>
        <w:tc>
          <w:tcPr>
            <w:tcW w:w="3420" w:type="dxa"/>
            <w:vAlign w:val="bottom"/>
          </w:tcPr>
          <w:p>
            <w:pPr>
              <w:spacing w:after="0"/>
              <w:rPr>
                <w:sz w:val="22"/>
                <w:szCs w:val="22"/>
                <w:color w:val="auto"/>
              </w:rPr>
            </w:pPr>
          </w:p>
        </w:tc>
        <w:tc>
          <w:tcPr>
            <w:tcW w:w="2980" w:type="dxa"/>
            <w:vAlign w:val="bottom"/>
          </w:tcPr>
          <w:p>
            <w:pPr>
              <w:spacing w:after="0"/>
              <w:rPr>
                <w:sz w:val="22"/>
                <w:szCs w:val="22"/>
                <w:color w:val="auto"/>
              </w:rPr>
            </w:pPr>
          </w:p>
        </w:tc>
        <w:tc>
          <w:tcPr>
            <w:tcW w:w="15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Borders>
              <w:top w:val="single" w:sz="8" w:color="auto"/>
            </w:tcBorders>
          </w:tcPr>
          <w:p>
            <w:pPr>
              <w:spacing w:after="0"/>
              <w:rPr>
                <w:sz w:val="22"/>
                <w:szCs w:val="22"/>
                <w:color w:val="auto"/>
              </w:rPr>
            </w:pPr>
          </w:p>
        </w:tc>
        <w:tc>
          <w:tcPr>
            <w:tcW w:w="1120" w:type="dxa"/>
            <w:vAlign w:val="bottom"/>
            <w:tcBorders>
              <w:top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1480" w:type="dxa"/>
            <w:vAlign w:val="bottom"/>
            <w:tcBorders>
              <w:top w:val="single" w:sz="8" w:color="auto"/>
            </w:tcBorders>
          </w:tcPr>
          <w:p>
            <w:pPr>
              <w:spacing w:after="0"/>
              <w:rPr>
                <w:sz w:val="22"/>
                <w:szCs w:val="22"/>
                <w:color w:val="auto"/>
              </w:rPr>
            </w:pPr>
          </w:p>
        </w:tc>
      </w:tr>
      <w:tr>
        <w:trPr>
          <w:trHeight w:val="250"/>
        </w:trPr>
        <w:tc>
          <w:tcPr>
            <w:tcW w:w="3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w:t>
            </w:r>
          </w:p>
        </w:tc>
        <w:tc>
          <w:tcPr>
            <w:tcW w:w="456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(0.5)</w:t>
            </w:r>
          </w:p>
        </w:tc>
        <w:tc>
          <w:tcPr>
            <w:tcW w:w="8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56"/>
        </w:trPr>
        <w:tc>
          <w:tcPr>
            <w:tcW w:w="3420" w:type="dxa"/>
            <w:vAlign w:val="bottom"/>
          </w:tcPr>
          <w:p>
            <w:pPr>
              <w:spacing w:after="0"/>
              <w:rPr>
                <w:sz w:val="22"/>
                <w:szCs w:val="22"/>
                <w:color w:val="auto"/>
              </w:rPr>
            </w:pPr>
          </w:p>
        </w:tc>
        <w:tc>
          <w:tcPr>
            <w:tcW w:w="2980" w:type="dxa"/>
            <w:vAlign w:val="bottom"/>
          </w:tcPr>
          <w:p>
            <w:pPr>
              <w:spacing w:after="0"/>
              <w:rPr>
                <w:sz w:val="22"/>
                <w:szCs w:val="22"/>
                <w:color w:val="auto"/>
              </w:rPr>
            </w:pPr>
          </w:p>
        </w:tc>
        <w:tc>
          <w:tcPr>
            <w:tcW w:w="15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Borders>
              <w:top w:val="single" w:sz="8" w:color="auto"/>
            </w:tcBorders>
          </w:tcPr>
          <w:p>
            <w:pPr>
              <w:spacing w:after="0"/>
              <w:rPr>
                <w:sz w:val="22"/>
                <w:szCs w:val="22"/>
                <w:color w:val="auto"/>
              </w:rPr>
            </w:pPr>
          </w:p>
        </w:tc>
        <w:tc>
          <w:tcPr>
            <w:tcW w:w="1120" w:type="dxa"/>
            <w:vAlign w:val="bottom"/>
            <w:tcBorders>
              <w:top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1480" w:type="dxa"/>
            <w:vAlign w:val="bottom"/>
            <w:tcBorders>
              <w:top w:val="single" w:sz="8" w:color="auto"/>
            </w:tcBorders>
          </w:tcPr>
          <w:p>
            <w:pPr>
              <w:spacing w:after="0"/>
              <w:rPr>
                <w:sz w:val="22"/>
                <w:szCs w:val="22"/>
                <w:color w:val="auto"/>
              </w:rPr>
            </w:pPr>
          </w:p>
        </w:tc>
      </w:tr>
      <w:tr>
        <w:trPr>
          <w:trHeight w:val="270"/>
        </w:trPr>
        <w:tc>
          <w:tcPr>
            <w:tcW w:w="3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underwriting expense ratio</w:t>
            </w:r>
          </w:p>
        </w:tc>
        <w:tc>
          <w:tcPr>
            <w:tcW w:w="4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31.3 %</w:t>
            </w:r>
          </w:p>
        </w:tc>
        <w:tc>
          <w:tcPr>
            <w:tcW w:w="10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31.3 %</w:t>
            </w:r>
          </w:p>
        </w:tc>
        <w:tc>
          <w:tcPr>
            <w:tcW w:w="80" w:type="dxa"/>
            <w:vAlign w:val="bottom"/>
            <w:shd w:val="clear" w:color="auto" w:fill="CCEEFF"/>
          </w:tcPr>
          <w:p>
            <w:pPr>
              <w:spacing w:after="0"/>
              <w:rPr>
                <w:sz w:val="23"/>
                <w:szCs w:val="23"/>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3420" w:type="dxa"/>
            <w:vAlign w:val="bottom"/>
            <w:tcBorders>
              <w:top w:val="single" w:sz="8" w:color="CCEEFF"/>
            </w:tcBorders>
          </w:tcPr>
          <w:p>
            <w:pPr>
              <w:spacing w:after="0" w:line="20" w:lineRule="exact"/>
              <w:rPr>
                <w:sz w:val="1"/>
                <w:szCs w:val="1"/>
                <w:color w:val="auto"/>
              </w:rPr>
            </w:pPr>
          </w:p>
        </w:tc>
        <w:tc>
          <w:tcPr>
            <w:tcW w:w="298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r>
      <w:tr>
        <w:trPr>
          <w:trHeight w:val="467"/>
        </w:trPr>
        <w:tc>
          <w:tcPr>
            <w:tcW w:w="3420" w:type="dxa"/>
            <w:vAlign w:val="bottom"/>
          </w:tcPr>
          <w:p>
            <w:pPr>
              <w:spacing w:after="0"/>
              <w:rPr>
                <w:sz w:val="24"/>
                <w:szCs w:val="24"/>
                <w:color w:val="auto"/>
              </w:rPr>
            </w:pPr>
          </w:p>
        </w:tc>
        <w:tc>
          <w:tcPr>
            <w:tcW w:w="5140" w:type="dxa"/>
            <w:vAlign w:val="bottom"/>
            <w:gridSpan w:val="4"/>
          </w:tcPr>
          <w:p>
            <w:pPr>
              <w:jc w:val="center"/>
              <w:ind w:right="740"/>
              <w:spacing w:after="0"/>
              <w:rPr>
                <w:sz w:val="20"/>
                <w:szCs w:val="20"/>
                <w:color w:val="auto"/>
              </w:rPr>
            </w:pPr>
            <w:r>
              <w:rPr>
                <w:rFonts w:ascii="Times New Roman" w:cs="Times New Roman" w:eastAsia="Times New Roman" w:hAnsi="Times New Roman"/>
                <w:sz w:val="18"/>
                <w:szCs w:val="18"/>
                <w:i w:val="1"/>
                <w:iCs w:val="1"/>
                <w:color w:val="auto"/>
                <w:w w:val="99"/>
              </w:rPr>
              <w:t>(Components may not sum to totals due to rounding)</w:t>
            </w: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824"/>
        </w:trPr>
        <w:tc>
          <w:tcPr>
            <w:tcW w:w="3420" w:type="dxa"/>
            <w:vAlign w:val="bottom"/>
          </w:tcPr>
          <w:p>
            <w:pPr>
              <w:spacing w:after="0"/>
              <w:rPr>
                <w:sz w:val="24"/>
                <w:szCs w:val="24"/>
                <w:color w:val="auto"/>
              </w:rPr>
            </w:pPr>
          </w:p>
        </w:tc>
        <w:tc>
          <w:tcPr>
            <w:tcW w:w="298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59</w:t>
            </w: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101"/>
        </w:trPr>
        <w:tc>
          <w:tcPr>
            <w:tcW w:w="3420" w:type="dxa"/>
            <w:vAlign w:val="bottom"/>
            <w:tcBorders>
              <w:bottom w:val="single" w:sz="8" w:color="9A9A9A"/>
            </w:tcBorders>
          </w:tcPr>
          <w:p>
            <w:pPr>
              <w:spacing w:after="0"/>
              <w:rPr>
                <w:sz w:val="8"/>
                <w:szCs w:val="8"/>
                <w:color w:val="auto"/>
              </w:rPr>
            </w:pPr>
          </w:p>
        </w:tc>
        <w:tc>
          <w:tcPr>
            <w:tcW w:w="2980" w:type="dxa"/>
            <w:vAlign w:val="bottom"/>
            <w:tcBorders>
              <w:bottom w:val="single" w:sz="8" w:color="9A9A9A"/>
            </w:tcBorders>
          </w:tcPr>
          <w:p>
            <w:pPr>
              <w:spacing w:after="0"/>
              <w:rPr>
                <w:sz w:val="8"/>
                <w:szCs w:val="8"/>
                <w:color w:val="auto"/>
              </w:rPr>
            </w:pPr>
          </w:p>
        </w:tc>
        <w:tc>
          <w:tcPr>
            <w:tcW w:w="15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480" w:type="dxa"/>
            <w:vAlign w:val="bottom"/>
            <w:tcBorders>
              <w:bottom w:val="single" w:sz="8" w:color="9A9A9A"/>
            </w:tcBorders>
          </w:tcPr>
          <w:p>
            <w:pPr>
              <w:spacing w:after="0"/>
              <w:rPr>
                <w:sz w:val="8"/>
                <w:szCs w:val="8"/>
                <w:color w:val="auto"/>
              </w:rPr>
            </w:pPr>
          </w:p>
        </w:tc>
        <w:tc>
          <w:tcPr>
            <w:tcW w:w="112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48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Other Operating Expenses</w:t>
      </w:r>
    </w:p>
    <w:p>
      <w:pPr>
        <w:spacing w:after="0" w:line="225"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Other operating expenses, related to the expenses of our holding company and Cosi, were $1,036,000 for Three Months 2025 compared to $778,000 for Three Months 2024. The following table shows a breakdown of the significant components of other operating expenses for the periods indicated:</w:t>
      </w:r>
    </w:p>
    <w:p>
      <w:pPr>
        <w:spacing w:after="0" w:line="226" w:lineRule="exact"/>
        <w:rPr>
          <w:sz w:val="20"/>
          <w:szCs w:val="20"/>
          <w:color w:val="auto"/>
        </w:rPr>
      </w:pPr>
    </w:p>
    <w:p>
      <w:pPr>
        <w:jc w:val="center"/>
        <w:ind w:left="164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20" w:lineRule="exact"/>
        <w:rPr>
          <w:sz w:val="20"/>
          <w:szCs w:val="20"/>
          <w:color w:val="auto"/>
        </w:rPr>
      </w:pPr>
    </w:p>
    <w:p>
      <w:pPr>
        <w:jc w:val="center"/>
        <w:ind w:left="164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3150870</wp:posOffset>
            </wp:positionH>
            <wp:positionV relativeFrom="paragraph">
              <wp:posOffset>13335</wp:posOffset>
            </wp:positionV>
            <wp:extent cx="189420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894205" cy="8255"/>
                    </a:xfrm>
                    <a:prstGeom prst="rect">
                      <a:avLst/>
                    </a:prstGeom>
                    <a:noFill/>
                  </pic:spPr>
                </pic:pic>
              </a:graphicData>
            </a:graphic>
          </wp:anchor>
        </w:drawing>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 in thousands)</w:t>
            </w:r>
          </w:p>
        </w:tc>
        <w:tc>
          <w:tcPr>
            <w:tcW w:w="10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00" w:type="dxa"/>
            <w:vAlign w:val="bottom"/>
          </w:tcPr>
          <w:p>
            <w:pPr>
              <w:spacing w:after="0"/>
              <w:rPr>
                <w:sz w:val="21"/>
                <w:szCs w:val="21"/>
                <w:color w:val="auto"/>
              </w:rPr>
            </w:pPr>
          </w:p>
        </w:tc>
        <w:tc>
          <w:tcPr>
            <w:tcW w:w="16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Percent</w:t>
            </w:r>
          </w:p>
        </w:tc>
      </w:tr>
      <w:tr>
        <w:trPr>
          <w:trHeight w:val="506"/>
        </w:trPr>
        <w:tc>
          <w:tcPr>
            <w:tcW w:w="4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operating expenses</w:t>
            </w: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263"/>
        </w:trPr>
        <w:tc>
          <w:tcPr>
            <w:tcW w:w="496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Employment costs</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shd w:val="clear" w:color="auto" w:fill="CCEEFF"/>
          </w:tcPr>
          <w:p>
            <w:pPr>
              <w:spacing w:after="0"/>
              <w:rPr>
                <w:sz w:val="22"/>
                <w:szCs w:val="22"/>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(64.3 %)</w:t>
            </w:r>
          </w:p>
        </w:tc>
      </w:tr>
      <w:tr>
        <w:trPr>
          <w:trHeight w:val="250"/>
        </w:trPr>
        <w:tc>
          <w:tcPr>
            <w:tcW w:w="496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Executive bonus</w:t>
            </w: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r>
      <w:tr>
        <w:trPr>
          <w:trHeight w:val="263"/>
        </w:trPr>
        <w:tc>
          <w:tcPr>
            <w:tcW w:w="496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Equity compensation</w:t>
            </w:r>
          </w:p>
        </w:tc>
        <w:tc>
          <w:tcPr>
            <w:tcW w:w="32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shd w:val="clear" w:color="auto" w:fill="CCEEFF"/>
          </w:tcPr>
          <w:p>
            <w:pPr>
              <w:spacing w:after="0"/>
              <w:rPr>
                <w:sz w:val="22"/>
                <w:szCs w:val="22"/>
                <w:color w:val="auto"/>
              </w:rPr>
            </w:pPr>
          </w:p>
        </w:tc>
        <w:tc>
          <w:tcPr>
            <w:tcW w:w="164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27.4</w:t>
            </w:r>
          </w:p>
        </w:tc>
      </w:tr>
      <w:tr>
        <w:trPr>
          <w:trHeight w:val="250"/>
        </w:trPr>
        <w:tc>
          <w:tcPr>
            <w:tcW w:w="496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Professional</w:t>
            </w: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tcPr>
          <w:p>
            <w:pPr>
              <w:spacing w:after="0"/>
              <w:rPr>
                <w:sz w:val="21"/>
                <w:szCs w:val="21"/>
                <w:color w:val="auto"/>
              </w:rPr>
            </w:pPr>
          </w:p>
        </w:tc>
        <w:tc>
          <w:tcPr>
            <w:tcW w:w="16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72.2</w:t>
            </w:r>
          </w:p>
        </w:tc>
      </w:tr>
      <w:tr>
        <w:trPr>
          <w:trHeight w:val="263"/>
        </w:trPr>
        <w:tc>
          <w:tcPr>
            <w:tcW w:w="496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Directors fees</w:t>
            </w:r>
          </w:p>
        </w:tc>
        <w:tc>
          <w:tcPr>
            <w:tcW w:w="32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shd w:val="clear" w:color="auto" w:fill="CCEEFF"/>
          </w:tcPr>
          <w:p>
            <w:pPr>
              <w:spacing w:after="0"/>
              <w:rPr>
                <w:sz w:val="22"/>
                <w:szCs w:val="22"/>
                <w:color w:val="auto"/>
              </w:rPr>
            </w:pPr>
          </w:p>
        </w:tc>
        <w:tc>
          <w:tcPr>
            <w:tcW w:w="164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81.2</w:t>
            </w:r>
          </w:p>
        </w:tc>
      </w:tr>
      <w:tr>
        <w:trPr>
          <w:trHeight w:val="250"/>
        </w:trPr>
        <w:tc>
          <w:tcPr>
            <w:tcW w:w="496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Insurance</w:t>
            </w: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21"/>
                <w:szCs w:val="21"/>
                <w:color w:val="auto"/>
              </w:rPr>
            </w:pPr>
          </w:p>
        </w:tc>
        <w:tc>
          <w:tcPr>
            <w:tcW w:w="16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(11.3)</w:t>
            </w:r>
          </w:p>
        </w:tc>
      </w:tr>
      <w:tr>
        <w:trPr>
          <w:trHeight w:val="263"/>
        </w:trPr>
        <w:tc>
          <w:tcPr>
            <w:tcW w:w="496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32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00" w:type="dxa"/>
            <w:vAlign w:val="bottom"/>
            <w:shd w:val="clear" w:color="auto" w:fill="CCEEFF"/>
          </w:tcPr>
          <w:p>
            <w:pPr>
              <w:spacing w:after="0"/>
              <w:rPr>
                <w:sz w:val="22"/>
                <w:szCs w:val="22"/>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r>
      <w:tr>
        <w:trPr>
          <w:trHeight w:val="250"/>
        </w:trPr>
        <w:tc>
          <w:tcPr>
            <w:tcW w:w="4960" w:type="dxa"/>
            <w:vAlign w:val="bottom"/>
            <w:tcBorders>
              <w:bottom w:val="single" w:sz="8" w:color="CCEEFF"/>
            </w:tcBorders>
            <w:gridSpan w:val="2"/>
          </w:tcPr>
          <w:p>
            <w:pPr>
              <w:ind w:left="380"/>
              <w:spacing w:after="0"/>
              <w:rPr>
                <w:sz w:val="20"/>
                <w:szCs w:val="20"/>
                <w:color w:val="auto"/>
              </w:rPr>
            </w:pPr>
            <w:r>
              <w:rPr>
                <w:rFonts w:ascii="Times New Roman" w:cs="Times New Roman" w:eastAsia="Times New Roman" w:hAnsi="Times New Roman"/>
                <w:sz w:val="18"/>
                <w:szCs w:val="18"/>
                <w:color w:val="auto"/>
              </w:rPr>
              <w:t>Other expenses</w:t>
            </w:r>
          </w:p>
        </w:tc>
        <w:tc>
          <w:tcPr>
            <w:tcW w:w="3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tcPr>
          <w:p>
            <w:pPr>
              <w:spacing w:after="0"/>
              <w:rPr>
                <w:sz w:val="21"/>
                <w:szCs w:val="21"/>
                <w:color w:val="auto"/>
              </w:rPr>
            </w:pPr>
          </w:p>
        </w:tc>
        <w:tc>
          <w:tcPr>
            <w:tcW w:w="16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0.6</w:t>
            </w:r>
          </w:p>
        </w:tc>
      </w:tr>
      <w:tr>
        <w:trPr>
          <w:trHeight w:val="275"/>
        </w:trPr>
        <w:tc>
          <w:tcPr>
            <w:tcW w:w="4960" w:type="dxa"/>
            <w:vAlign w:val="bottom"/>
            <w:tcBorders>
              <w:bottom w:val="single" w:sz="8" w:color="CCEEFF"/>
            </w:tcBorders>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other operating expenses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1,036</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778</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10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33.2 %</w:t>
            </w:r>
          </w:p>
        </w:tc>
      </w:tr>
      <w:tr>
        <w:trPr>
          <w:trHeight w:val="20"/>
        </w:trPr>
        <w:tc>
          <w:tcPr>
            <w:tcW w:w="4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r>
    </w:tbl>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(Components may not sum to totals due to rounding)</w:t>
      </w:r>
    </w:p>
    <w:p>
      <w:pPr>
        <w:spacing w:after="0" w:line="227" w:lineRule="exact"/>
        <w:rPr>
          <w:sz w:val="20"/>
          <w:szCs w:val="20"/>
          <w:color w:val="auto"/>
        </w:rPr>
      </w:pPr>
    </w:p>
    <w:p>
      <w:pPr>
        <w:jc w:val="both"/>
        <w:ind w:firstLine="607"/>
        <w:spacing w:after="0" w:line="255" w:lineRule="auto"/>
        <w:rPr>
          <w:sz w:val="20"/>
          <w:szCs w:val="20"/>
          <w:color w:val="auto"/>
        </w:rPr>
      </w:pPr>
      <w:r>
        <w:rPr>
          <w:rFonts w:ascii="Times New Roman" w:cs="Times New Roman" w:eastAsia="Times New Roman" w:hAnsi="Times New Roman"/>
          <w:sz w:val="18"/>
          <w:szCs w:val="18"/>
          <w:color w:val="auto"/>
        </w:rPr>
        <w:t>The increase in Three Months 2025 of $258,000, or 33.2%, as compared to Three Months 2024 was primarily due to an increase in loss on extinguishment of debt, and equity compensation, partially offset by a decrease in employment costs. The $175,000 loss on extinguishment of debt loss is due to writing off the balance of unamortized debt issue costs upon the prepayment of the 2024 Notes in Three Months 2025 as disclosed in Note 7 to the condensed consolidated financial statements. The increase in equity compensation is due to additional restricted stock awards granted to our senior leadership team as of December 31, 2024 pursuant to our employee bonus plan. The decrease in employment costs was due to fluctuations in deferred compensation liability in Three Months 2024 related to changes in the underlying invested portfolio. The deferred compensation plan was terminated in Three Months 2024.</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Depreciation and Amortization</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Depreciation and amortization was $624,000 in Three Months 2025 compared to $597,000 in Three Months 2024. The increase of $27,000, or 4.5%, in depreciation and amortization was primarily due to the difference between additional depreciation on software acquired compared to software being fully depreciated.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Interest Expense</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Interest expense in Three Months 2025 was $227,000 compared to $994,000 in Three Months 2024, a decrease of $(767,000) or (77.2)%. In Three Months 2025 and Three Months 2024, as disclosed in Note 7 to the condensed consolidated financial statements, we incurred interest expense in connection with the 2024 Notes and 2022 Notes, respectively. The 2022 Notes provided for interest at the rate of 12% per annum. In September 2024, in accordance with the 2024 Exchange Agreement, we paid $5,000,000 of principal on the 2022 Notes, reducing the principal balance to $14,950,000 from $19,950,000. Under the 2024 Exchange Agreement, the balance of the 2022 Notes were exchanged for the 2024 Notes, which provided for interest at the rate of 13.75% per annum. Beginning in the third quarter of 2024 through Three Months 2025, we paid optional principal amounts, reducing the balance of the 2024 Notes, and completely satisfying the obligation on February 24, 2025. In addition, we also incurred interest expense on the 2022 equipment financing.</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Income Tax Expense</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Income tax expense in Three Months 2025 was $836,000, which resulted in an effective tax rate of 17.7%. Income tax in Three Months 2024 was $378,000, which resulted in an effective tax rate of 20.9%. The difference in effective tax rate is due to the effect of permanent differences in Three Months 2025 compared to Three Months 2024.</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Net Income</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Net income was $3,883,000 in Three Months 2025 compared to $1,427,000 in Three Months 2024. The increase in net income of $2,456,000 was due to the circumstances described above.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Financial Information</w:t>
      </w:r>
    </w:p>
    <w:p>
      <w:pPr>
        <w:spacing w:after="0" w:line="229" w:lineRule="exact"/>
        <w:rPr>
          <w:sz w:val="20"/>
          <w:szCs w:val="20"/>
          <w:color w:val="auto"/>
        </w:rPr>
      </w:pPr>
    </w:p>
    <w:p>
      <w:pPr>
        <w:jc w:val="both"/>
        <w:ind w:firstLine="607"/>
        <w:spacing w:after="0" w:line="266" w:lineRule="auto"/>
        <w:rPr>
          <w:sz w:val="20"/>
          <w:szCs w:val="20"/>
          <w:color w:val="auto"/>
        </w:rPr>
      </w:pPr>
      <w:r>
        <w:rPr>
          <w:rFonts w:ascii="Times New Roman" w:cs="Times New Roman" w:eastAsia="Times New Roman" w:hAnsi="Times New Roman"/>
          <w:sz w:val="18"/>
          <w:szCs w:val="18"/>
          <w:color w:val="auto"/>
        </w:rPr>
        <w:t>We operate our business as one segment, property and casualty insurance. Within this segment, we offer an array of property and casualty policies to our producers. The following table summarizes gross and net written premiums, net premiums earned, and net loss and loss adjustment expenses by major product type, which were determined based primarily on similar economic characteristics and risks of loss.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left="154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20" w:lineRule="exact"/>
        <w:rPr>
          <w:sz w:val="20"/>
          <w:szCs w:val="20"/>
          <w:color w:val="auto"/>
        </w:rPr>
      </w:pPr>
    </w:p>
    <w:p>
      <w:pPr>
        <w:jc w:val="center"/>
        <w:ind w:left="154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2954020</wp:posOffset>
            </wp:positionH>
            <wp:positionV relativeFrom="paragraph">
              <wp:posOffset>13335</wp:posOffset>
            </wp:positionV>
            <wp:extent cx="221170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2211705" cy="8255"/>
                    </a:xfrm>
                    <a:prstGeom prst="rect">
                      <a:avLst/>
                    </a:prstGeom>
                    <a:noFill/>
                  </pic:spPr>
                </pic:pic>
              </a:graphicData>
            </a:graphic>
          </wp:anchor>
        </w:drawing>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66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36"/>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Direct premiums written(1):</w:t>
            </w:r>
          </w:p>
        </w:tc>
        <w:tc>
          <w:tcPr>
            <w:tcW w:w="3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263"/>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Personal lines</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54,312,913</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45,740,238</w:t>
            </w:r>
          </w:p>
        </w:tc>
      </w:tr>
      <w:tr>
        <w:trPr>
          <w:trHeight w:val="250"/>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Livery physical damage</w:t>
            </w:r>
          </w:p>
        </w:tc>
        <w:tc>
          <w:tcPr>
            <w:tcW w:w="380" w:type="dxa"/>
            <w:vAlign w:val="bottom"/>
          </w:tcPr>
          <w:p>
            <w:pPr>
              <w:spacing w:after="0"/>
              <w:rPr>
                <w:sz w:val="21"/>
                <w:szCs w:val="21"/>
                <w:color w:val="auto"/>
              </w:rPr>
            </w:pPr>
          </w:p>
        </w:tc>
        <w:tc>
          <w:tcPr>
            <w:tcW w:w="1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3,847,046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3,562,328</w:t>
            </w:r>
          </w:p>
        </w:tc>
      </w:tr>
      <w:tr>
        <w:trPr>
          <w:trHeight w:val="263"/>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Other(1)</w:t>
            </w:r>
          </w:p>
        </w:tc>
        <w:tc>
          <w:tcPr>
            <w:tcW w:w="38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15,037</w:t>
            </w:r>
          </w:p>
        </w:tc>
        <w:tc>
          <w:tcPr>
            <w:tcW w:w="10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22,050</w:t>
            </w:r>
          </w:p>
        </w:tc>
      </w:tr>
      <w:tr>
        <w:trPr>
          <w:trHeight w:val="243"/>
        </w:trPr>
        <w:tc>
          <w:tcPr>
            <w:tcW w:w="4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gross premiums written</w:t>
            </w: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58,174,996</w:t>
            </w:r>
          </w:p>
        </w:tc>
        <w:tc>
          <w:tcPr>
            <w:tcW w:w="100" w:type="dxa"/>
            <w:vAlign w:val="bottom"/>
          </w:tcPr>
          <w:p>
            <w:pPr>
              <w:spacing w:after="0"/>
              <w:rPr>
                <w:sz w:val="21"/>
                <w:szCs w:val="21"/>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49,324,616</w:t>
            </w:r>
          </w:p>
        </w:tc>
      </w:tr>
      <w:tr>
        <w:trPr>
          <w:trHeight w:val="21"/>
        </w:trPr>
        <w:tc>
          <w:tcPr>
            <w:tcW w:w="466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243"/>
        </w:trPr>
        <w:tc>
          <w:tcPr>
            <w:tcW w:w="466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r>
      <w:tr>
        <w:trPr>
          <w:trHeight w:val="250"/>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premiums written(1):</w:t>
            </w:r>
          </w:p>
        </w:tc>
        <w:tc>
          <w:tcPr>
            <w:tcW w:w="3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63"/>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Personal lines</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57,145,389</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34,516,450</w:t>
            </w:r>
          </w:p>
        </w:tc>
      </w:tr>
      <w:tr>
        <w:trPr>
          <w:trHeight w:val="250"/>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Livery physical damage</w:t>
            </w:r>
          </w:p>
        </w:tc>
        <w:tc>
          <w:tcPr>
            <w:tcW w:w="380" w:type="dxa"/>
            <w:vAlign w:val="bottom"/>
          </w:tcPr>
          <w:p>
            <w:pPr>
              <w:spacing w:after="0"/>
              <w:rPr>
                <w:sz w:val="21"/>
                <w:szCs w:val="21"/>
                <w:color w:val="auto"/>
              </w:rPr>
            </w:pPr>
          </w:p>
        </w:tc>
        <w:tc>
          <w:tcPr>
            <w:tcW w:w="1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3,847,046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3,562,328</w:t>
            </w:r>
          </w:p>
        </w:tc>
      </w:tr>
      <w:tr>
        <w:trPr>
          <w:trHeight w:val="263"/>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Other(2)</w:t>
            </w:r>
          </w:p>
        </w:tc>
        <w:tc>
          <w:tcPr>
            <w:tcW w:w="38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16,972</w:t>
            </w:r>
          </w:p>
        </w:tc>
        <w:tc>
          <w:tcPr>
            <w:tcW w:w="10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16,621</w:t>
            </w:r>
          </w:p>
        </w:tc>
      </w:tr>
      <w:tr>
        <w:trPr>
          <w:trHeight w:val="243"/>
        </w:trPr>
        <w:tc>
          <w:tcPr>
            <w:tcW w:w="4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net premiums written</w:t>
            </w: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61,009,407</w:t>
            </w:r>
          </w:p>
        </w:tc>
        <w:tc>
          <w:tcPr>
            <w:tcW w:w="100" w:type="dxa"/>
            <w:vAlign w:val="bottom"/>
          </w:tcPr>
          <w:p>
            <w:pPr>
              <w:spacing w:after="0"/>
              <w:rPr>
                <w:sz w:val="21"/>
                <w:szCs w:val="21"/>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38,095,399</w:t>
            </w:r>
          </w:p>
        </w:tc>
      </w:tr>
      <w:tr>
        <w:trPr>
          <w:trHeight w:val="21"/>
        </w:trPr>
        <w:tc>
          <w:tcPr>
            <w:tcW w:w="466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243"/>
        </w:trPr>
        <w:tc>
          <w:tcPr>
            <w:tcW w:w="466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r>
      <w:tr>
        <w:trPr>
          <w:trHeight w:val="250"/>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premiums earned:</w:t>
            </w:r>
          </w:p>
        </w:tc>
        <w:tc>
          <w:tcPr>
            <w:tcW w:w="3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63"/>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Personal lines</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39,936,324</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25,092,488</w:t>
            </w:r>
          </w:p>
        </w:tc>
      </w:tr>
      <w:tr>
        <w:trPr>
          <w:trHeight w:val="250"/>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Livery physical damage</w:t>
            </w:r>
          </w:p>
        </w:tc>
        <w:tc>
          <w:tcPr>
            <w:tcW w:w="380" w:type="dxa"/>
            <w:vAlign w:val="bottom"/>
          </w:tcPr>
          <w:p>
            <w:pPr>
              <w:spacing w:after="0"/>
              <w:rPr>
                <w:sz w:val="21"/>
                <w:szCs w:val="21"/>
                <w:color w:val="auto"/>
              </w:rPr>
            </w:pPr>
          </w:p>
        </w:tc>
        <w:tc>
          <w:tcPr>
            <w:tcW w:w="1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3,569,026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3,708,194</w:t>
            </w:r>
          </w:p>
        </w:tc>
      </w:tr>
      <w:tr>
        <w:trPr>
          <w:trHeight w:val="263"/>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Other(2)</w:t>
            </w:r>
          </w:p>
        </w:tc>
        <w:tc>
          <w:tcPr>
            <w:tcW w:w="38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17,713</w:t>
            </w:r>
          </w:p>
        </w:tc>
        <w:tc>
          <w:tcPr>
            <w:tcW w:w="10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19,220</w:t>
            </w:r>
          </w:p>
        </w:tc>
      </w:tr>
      <w:tr>
        <w:trPr>
          <w:trHeight w:val="243"/>
        </w:trPr>
        <w:tc>
          <w:tcPr>
            <w:tcW w:w="4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net premiums earned</w:t>
            </w: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43,523,063</w:t>
            </w:r>
          </w:p>
        </w:tc>
        <w:tc>
          <w:tcPr>
            <w:tcW w:w="100" w:type="dxa"/>
            <w:vAlign w:val="bottom"/>
          </w:tcPr>
          <w:p>
            <w:pPr>
              <w:spacing w:after="0"/>
              <w:rPr>
                <w:sz w:val="21"/>
                <w:szCs w:val="21"/>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28,819,902</w:t>
            </w:r>
          </w:p>
        </w:tc>
      </w:tr>
      <w:tr>
        <w:trPr>
          <w:trHeight w:val="21"/>
        </w:trPr>
        <w:tc>
          <w:tcPr>
            <w:tcW w:w="466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243"/>
        </w:trPr>
        <w:tc>
          <w:tcPr>
            <w:tcW w:w="466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r>
      <w:tr>
        <w:trPr>
          <w:trHeight w:val="250"/>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loss and loss adjustment expenses(4):</w:t>
            </w:r>
          </w:p>
        </w:tc>
        <w:tc>
          <w:tcPr>
            <w:tcW w:w="3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63"/>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Personal lines</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24,731,759</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14,712,194</w:t>
            </w:r>
          </w:p>
        </w:tc>
      </w:tr>
      <w:tr>
        <w:trPr>
          <w:trHeight w:val="250"/>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Livery physical damage</w:t>
            </w:r>
          </w:p>
        </w:tc>
        <w:tc>
          <w:tcPr>
            <w:tcW w:w="380" w:type="dxa"/>
            <w:vAlign w:val="bottom"/>
          </w:tcPr>
          <w:p>
            <w:pPr>
              <w:spacing w:after="0"/>
              <w:rPr>
                <w:sz w:val="21"/>
                <w:szCs w:val="21"/>
                <w:color w:val="auto"/>
              </w:rPr>
            </w:pPr>
          </w:p>
        </w:tc>
        <w:tc>
          <w:tcPr>
            <w:tcW w:w="1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1,458,305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1,680,651</w:t>
            </w:r>
          </w:p>
        </w:tc>
      </w:tr>
      <w:tr>
        <w:trPr>
          <w:trHeight w:val="263"/>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Other(2)</w:t>
            </w:r>
          </w:p>
        </w:tc>
        <w:tc>
          <w:tcPr>
            <w:tcW w:w="380" w:type="dxa"/>
            <w:vAlign w:val="bottom"/>
            <w:shd w:val="clear" w:color="auto" w:fill="CCEEFF"/>
          </w:tcPr>
          <w:p>
            <w:pPr>
              <w:spacing w:after="0"/>
              <w:rPr>
                <w:sz w:val="22"/>
                <w:szCs w:val="22"/>
                <w:color w:val="auto"/>
              </w:rPr>
            </w:pPr>
          </w:p>
        </w:tc>
        <w:tc>
          <w:tcPr>
            <w:tcW w:w="1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14,667</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32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(13,147)</w:t>
            </w:r>
          </w:p>
        </w:tc>
      </w:tr>
      <w:tr>
        <w:trPr>
          <w:trHeight w:val="250"/>
        </w:trPr>
        <w:tc>
          <w:tcPr>
            <w:tcW w:w="4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Unallocated loss adjustment expenses</w:t>
            </w:r>
          </w:p>
        </w:tc>
        <w:tc>
          <w:tcPr>
            <w:tcW w:w="3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1,361,872</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1,176,703</w:t>
            </w:r>
          </w:p>
        </w:tc>
      </w:tr>
      <w:tr>
        <w:trPr>
          <w:trHeight w:val="257"/>
        </w:trPr>
        <w:tc>
          <w:tcPr>
            <w:tcW w:w="4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without commercial lines in run-off</w:t>
            </w:r>
          </w:p>
        </w:tc>
        <w:tc>
          <w:tcPr>
            <w:tcW w:w="380" w:type="dxa"/>
            <w:vAlign w:val="bottom"/>
            <w:shd w:val="clear" w:color="auto" w:fill="CCEEFF"/>
          </w:tcPr>
          <w:p>
            <w:pPr>
              <w:spacing w:after="0"/>
              <w:rPr>
                <w:sz w:val="22"/>
                <w:szCs w:val="22"/>
                <w:color w:val="auto"/>
              </w:rPr>
            </w:pPr>
          </w:p>
        </w:tc>
        <w:tc>
          <w:tcPr>
            <w:tcW w:w="1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27,566,603</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32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17,556,401</w:t>
            </w:r>
          </w:p>
        </w:tc>
      </w:tr>
      <w:tr>
        <w:trPr>
          <w:trHeight w:val="250"/>
        </w:trPr>
        <w:tc>
          <w:tcPr>
            <w:tcW w:w="4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Commercial lines (in run-off effective July 2019)(2)</w:t>
            </w:r>
          </w:p>
        </w:tc>
        <w:tc>
          <w:tcPr>
            <w:tcW w:w="3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(391,525)</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303,186</w:t>
            </w:r>
          </w:p>
        </w:tc>
      </w:tr>
      <w:tr>
        <w:trPr>
          <w:trHeight w:val="275"/>
        </w:trPr>
        <w:tc>
          <w:tcPr>
            <w:tcW w:w="46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net loss and loss adjustment expenses</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27,175,078</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17,859,587</w:t>
            </w:r>
          </w:p>
        </w:tc>
      </w:tr>
      <w:tr>
        <w:trPr>
          <w:trHeight w:val="20"/>
        </w:trPr>
        <w:tc>
          <w:tcPr>
            <w:tcW w:w="46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5160645" cy="16319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160645" cy="163195"/>
                    </a:xfrm>
                    <a:prstGeom prst="rect">
                      <a:avLst/>
                    </a:prstGeom>
                    <a:noFill/>
                  </pic:spPr>
                </pic:pic>
              </a:graphicData>
            </a:graphic>
          </wp:anchor>
        </w:drawing>
      </w:r>
    </w:p>
    <w:p>
      <w:pPr>
        <w:spacing w:after="0" w:line="22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Net loss ratio(4):</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Personal lines</w:t>
            </w:r>
          </w:p>
        </w:tc>
        <w:tc>
          <w:tcPr>
            <w:tcW w:w="212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61.9 %</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58.6 %</w:t>
            </w:r>
          </w:p>
        </w:tc>
      </w:tr>
      <w:tr>
        <w:trPr>
          <w:trHeight w:val="263"/>
        </w:trPr>
        <w:tc>
          <w:tcPr>
            <w:tcW w:w="4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Livery physical damage</w:t>
            </w:r>
          </w:p>
        </w:tc>
        <w:tc>
          <w:tcPr>
            <w:tcW w:w="212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40.9 %</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45.3 %</w:t>
            </w:r>
          </w:p>
        </w:tc>
      </w:tr>
      <w:tr>
        <w:trPr>
          <w:trHeight w:val="250"/>
        </w:trPr>
        <w:tc>
          <w:tcPr>
            <w:tcW w:w="4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Other(2)</w:t>
            </w:r>
          </w:p>
        </w:tc>
        <w:tc>
          <w:tcPr>
            <w:tcW w:w="212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82.8 %</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(68.4 %)</w:t>
            </w:r>
          </w:p>
        </w:tc>
      </w:tr>
      <w:tr>
        <w:trPr>
          <w:trHeight w:val="263"/>
        </w:trPr>
        <w:tc>
          <w:tcPr>
            <w:tcW w:w="4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without commercial lines in run-off</w:t>
            </w:r>
          </w:p>
        </w:tc>
        <w:tc>
          <w:tcPr>
            <w:tcW w:w="212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63.3 %</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60.9 %</w:t>
            </w:r>
          </w:p>
        </w:tc>
      </w:tr>
      <w:tr>
        <w:trPr>
          <w:trHeight w:val="250"/>
        </w:trPr>
        <w:tc>
          <w:tcPr>
            <w:tcW w:w="4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lines (in run-off effective July 2019)(3)</w:t>
            </w:r>
          </w:p>
        </w:tc>
        <w:tc>
          <w:tcPr>
            <w:tcW w:w="212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na</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r>
      <w:tr>
        <w:trPr>
          <w:trHeight w:val="263"/>
        </w:trPr>
        <w:tc>
          <w:tcPr>
            <w:tcW w:w="4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212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62.4 %</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62.0 %</w:t>
            </w:r>
          </w:p>
        </w:tc>
      </w:tr>
    </w:tbl>
    <w:p>
      <w:pPr>
        <w:spacing w:after="0" w:line="184" w:lineRule="exact"/>
        <w:rPr>
          <w:sz w:val="20"/>
          <w:szCs w:val="20"/>
          <w:color w:val="auto"/>
        </w:rPr>
      </w:pPr>
    </w:p>
    <w:p>
      <w:pPr>
        <w:ind w:left="1100" w:right="80" w:hanging="1092"/>
        <w:spacing w:after="0" w:line="266" w:lineRule="auto"/>
        <w:tabs>
          <w:tab w:leader="none" w:pos="1099"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 written premiums and net written premiums are a non-GAAP measures, defined above under "Key GAAP and Non-GAAP Measures". See "Non-GAAP Financial Measures" below for the reconciliation of direct written premiums, and net written premiums to the GAAP measure of net premiums earned.</w:t>
      </w:r>
    </w:p>
    <w:p>
      <w:pPr>
        <w:spacing w:after="0" w:line="67" w:lineRule="exact"/>
        <w:rPr>
          <w:rFonts w:ascii="Times New Roman" w:cs="Times New Roman" w:eastAsia="Times New Roman" w:hAnsi="Times New Roman"/>
          <w:sz w:val="18"/>
          <w:szCs w:val="18"/>
          <w:color w:val="auto"/>
        </w:rPr>
      </w:pPr>
    </w:p>
    <w:p>
      <w:pPr>
        <w:ind w:left="1100" w:right="280" w:hanging="1092"/>
        <w:spacing w:after="0" w:line="261" w:lineRule="auto"/>
        <w:tabs>
          <w:tab w:leader="none" w:pos="1099"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includes, among other things, premiums and loss and loss adjustment expenses from our participation in a mandatory state joint underwriting association and loss and loss adjustment expenses from commercial auto.</w:t>
      </w:r>
    </w:p>
    <w:p>
      <w:pPr>
        <w:ind w:left="1100" w:hanging="1092"/>
        <w:spacing w:after="0" w:line="250" w:lineRule="auto"/>
        <w:tabs>
          <w:tab w:leader="none" w:pos="1099"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July 2019, we decided that we will no longer underwrite Commercial Liability risks. See discussions above regarding the discontinuation of this line of business.</w:t>
      </w:r>
    </w:p>
    <w:p>
      <w:pPr>
        <w:ind w:left="1100" w:hanging="1092"/>
        <w:spacing w:after="0"/>
        <w:tabs>
          <w:tab w:leader="none" w:pos="11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discussion above with regard to “Net Loss and LAE”, as to catastrophe losses in the three months ended March 31, 2025 and 2024.</w:t>
      </w:r>
    </w:p>
    <w:p>
      <w:pPr>
        <w:sectPr>
          <w:pgSz w:w="11900" w:h="16838" w:orient="portrait"/>
          <w:cols w:equalWidth="0" w:num="1">
            <w:col w:w="11180"/>
          </w:cols>
          <w:pgMar w:left="320" w:top="119" w:right="399" w:bottom="1440" w:gutter="0" w:footer="0" w:header="0"/>
        </w:sectPr>
      </w:pPr>
    </w:p>
    <w:p>
      <w:pPr>
        <w:spacing w:after="0" w:line="200" w:lineRule="exact"/>
        <w:rPr>
          <w:sz w:val="20"/>
          <w:szCs w:val="20"/>
          <w:color w:val="auto"/>
        </w:rPr>
      </w:pPr>
    </w:p>
    <w:p>
      <w:pPr>
        <w:spacing w:after="0" w:line="38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9" w:right="399" w:bottom="1440" w:gutter="0" w:footer="0" w:header="0"/>
          <w:type w:val="continuous"/>
        </w:sectPr>
      </w:pPr>
    </w:p>
    <w:bookmarkStart w:id="64" w:name="page65"/>
    <w:bookmarkEnd w:id="64"/>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Insurance Underwriting Business on a Standalone Basis</w:t>
      </w:r>
      <w:r>
        <w:rPr>
          <w:rFonts w:ascii="Times New Roman" w:cs="Times New Roman" w:eastAsia="Times New Roman" w:hAnsi="Times New Roman"/>
          <w:sz w:val="23"/>
          <w:szCs w:val="23"/>
          <w:b w:val="1"/>
          <w:bCs w:val="1"/>
          <w:color w:val="auto"/>
          <w:vertAlign w:val="superscript"/>
        </w:rPr>
        <w:t>(1)</w:t>
      </w:r>
    </w:p>
    <w:p>
      <w:pPr>
        <w:spacing w:after="0" w:line="17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insurance underwriting business reported on a standalone basis</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 xml:space="preserve"> for the periods indicated is as follows:</w:t>
      </w:r>
    </w:p>
    <w:p>
      <w:pPr>
        <w:spacing w:after="0" w:line="221" w:lineRule="exact"/>
        <w:rPr>
          <w:sz w:val="20"/>
          <w:szCs w:val="20"/>
          <w:color w:val="auto"/>
        </w:rPr>
      </w:pPr>
    </w:p>
    <w:p>
      <w:pPr>
        <w:jc w:val="center"/>
        <w:ind w:left="168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20" w:lineRule="exact"/>
        <w:rPr>
          <w:sz w:val="20"/>
          <w:szCs w:val="20"/>
          <w:color w:val="auto"/>
        </w:rPr>
      </w:pPr>
    </w:p>
    <w:p>
      <w:pPr>
        <w:jc w:val="center"/>
        <w:ind w:left="168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3048000</wp:posOffset>
            </wp:positionH>
            <wp:positionV relativeFrom="paragraph">
              <wp:posOffset>21590</wp:posOffset>
            </wp:positionV>
            <wp:extent cx="211709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2117090" cy="8255"/>
                    </a:xfrm>
                    <a:prstGeom prst="rect">
                      <a:avLst/>
                    </a:prstGeom>
                    <a:noFill/>
                  </pic:spPr>
                </pic:pic>
              </a:graphicData>
            </a:graphic>
          </wp:anchor>
        </w:drawing>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80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48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3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48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Net premiums earned</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43,523,063</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28,819,902</w:t>
            </w:r>
          </w:p>
        </w:tc>
        <w:tc>
          <w:tcPr>
            <w:tcW w:w="3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Ceding commission revenue</w:t>
            </w:r>
          </w:p>
        </w:tc>
        <w:tc>
          <w:tcPr>
            <w:tcW w:w="340" w:type="dxa"/>
            <w:vAlign w:val="bottom"/>
          </w:tcPr>
          <w:p>
            <w:pPr>
              <w:spacing w:after="0"/>
              <w:rPr>
                <w:sz w:val="21"/>
                <w:szCs w:val="21"/>
                <w:color w:val="auto"/>
              </w:rPr>
            </w:pPr>
          </w:p>
        </w:tc>
        <w:tc>
          <w:tcPr>
            <w:tcW w:w="12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2,958,691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4,567,111</w:t>
            </w:r>
          </w:p>
        </w:tc>
        <w:tc>
          <w:tcPr>
            <w:tcW w:w="3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48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Net investment income</w:t>
            </w:r>
          </w:p>
        </w:tc>
        <w:tc>
          <w:tcPr>
            <w:tcW w:w="340" w:type="dxa"/>
            <w:vAlign w:val="bottom"/>
            <w:shd w:val="clear" w:color="auto" w:fill="CCEEFF"/>
          </w:tcPr>
          <w:p>
            <w:pPr>
              <w:spacing w:after="0"/>
              <w:rPr>
                <w:sz w:val="22"/>
                <w:szCs w:val="22"/>
                <w:color w:val="auto"/>
              </w:rPr>
            </w:pPr>
          </w:p>
        </w:tc>
        <w:tc>
          <w:tcPr>
            <w:tcW w:w="12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2,048,596</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2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1,502,860</w:t>
            </w:r>
          </w:p>
        </w:tc>
        <w:tc>
          <w:tcPr>
            <w:tcW w:w="3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(losses) gains on investments</w:t>
            </w:r>
          </w:p>
        </w:tc>
        <w:tc>
          <w:tcPr>
            <w:tcW w:w="340" w:type="dxa"/>
            <w:vAlign w:val="bottom"/>
          </w:tcPr>
          <w:p>
            <w:pPr>
              <w:spacing w:after="0"/>
              <w:rPr>
                <w:sz w:val="21"/>
                <w:szCs w:val="21"/>
                <w:color w:val="auto"/>
              </w:rPr>
            </w:pPr>
          </w:p>
        </w:tc>
        <w:tc>
          <w:tcPr>
            <w:tcW w:w="1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(137,979)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653,819</w:t>
            </w:r>
          </w:p>
        </w:tc>
        <w:tc>
          <w:tcPr>
            <w:tcW w:w="3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48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Gain on sale of real estate</w:t>
            </w:r>
          </w:p>
        </w:tc>
        <w:tc>
          <w:tcPr>
            <w:tcW w:w="340" w:type="dxa"/>
            <w:vAlign w:val="bottom"/>
            <w:shd w:val="clear" w:color="auto" w:fill="CCEEFF"/>
          </w:tcPr>
          <w:p>
            <w:pPr>
              <w:spacing w:after="0"/>
              <w:rPr>
                <w:sz w:val="22"/>
                <w:szCs w:val="22"/>
                <w:color w:val="auto"/>
              </w:rPr>
            </w:pPr>
          </w:p>
        </w:tc>
        <w:tc>
          <w:tcPr>
            <w:tcW w:w="12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1,965,989</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2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3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80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Other income</w:t>
            </w:r>
          </w:p>
        </w:tc>
        <w:tc>
          <w:tcPr>
            <w:tcW w:w="34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139,954</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148,167</w:t>
            </w:r>
          </w:p>
        </w:tc>
        <w:tc>
          <w:tcPr>
            <w:tcW w:w="3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8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 revenues</w:t>
            </w:r>
          </w:p>
        </w:tc>
        <w:tc>
          <w:tcPr>
            <w:tcW w:w="34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50,498,314</w:t>
            </w: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35,691,859</w:t>
            </w:r>
          </w:p>
        </w:tc>
        <w:tc>
          <w:tcPr>
            <w:tcW w:w="3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48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3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4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34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3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Loss and loss adjustment expenses</w:t>
            </w:r>
          </w:p>
        </w:tc>
        <w:tc>
          <w:tcPr>
            <w:tcW w:w="340" w:type="dxa"/>
            <w:vAlign w:val="bottom"/>
          </w:tcPr>
          <w:p>
            <w:pPr>
              <w:spacing w:after="0"/>
              <w:rPr>
                <w:sz w:val="21"/>
                <w:szCs w:val="21"/>
                <w:color w:val="auto"/>
              </w:rPr>
            </w:pPr>
          </w:p>
        </w:tc>
        <w:tc>
          <w:tcPr>
            <w:tcW w:w="12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27,175,078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17,859,587</w:t>
            </w:r>
          </w:p>
        </w:tc>
        <w:tc>
          <w:tcPr>
            <w:tcW w:w="3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48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Commission expense</w:t>
            </w:r>
          </w:p>
        </w:tc>
        <w:tc>
          <w:tcPr>
            <w:tcW w:w="340" w:type="dxa"/>
            <w:vAlign w:val="bottom"/>
            <w:shd w:val="clear" w:color="auto" w:fill="CCEEFF"/>
          </w:tcPr>
          <w:p>
            <w:pPr>
              <w:spacing w:after="0"/>
              <w:rPr>
                <w:sz w:val="22"/>
                <w:szCs w:val="22"/>
                <w:color w:val="auto"/>
              </w:rPr>
            </w:pPr>
          </w:p>
        </w:tc>
        <w:tc>
          <w:tcPr>
            <w:tcW w:w="12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9,312,880</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2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7,851,812</w:t>
            </w:r>
          </w:p>
        </w:tc>
        <w:tc>
          <w:tcPr>
            <w:tcW w:w="3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underwriting expenses</w:t>
            </w:r>
          </w:p>
        </w:tc>
        <w:tc>
          <w:tcPr>
            <w:tcW w:w="340" w:type="dxa"/>
            <w:vAlign w:val="bottom"/>
          </w:tcPr>
          <w:p>
            <w:pPr>
              <w:spacing w:after="0"/>
              <w:rPr>
                <w:sz w:val="21"/>
                <w:szCs w:val="21"/>
                <w:color w:val="auto"/>
              </w:rPr>
            </w:pPr>
          </w:p>
        </w:tc>
        <w:tc>
          <w:tcPr>
            <w:tcW w:w="12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7,405,422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5,880,605</w:t>
            </w:r>
          </w:p>
        </w:tc>
        <w:tc>
          <w:tcPr>
            <w:tcW w:w="3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48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40" w:type="dxa"/>
            <w:vAlign w:val="bottom"/>
            <w:shd w:val="clear" w:color="auto" w:fill="CCEEFF"/>
          </w:tcPr>
          <w:p>
            <w:pPr>
              <w:spacing w:after="0"/>
              <w:rPr>
                <w:sz w:val="22"/>
                <w:szCs w:val="22"/>
                <w:color w:val="auto"/>
              </w:rPr>
            </w:pPr>
          </w:p>
        </w:tc>
        <w:tc>
          <w:tcPr>
            <w:tcW w:w="12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623,863</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2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596,513</w:t>
            </w:r>
          </w:p>
        </w:tc>
        <w:tc>
          <w:tcPr>
            <w:tcW w:w="3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80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Interest expense</w:t>
            </w:r>
          </w:p>
        </w:tc>
        <w:tc>
          <w:tcPr>
            <w:tcW w:w="34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81,477</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98,456</w:t>
            </w:r>
          </w:p>
        </w:tc>
        <w:tc>
          <w:tcPr>
            <w:tcW w:w="3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8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 expenses</w:t>
            </w:r>
          </w:p>
        </w:tc>
        <w:tc>
          <w:tcPr>
            <w:tcW w:w="34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44,598,720</w:t>
            </w: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32,286,973</w:t>
            </w:r>
          </w:p>
        </w:tc>
        <w:tc>
          <w:tcPr>
            <w:tcW w:w="3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8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3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8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Income from operations</w:t>
            </w:r>
          </w:p>
        </w:tc>
        <w:tc>
          <w:tcPr>
            <w:tcW w:w="340" w:type="dxa"/>
            <w:vAlign w:val="bottom"/>
            <w:shd w:val="clear" w:color="auto" w:fill="CCEEFF"/>
          </w:tcPr>
          <w:p>
            <w:pPr>
              <w:spacing w:after="0"/>
              <w:rPr>
                <w:sz w:val="22"/>
                <w:szCs w:val="22"/>
                <w:color w:val="auto"/>
              </w:rPr>
            </w:pPr>
          </w:p>
        </w:tc>
        <w:tc>
          <w:tcPr>
            <w:tcW w:w="12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5,899,594</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2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3,404,886</w:t>
            </w:r>
          </w:p>
        </w:tc>
        <w:tc>
          <w:tcPr>
            <w:tcW w:w="3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80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Income tax expense</w:t>
            </w:r>
          </w:p>
        </w:tc>
        <w:tc>
          <w:tcPr>
            <w:tcW w:w="34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1,233,125</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719,114</w:t>
            </w:r>
          </w:p>
        </w:tc>
        <w:tc>
          <w:tcPr>
            <w:tcW w:w="3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4800" w:type="dxa"/>
            <w:vAlign w:val="bottom"/>
            <w:shd w:val="clear" w:color="auto" w:fill="CCEEFF"/>
          </w:tcPr>
          <w:p>
            <w:pPr>
              <w:ind w:left="20"/>
              <w:spacing w:after="0" w:line="194" w:lineRule="exact"/>
              <w:rPr>
                <w:sz w:val="20"/>
                <w:szCs w:val="20"/>
                <w:color w:val="auto"/>
              </w:rPr>
            </w:pPr>
            <w:r>
              <w:rPr>
                <w:rFonts w:ascii="Times New Roman" w:cs="Times New Roman" w:eastAsia="Times New Roman" w:hAnsi="Times New Roman"/>
                <w:sz w:val="18"/>
                <w:szCs w:val="18"/>
                <w:b w:val="1"/>
                <w:bCs w:val="1"/>
                <w:color w:val="auto"/>
              </w:rPr>
              <w:t>Net income from insurance underwriting business on a</w:t>
            </w:r>
          </w:p>
        </w:tc>
        <w:tc>
          <w:tcPr>
            <w:tcW w:w="340" w:type="dxa"/>
            <w:vAlign w:val="bottom"/>
            <w:vMerge w:val="restart"/>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vMerge w:val="restart"/>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4,666,469</w:t>
            </w:r>
          </w:p>
        </w:tc>
        <w:tc>
          <w:tcPr>
            <w:tcW w:w="100" w:type="dxa"/>
            <w:vAlign w:val="bottom"/>
            <w:shd w:val="clear" w:color="auto" w:fill="CCEEFF"/>
          </w:tcPr>
          <w:p>
            <w:pPr>
              <w:spacing w:after="0"/>
              <w:rPr>
                <w:sz w:val="16"/>
                <w:szCs w:val="16"/>
                <w:color w:val="auto"/>
              </w:rPr>
            </w:pPr>
          </w:p>
        </w:tc>
        <w:tc>
          <w:tcPr>
            <w:tcW w:w="340" w:type="dxa"/>
            <w:vAlign w:val="bottom"/>
            <w:vMerge w:val="restart"/>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vMerge w:val="restart"/>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2,685,772</w:t>
            </w:r>
          </w:p>
        </w:tc>
        <w:tc>
          <w:tcPr>
            <w:tcW w:w="3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4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standalone basis(1)</w:t>
            </w:r>
          </w:p>
        </w:tc>
        <w:tc>
          <w:tcPr>
            <w:tcW w:w="340" w:type="dxa"/>
            <w:vAlign w:val="bottom"/>
            <w:tcBorders>
              <w:bottom w:val="single" w:sz="8" w:color="auto"/>
            </w:tcBorders>
            <w:vMerge w:val="continue"/>
            <w:shd w:val="clear" w:color="auto" w:fill="CCEEFF"/>
          </w:tcPr>
          <w:p>
            <w:pPr>
              <w:spacing w:after="0"/>
              <w:rPr>
                <w:sz w:val="21"/>
                <w:szCs w:val="21"/>
                <w:color w:val="auto"/>
              </w:rPr>
            </w:pPr>
          </w:p>
        </w:tc>
        <w:tc>
          <w:tcPr>
            <w:tcW w:w="1280" w:type="dxa"/>
            <w:vAlign w:val="bottom"/>
            <w:tcBorders>
              <w:bottom w:val="single" w:sz="8" w:color="auto"/>
            </w:tcBorders>
            <w:vMerge w:val="continue"/>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vMerge w:val="continue"/>
            <w:shd w:val="clear" w:color="auto" w:fill="CCEEFF"/>
          </w:tcPr>
          <w:p>
            <w:pPr>
              <w:spacing w:after="0"/>
              <w:rPr>
                <w:sz w:val="21"/>
                <w:szCs w:val="21"/>
                <w:color w:val="auto"/>
              </w:rPr>
            </w:pPr>
          </w:p>
        </w:tc>
        <w:tc>
          <w:tcPr>
            <w:tcW w:w="1280" w:type="dxa"/>
            <w:vAlign w:val="bottom"/>
            <w:tcBorders>
              <w:bottom w:val="single" w:sz="8" w:color="auto"/>
            </w:tcBorders>
            <w:vMerge w:val="continue"/>
            <w:shd w:val="clear" w:color="auto" w:fill="CCEEFF"/>
          </w:tcPr>
          <w:p>
            <w:pPr>
              <w:spacing w:after="0"/>
              <w:rPr>
                <w:sz w:val="21"/>
                <w:szCs w:val="21"/>
                <w:color w:val="auto"/>
              </w:rPr>
            </w:pPr>
          </w:p>
        </w:tc>
        <w:tc>
          <w:tcPr>
            <w:tcW w:w="3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8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4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Key Measures:</w:t>
            </w:r>
          </w:p>
        </w:tc>
        <w:tc>
          <w:tcPr>
            <w:tcW w:w="34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3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loss ratio</w:t>
            </w:r>
          </w:p>
        </w:tc>
        <w:tc>
          <w:tcPr>
            <w:tcW w:w="3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62.4 %</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62.0 %</w:t>
            </w:r>
          </w:p>
        </w:tc>
        <w:tc>
          <w:tcPr>
            <w:tcW w:w="3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48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Net underwriting expense ratio</w:t>
            </w:r>
          </w:p>
        </w:tc>
        <w:tc>
          <w:tcPr>
            <w:tcW w:w="34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31.3 %</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31.3 %</w:t>
            </w:r>
          </w:p>
        </w:tc>
        <w:tc>
          <w:tcPr>
            <w:tcW w:w="3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4"/>
        </w:trPr>
        <w:tc>
          <w:tcPr>
            <w:tcW w:w="4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combined ratio</w:t>
            </w:r>
          </w:p>
        </w:tc>
        <w:tc>
          <w:tcPr>
            <w:tcW w:w="34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93.7 %</w:t>
            </w:r>
          </w:p>
        </w:tc>
        <w:tc>
          <w:tcPr>
            <w:tcW w:w="10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93.3 %</w:t>
            </w:r>
          </w:p>
        </w:tc>
        <w:tc>
          <w:tcPr>
            <w:tcW w:w="3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8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3"/>
        </w:trPr>
        <w:tc>
          <w:tcPr>
            <w:tcW w:w="48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3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Reconciliation of net underwriting expense ratio:</w:t>
            </w:r>
          </w:p>
        </w:tc>
        <w:tc>
          <w:tcPr>
            <w:tcW w:w="3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3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48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Acquisition costs and other</w:t>
            </w:r>
          </w:p>
        </w:tc>
        <w:tc>
          <w:tcPr>
            <w:tcW w:w="34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3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8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underwriting expenses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16,718,302</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13,732,417</w:t>
            </w:r>
          </w:p>
        </w:tc>
        <w:tc>
          <w:tcPr>
            <w:tcW w:w="3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48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Less: Ceding commission revenue</w:t>
            </w:r>
          </w:p>
        </w:tc>
        <w:tc>
          <w:tcPr>
            <w:tcW w:w="340" w:type="dxa"/>
            <w:vAlign w:val="bottom"/>
            <w:shd w:val="clear" w:color="auto" w:fill="CCEEFF"/>
          </w:tcPr>
          <w:p>
            <w:pPr>
              <w:spacing w:after="0"/>
              <w:rPr>
                <w:sz w:val="22"/>
                <w:szCs w:val="22"/>
                <w:color w:val="auto"/>
              </w:rPr>
            </w:pPr>
          </w:p>
        </w:tc>
        <w:tc>
          <w:tcPr>
            <w:tcW w:w="1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(2,958,691)</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(4,567,111)</w:t>
            </w:r>
          </w:p>
        </w:tc>
        <w:tc>
          <w:tcPr>
            <w:tcW w:w="3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80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Less: Other income</w:t>
            </w:r>
          </w:p>
        </w:tc>
        <w:tc>
          <w:tcPr>
            <w:tcW w:w="34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(139,954)</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(148,167)</w:t>
            </w:r>
          </w:p>
        </w:tc>
        <w:tc>
          <w:tcPr>
            <w:tcW w:w="3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480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Net underwriting expenses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13,619,657</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9,017,139</w:t>
            </w:r>
          </w:p>
        </w:tc>
        <w:tc>
          <w:tcPr>
            <w:tcW w:w="3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48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8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3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5"/>
        </w:trPr>
        <w:tc>
          <w:tcPr>
            <w:tcW w:w="480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Net premiums earned</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43,523,063</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28,819,902</w:t>
            </w:r>
          </w:p>
        </w:tc>
        <w:tc>
          <w:tcPr>
            <w:tcW w:w="3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48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8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3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5"/>
        </w:trPr>
        <w:tc>
          <w:tcPr>
            <w:tcW w:w="480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Net Underwriting Expense Ratio</w:t>
            </w:r>
          </w:p>
        </w:tc>
        <w:tc>
          <w:tcPr>
            <w:tcW w:w="34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31.3 %</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31.3 %</w:t>
            </w:r>
          </w:p>
        </w:tc>
        <w:tc>
          <w:tcPr>
            <w:tcW w:w="3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48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5"/>
        </w:trPr>
        <w:tc>
          <w:tcPr>
            <w:tcW w:w="4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8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8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3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__________________</w:t>
      </w:r>
    </w:p>
    <w:p>
      <w:pPr>
        <w:spacing w:after="0" w:line="207" w:lineRule="exact"/>
        <w:rPr>
          <w:sz w:val="20"/>
          <w:szCs w:val="20"/>
          <w:color w:val="auto"/>
        </w:rPr>
      </w:pPr>
    </w:p>
    <w:p>
      <w:pPr>
        <w:ind w:right="240" w:firstLine="615"/>
        <w:spacing w:after="0" w:line="236" w:lineRule="auto"/>
        <w:tabs>
          <w:tab w:leader="none" w:pos="862"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income from insurance underwriting business on a standalone basis is a non-GAAP measure, which is computed as GAAP net income without the effect of holding company operations on GAAP net income. See "Non-GAAP Financial Measures" for the reconciliation of net income from insurance underwriting business on a standalone basis to the GAAP measure of net income.</w:t>
      </w:r>
    </w:p>
    <w:p>
      <w:pPr>
        <w:spacing w:after="0" w:line="200" w:lineRule="exact"/>
        <w:rPr>
          <w:sz w:val="20"/>
          <w:szCs w:val="20"/>
          <w:color w:val="auto"/>
        </w:rPr>
      </w:pPr>
    </w:p>
    <w:p>
      <w:pPr>
        <w:spacing w:after="0" w:line="22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An analysis of our direct, assumed and ceded earned premiums, loss and loss adjustment expenses, and loss ratios is shown below:</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7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2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Direct</w:t>
            </w:r>
          </w:p>
        </w:tc>
        <w:tc>
          <w:tcPr>
            <w:tcW w:w="280" w:type="dxa"/>
            <w:vAlign w:val="bottom"/>
          </w:tcPr>
          <w:p>
            <w:pPr>
              <w:spacing w:after="0"/>
              <w:rPr>
                <w:sz w:val="16"/>
                <w:szCs w:val="16"/>
                <w:color w:val="auto"/>
              </w:rPr>
            </w:pPr>
          </w:p>
        </w:tc>
        <w:tc>
          <w:tcPr>
            <w:tcW w:w="134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Assumed</w:t>
            </w:r>
          </w:p>
        </w:tc>
        <w:tc>
          <w:tcPr>
            <w:tcW w:w="340" w:type="dxa"/>
            <w:vAlign w:val="bottom"/>
          </w:tcPr>
          <w:p>
            <w:pPr>
              <w:spacing w:after="0"/>
              <w:rPr>
                <w:sz w:val="16"/>
                <w:szCs w:val="16"/>
                <w:color w:val="auto"/>
              </w:rPr>
            </w:pPr>
          </w:p>
        </w:tc>
        <w:tc>
          <w:tcPr>
            <w:tcW w:w="132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Ceded</w:t>
            </w:r>
          </w:p>
        </w:tc>
        <w:tc>
          <w:tcPr>
            <w:tcW w:w="380" w:type="dxa"/>
            <w:vAlign w:val="bottom"/>
          </w:tcPr>
          <w:p>
            <w:pPr>
              <w:spacing w:after="0"/>
              <w:rPr>
                <w:sz w:val="16"/>
                <w:szCs w:val="16"/>
                <w:color w:val="auto"/>
              </w:rPr>
            </w:pPr>
          </w:p>
        </w:tc>
        <w:tc>
          <w:tcPr>
            <w:tcW w:w="1180" w:type="dxa"/>
            <w:vAlign w:val="bottom"/>
          </w:tcPr>
          <w:p>
            <w:pPr>
              <w:jc w:val="right"/>
              <w:ind w:right="588"/>
              <w:spacing w:after="0"/>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23"/>
        </w:trPr>
        <w:tc>
          <w:tcPr>
            <w:tcW w:w="47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March 31, 2025</w:t>
            </w: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3"/>
        </w:trPr>
        <w:tc>
          <w:tcPr>
            <w:tcW w:w="474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4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47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Written premiums</w:t>
            </w:r>
          </w:p>
        </w:tc>
        <w:tc>
          <w:tcPr>
            <w:tcW w:w="340" w:type="dxa"/>
            <w:vAlign w:val="bottom"/>
            <w:tcBorders>
              <w:bottom w:val="single" w:sz="8" w:color="CCEEFF"/>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58,174,996</w:t>
            </w: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bottom w:val="single" w:sz="8" w:color="CCEEFF"/>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bottom w:val="single" w:sz="8" w:color="CCEEFF"/>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2,834,411</w:t>
            </w:r>
          </w:p>
        </w:tc>
        <w:tc>
          <w:tcPr>
            <w:tcW w:w="8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61,009,407</w:t>
            </w:r>
          </w:p>
        </w:tc>
        <w:tc>
          <w:tcPr>
            <w:tcW w:w="0" w:type="dxa"/>
            <w:vAlign w:val="bottom"/>
          </w:tcPr>
          <w:p>
            <w:pPr>
              <w:spacing w:after="0"/>
              <w:rPr>
                <w:sz w:val="1"/>
                <w:szCs w:val="1"/>
                <w:color w:val="auto"/>
              </w:rPr>
            </w:pPr>
          </w:p>
        </w:tc>
      </w:tr>
      <w:tr>
        <w:trPr>
          <w:trHeight w:val="193"/>
        </w:trPr>
        <w:tc>
          <w:tcPr>
            <w:tcW w:w="47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Change in unearned premiums</w:t>
            </w:r>
          </w:p>
        </w:tc>
        <w:tc>
          <w:tcPr>
            <w:tcW w:w="340" w:type="dxa"/>
            <w:vAlign w:val="bottom"/>
          </w:tcPr>
          <w:p>
            <w:pPr>
              <w:spacing w:after="0"/>
              <w:rPr>
                <w:sz w:val="16"/>
                <w:szCs w:val="16"/>
                <w:color w:val="auto"/>
              </w:rPr>
            </w:pPr>
          </w:p>
        </w:tc>
        <w:tc>
          <w:tcPr>
            <w:tcW w:w="12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2,470,381</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6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(19,956,725)</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(17,486,344)</w:t>
            </w:r>
          </w:p>
        </w:tc>
        <w:tc>
          <w:tcPr>
            <w:tcW w:w="0" w:type="dxa"/>
            <w:vAlign w:val="bottom"/>
          </w:tcPr>
          <w:p>
            <w:pPr>
              <w:spacing w:after="0"/>
              <w:rPr>
                <w:sz w:val="1"/>
                <w:szCs w:val="1"/>
                <w:color w:val="auto"/>
              </w:rPr>
            </w:pPr>
          </w:p>
        </w:tc>
      </w:tr>
      <w:tr>
        <w:trPr>
          <w:trHeight w:val="23"/>
        </w:trPr>
        <w:tc>
          <w:tcPr>
            <w:tcW w:w="47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4"/>
        </w:trPr>
        <w:tc>
          <w:tcPr>
            <w:tcW w:w="47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Earned premiums</w:t>
            </w:r>
          </w:p>
        </w:tc>
        <w:tc>
          <w:tcPr>
            <w:tcW w:w="340" w:type="dxa"/>
            <w:vAlign w:val="bottom"/>
            <w:tcBorders>
              <w:bottom w:val="single" w:sz="8" w:color="CCEEFF"/>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60,645,377</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bottom w:val="single" w:sz="8" w:color="CCEEFF"/>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bottom w:val="single" w:sz="8" w:color="CCEEFF"/>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(17,122,314)</w:t>
            </w:r>
          </w:p>
        </w:tc>
        <w:tc>
          <w:tcPr>
            <w:tcW w:w="8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43,523,063</w:t>
            </w: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7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7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Loss and loss adjustment expenses excluding</w:t>
            </w:r>
          </w:p>
        </w:tc>
        <w:tc>
          <w:tcPr>
            <w:tcW w:w="34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474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the effect of catastrophes</w:t>
            </w:r>
          </w:p>
        </w:tc>
        <w:tc>
          <w:tcPr>
            <w:tcW w:w="34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33,341,330</w:t>
            </w:r>
          </w:p>
        </w:tc>
        <w:tc>
          <w:tcPr>
            <w:tcW w:w="100" w:type="dxa"/>
            <w:vAlign w:val="bottom"/>
          </w:tcPr>
          <w:p>
            <w:pPr>
              <w:spacing w:after="0"/>
              <w:rPr>
                <w:sz w:val="16"/>
                <w:szCs w:val="16"/>
                <w:color w:val="auto"/>
              </w:rPr>
            </w:pPr>
          </w:p>
        </w:tc>
        <w:tc>
          <w:tcPr>
            <w:tcW w:w="2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34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(6,916,449)</w:t>
            </w:r>
          </w:p>
        </w:tc>
        <w:tc>
          <w:tcPr>
            <w:tcW w:w="80" w:type="dxa"/>
            <w:vAlign w:val="bottom"/>
          </w:tcPr>
          <w:p>
            <w:pPr>
              <w:spacing w:after="0"/>
              <w:rPr>
                <w:sz w:val="16"/>
                <w:szCs w:val="16"/>
                <w:color w:val="auto"/>
              </w:rPr>
            </w:pPr>
          </w:p>
        </w:tc>
        <w:tc>
          <w:tcPr>
            <w:tcW w:w="38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26,424,881</w:t>
            </w:r>
          </w:p>
        </w:tc>
        <w:tc>
          <w:tcPr>
            <w:tcW w:w="0" w:type="dxa"/>
            <w:vAlign w:val="bottom"/>
          </w:tcPr>
          <w:p>
            <w:pPr>
              <w:spacing w:after="0"/>
              <w:rPr>
                <w:sz w:val="1"/>
                <w:szCs w:val="1"/>
                <w:color w:val="auto"/>
              </w:rPr>
            </w:pPr>
          </w:p>
        </w:tc>
      </w:tr>
      <w:tr>
        <w:trPr>
          <w:trHeight w:val="23"/>
        </w:trPr>
        <w:tc>
          <w:tcPr>
            <w:tcW w:w="4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7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Catastrophe loss</w:t>
            </w:r>
          </w:p>
        </w:tc>
        <w:tc>
          <w:tcPr>
            <w:tcW w:w="34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893,092</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(142,895)</w:t>
            </w:r>
          </w:p>
        </w:tc>
        <w:tc>
          <w:tcPr>
            <w:tcW w:w="8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750,197</w:t>
            </w:r>
          </w:p>
        </w:tc>
        <w:tc>
          <w:tcPr>
            <w:tcW w:w="0" w:type="dxa"/>
            <w:vAlign w:val="bottom"/>
          </w:tcPr>
          <w:p>
            <w:pPr>
              <w:spacing w:after="0"/>
              <w:rPr>
                <w:sz w:val="1"/>
                <w:szCs w:val="1"/>
                <w:color w:val="auto"/>
              </w:rPr>
            </w:pPr>
          </w:p>
        </w:tc>
      </w:tr>
      <w:tr>
        <w:trPr>
          <w:trHeight w:val="186"/>
        </w:trPr>
        <w:tc>
          <w:tcPr>
            <w:tcW w:w="47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Loss and loss adjustment expenses</w:t>
            </w:r>
          </w:p>
        </w:tc>
        <w:tc>
          <w:tcPr>
            <w:tcW w:w="340" w:type="dxa"/>
            <w:vAlign w:val="bottom"/>
            <w:tcBorders>
              <w:top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top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34,234,422</w:t>
            </w:r>
          </w:p>
        </w:tc>
        <w:tc>
          <w:tcPr>
            <w:tcW w:w="100" w:type="dxa"/>
            <w:vAlign w:val="bottom"/>
          </w:tcPr>
          <w:p>
            <w:pPr>
              <w:spacing w:after="0"/>
              <w:rPr>
                <w:sz w:val="16"/>
                <w:szCs w:val="16"/>
                <w:color w:val="auto"/>
              </w:rPr>
            </w:pPr>
          </w:p>
        </w:tc>
        <w:tc>
          <w:tcPr>
            <w:tcW w:w="280" w:type="dxa"/>
            <w:vAlign w:val="bottom"/>
            <w:tcBorders>
              <w:top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top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340" w:type="dxa"/>
            <w:vAlign w:val="bottom"/>
            <w:tcBorders>
              <w:top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top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(7,059,344)</w:t>
            </w:r>
          </w:p>
        </w:tc>
        <w:tc>
          <w:tcPr>
            <w:tcW w:w="80" w:type="dxa"/>
            <w:vAlign w:val="bottom"/>
          </w:tcPr>
          <w:p>
            <w:pPr>
              <w:spacing w:after="0"/>
              <w:rPr>
                <w:sz w:val="16"/>
                <w:szCs w:val="16"/>
                <w:color w:val="auto"/>
              </w:rPr>
            </w:pPr>
          </w:p>
        </w:tc>
        <w:tc>
          <w:tcPr>
            <w:tcW w:w="380" w:type="dxa"/>
            <w:vAlign w:val="bottom"/>
            <w:tcBorders>
              <w:top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top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27,175,078</w:t>
            </w:r>
          </w:p>
        </w:tc>
        <w:tc>
          <w:tcPr>
            <w:tcW w:w="0" w:type="dxa"/>
            <w:vAlign w:val="bottom"/>
          </w:tcPr>
          <w:p>
            <w:pPr>
              <w:spacing w:after="0"/>
              <w:rPr>
                <w:sz w:val="1"/>
                <w:szCs w:val="1"/>
                <w:color w:val="auto"/>
              </w:rPr>
            </w:pPr>
          </w:p>
        </w:tc>
      </w:tr>
      <w:tr>
        <w:trPr>
          <w:trHeight w:val="23"/>
        </w:trPr>
        <w:tc>
          <w:tcPr>
            <w:tcW w:w="47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7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7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47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Loss ratio excluding the effect of catastrophes(2)</w:t>
            </w:r>
          </w:p>
        </w:tc>
        <w:tc>
          <w:tcPr>
            <w:tcW w:w="34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55.0 %</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0.0 %</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40.4 %</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60.7 %</w:t>
            </w:r>
          </w:p>
        </w:tc>
        <w:tc>
          <w:tcPr>
            <w:tcW w:w="0" w:type="dxa"/>
            <w:vAlign w:val="bottom"/>
          </w:tcPr>
          <w:p>
            <w:pPr>
              <w:spacing w:after="0"/>
              <w:rPr>
                <w:sz w:val="1"/>
                <w:szCs w:val="1"/>
                <w:color w:val="auto"/>
              </w:rPr>
            </w:pPr>
          </w:p>
        </w:tc>
      </w:tr>
      <w:tr>
        <w:trPr>
          <w:trHeight w:val="23"/>
        </w:trPr>
        <w:tc>
          <w:tcPr>
            <w:tcW w:w="4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7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Catastrophe loss</w:t>
            </w:r>
          </w:p>
        </w:tc>
        <w:tc>
          <w:tcPr>
            <w:tcW w:w="34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1.5 %</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0.0 %</w:t>
            </w: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0.8 %</w:t>
            </w:r>
          </w:p>
        </w:tc>
        <w:tc>
          <w:tcPr>
            <w:tcW w:w="8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1.7 %</w:t>
            </w:r>
          </w:p>
        </w:tc>
        <w:tc>
          <w:tcPr>
            <w:tcW w:w="0" w:type="dxa"/>
            <w:vAlign w:val="bottom"/>
          </w:tcPr>
          <w:p>
            <w:pPr>
              <w:spacing w:after="0"/>
              <w:rPr>
                <w:sz w:val="1"/>
                <w:szCs w:val="1"/>
                <w:color w:val="auto"/>
              </w:rPr>
            </w:pPr>
          </w:p>
        </w:tc>
      </w:tr>
      <w:tr>
        <w:trPr>
          <w:trHeight w:val="186"/>
        </w:trPr>
        <w:tc>
          <w:tcPr>
            <w:tcW w:w="47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Loss ratio</w:t>
            </w:r>
          </w:p>
        </w:tc>
        <w:tc>
          <w:tcPr>
            <w:tcW w:w="34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56.5 %</w:t>
            </w:r>
          </w:p>
        </w:tc>
        <w:tc>
          <w:tcPr>
            <w:tcW w:w="10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0.0 %</w:t>
            </w:r>
          </w:p>
        </w:tc>
        <w:tc>
          <w:tcPr>
            <w:tcW w:w="8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41.2 %</w:t>
            </w:r>
          </w:p>
        </w:tc>
        <w:tc>
          <w:tcPr>
            <w:tcW w:w="80" w:type="dxa"/>
            <w:vAlign w:val="bottom"/>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62.4 %</w:t>
            </w:r>
          </w:p>
        </w:tc>
        <w:tc>
          <w:tcPr>
            <w:tcW w:w="0" w:type="dxa"/>
            <w:vAlign w:val="bottom"/>
          </w:tcPr>
          <w:p>
            <w:pPr>
              <w:spacing w:after="0"/>
              <w:rPr>
                <w:sz w:val="1"/>
                <w:szCs w:val="1"/>
                <w:color w:val="auto"/>
              </w:rPr>
            </w:pPr>
          </w:p>
        </w:tc>
      </w:tr>
      <w:tr>
        <w:trPr>
          <w:trHeight w:val="23"/>
        </w:trPr>
        <w:tc>
          <w:tcPr>
            <w:tcW w:w="47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7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7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47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March 31, 2024</w:t>
            </w:r>
          </w:p>
        </w:tc>
        <w:tc>
          <w:tcPr>
            <w:tcW w:w="3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47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Written premiums</w:t>
            </w:r>
          </w:p>
        </w:tc>
        <w:tc>
          <w:tcPr>
            <w:tcW w:w="340" w:type="dxa"/>
            <w:vAlign w:val="bottom"/>
            <w:tcBorders>
              <w:bottom w:val="single" w:sz="8" w:color="CCEEFF"/>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49,324,616</w:t>
            </w: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bottom w:val="single" w:sz="8" w:color="CCEEFF"/>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bottom w:val="single" w:sz="8" w:color="CCEEFF"/>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(11,229,217)</w:t>
            </w:r>
          </w:p>
        </w:tc>
        <w:tc>
          <w:tcPr>
            <w:tcW w:w="8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38,095,399</w:t>
            </w:r>
          </w:p>
        </w:tc>
        <w:tc>
          <w:tcPr>
            <w:tcW w:w="0" w:type="dxa"/>
            <w:vAlign w:val="bottom"/>
          </w:tcPr>
          <w:p>
            <w:pPr>
              <w:spacing w:after="0"/>
              <w:rPr>
                <w:sz w:val="1"/>
                <w:szCs w:val="1"/>
                <w:color w:val="auto"/>
              </w:rPr>
            </w:pPr>
          </w:p>
        </w:tc>
      </w:tr>
      <w:tr>
        <w:trPr>
          <w:trHeight w:val="193"/>
        </w:trPr>
        <w:tc>
          <w:tcPr>
            <w:tcW w:w="47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Change in unearned premiums</w:t>
            </w:r>
          </w:p>
        </w:tc>
        <w:tc>
          <w:tcPr>
            <w:tcW w:w="340" w:type="dxa"/>
            <w:vAlign w:val="bottom"/>
          </w:tcPr>
          <w:p>
            <w:pPr>
              <w:spacing w:after="0"/>
              <w:rPr>
                <w:sz w:val="16"/>
                <w:szCs w:val="16"/>
                <w:color w:val="auto"/>
              </w:rPr>
            </w:pPr>
          </w:p>
        </w:tc>
        <w:tc>
          <w:tcPr>
            <w:tcW w:w="12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671,762</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6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(9,947,259)</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(9,275,497)</w:t>
            </w:r>
          </w:p>
        </w:tc>
        <w:tc>
          <w:tcPr>
            <w:tcW w:w="0" w:type="dxa"/>
            <w:vAlign w:val="bottom"/>
          </w:tcPr>
          <w:p>
            <w:pPr>
              <w:spacing w:after="0"/>
              <w:rPr>
                <w:sz w:val="1"/>
                <w:szCs w:val="1"/>
                <w:color w:val="auto"/>
              </w:rPr>
            </w:pPr>
          </w:p>
        </w:tc>
      </w:tr>
      <w:tr>
        <w:trPr>
          <w:trHeight w:val="23"/>
        </w:trPr>
        <w:tc>
          <w:tcPr>
            <w:tcW w:w="47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5"/>
        </w:trPr>
        <w:tc>
          <w:tcPr>
            <w:tcW w:w="47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Earned premiums</w:t>
            </w:r>
          </w:p>
        </w:tc>
        <w:tc>
          <w:tcPr>
            <w:tcW w:w="340" w:type="dxa"/>
            <w:vAlign w:val="bottom"/>
            <w:tcBorders>
              <w:bottom w:val="single" w:sz="8" w:color="CCEEFF"/>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49,996,378</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bottom w:val="single" w:sz="8" w:color="CCEEFF"/>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bottom w:val="single" w:sz="8" w:color="CCEEFF"/>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(21,176,476)</w:t>
            </w:r>
          </w:p>
        </w:tc>
        <w:tc>
          <w:tcPr>
            <w:tcW w:w="8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28,819,902</w:t>
            </w: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7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7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Loss and loss adjustment expenses excluding</w:t>
            </w:r>
          </w:p>
        </w:tc>
        <w:tc>
          <w:tcPr>
            <w:tcW w:w="34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474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the effect of catastrophes</w:t>
            </w:r>
          </w:p>
        </w:tc>
        <w:tc>
          <w:tcPr>
            <w:tcW w:w="34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20,642,101</w:t>
            </w:r>
          </w:p>
        </w:tc>
        <w:tc>
          <w:tcPr>
            <w:tcW w:w="100" w:type="dxa"/>
            <w:vAlign w:val="bottom"/>
          </w:tcPr>
          <w:p>
            <w:pPr>
              <w:spacing w:after="0"/>
              <w:rPr>
                <w:sz w:val="16"/>
                <w:szCs w:val="16"/>
                <w:color w:val="auto"/>
              </w:rPr>
            </w:pPr>
          </w:p>
        </w:tc>
        <w:tc>
          <w:tcPr>
            <w:tcW w:w="2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34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(4,268,162)</w:t>
            </w:r>
          </w:p>
        </w:tc>
        <w:tc>
          <w:tcPr>
            <w:tcW w:w="80" w:type="dxa"/>
            <w:vAlign w:val="bottom"/>
          </w:tcPr>
          <w:p>
            <w:pPr>
              <w:spacing w:after="0"/>
              <w:rPr>
                <w:sz w:val="16"/>
                <w:szCs w:val="16"/>
                <w:color w:val="auto"/>
              </w:rPr>
            </w:pPr>
          </w:p>
        </w:tc>
        <w:tc>
          <w:tcPr>
            <w:tcW w:w="38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16,373,939</w:t>
            </w:r>
          </w:p>
        </w:tc>
        <w:tc>
          <w:tcPr>
            <w:tcW w:w="0" w:type="dxa"/>
            <w:vAlign w:val="bottom"/>
          </w:tcPr>
          <w:p>
            <w:pPr>
              <w:spacing w:after="0"/>
              <w:rPr>
                <w:sz w:val="1"/>
                <w:szCs w:val="1"/>
                <w:color w:val="auto"/>
              </w:rPr>
            </w:pPr>
          </w:p>
        </w:tc>
      </w:tr>
      <w:tr>
        <w:trPr>
          <w:trHeight w:val="23"/>
        </w:trPr>
        <w:tc>
          <w:tcPr>
            <w:tcW w:w="4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7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Catastrophe loss</w:t>
            </w:r>
          </w:p>
        </w:tc>
        <w:tc>
          <w:tcPr>
            <w:tcW w:w="34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2,078,986</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(593,338)</w:t>
            </w:r>
          </w:p>
        </w:tc>
        <w:tc>
          <w:tcPr>
            <w:tcW w:w="8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1,485,648</w:t>
            </w:r>
          </w:p>
        </w:tc>
        <w:tc>
          <w:tcPr>
            <w:tcW w:w="0" w:type="dxa"/>
            <w:vAlign w:val="bottom"/>
          </w:tcPr>
          <w:p>
            <w:pPr>
              <w:spacing w:after="0"/>
              <w:rPr>
                <w:sz w:val="1"/>
                <w:szCs w:val="1"/>
                <w:color w:val="auto"/>
              </w:rPr>
            </w:pPr>
          </w:p>
        </w:tc>
      </w:tr>
      <w:tr>
        <w:trPr>
          <w:trHeight w:val="186"/>
        </w:trPr>
        <w:tc>
          <w:tcPr>
            <w:tcW w:w="47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Loss and loss adjustment expenses</w:t>
            </w:r>
          </w:p>
        </w:tc>
        <w:tc>
          <w:tcPr>
            <w:tcW w:w="340" w:type="dxa"/>
            <w:vAlign w:val="bottom"/>
            <w:tcBorders>
              <w:top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top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22,721,087</w:t>
            </w:r>
          </w:p>
        </w:tc>
        <w:tc>
          <w:tcPr>
            <w:tcW w:w="100" w:type="dxa"/>
            <w:vAlign w:val="bottom"/>
          </w:tcPr>
          <w:p>
            <w:pPr>
              <w:spacing w:after="0"/>
              <w:rPr>
                <w:sz w:val="16"/>
                <w:szCs w:val="16"/>
                <w:color w:val="auto"/>
              </w:rPr>
            </w:pPr>
          </w:p>
        </w:tc>
        <w:tc>
          <w:tcPr>
            <w:tcW w:w="280" w:type="dxa"/>
            <w:vAlign w:val="bottom"/>
            <w:tcBorders>
              <w:top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top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340" w:type="dxa"/>
            <w:vAlign w:val="bottom"/>
            <w:tcBorders>
              <w:top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top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(4,861,500)</w:t>
            </w:r>
          </w:p>
        </w:tc>
        <w:tc>
          <w:tcPr>
            <w:tcW w:w="80" w:type="dxa"/>
            <w:vAlign w:val="bottom"/>
          </w:tcPr>
          <w:p>
            <w:pPr>
              <w:spacing w:after="0"/>
              <w:rPr>
                <w:sz w:val="16"/>
                <w:szCs w:val="16"/>
                <w:color w:val="auto"/>
              </w:rPr>
            </w:pPr>
          </w:p>
        </w:tc>
        <w:tc>
          <w:tcPr>
            <w:tcW w:w="380" w:type="dxa"/>
            <w:vAlign w:val="bottom"/>
            <w:tcBorders>
              <w:top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top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17,859,587</w:t>
            </w:r>
          </w:p>
        </w:tc>
        <w:tc>
          <w:tcPr>
            <w:tcW w:w="0" w:type="dxa"/>
            <w:vAlign w:val="bottom"/>
          </w:tcPr>
          <w:p>
            <w:pPr>
              <w:spacing w:after="0"/>
              <w:rPr>
                <w:sz w:val="1"/>
                <w:szCs w:val="1"/>
                <w:color w:val="auto"/>
              </w:rPr>
            </w:pPr>
          </w:p>
        </w:tc>
      </w:tr>
      <w:tr>
        <w:trPr>
          <w:trHeight w:val="23"/>
        </w:trPr>
        <w:tc>
          <w:tcPr>
            <w:tcW w:w="47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7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7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47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Loss ratio excluding the effect of catastrophes(2)</w:t>
            </w:r>
          </w:p>
        </w:tc>
        <w:tc>
          <w:tcPr>
            <w:tcW w:w="34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41.3 %</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0.0 %</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20.2 %</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56.8 %</w:t>
            </w:r>
          </w:p>
        </w:tc>
        <w:tc>
          <w:tcPr>
            <w:tcW w:w="0" w:type="dxa"/>
            <w:vAlign w:val="bottom"/>
          </w:tcPr>
          <w:p>
            <w:pPr>
              <w:spacing w:after="0"/>
              <w:rPr>
                <w:sz w:val="1"/>
                <w:szCs w:val="1"/>
                <w:color w:val="auto"/>
              </w:rPr>
            </w:pPr>
          </w:p>
        </w:tc>
      </w:tr>
      <w:tr>
        <w:trPr>
          <w:trHeight w:val="23"/>
        </w:trPr>
        <w:tc>
          <w:tcPr>
            <w:tcW w:w="4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7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Catastrophe loss</w:t>
            </w:r>
          </w:p>
        </w:tc>
        <w:tc>
          <w:tcPr>
            <w:tcW w:w="34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4.2 %</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0.0 %</w:t>
            </w: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2.8 %</w:t>
            </w:r>
          </w:p>
        </w:tc>
        <w:tc>
          <w:tcPr>
            <w:tcW w:w="8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5.2 %</w:t>
            </w:r>
          </w:p>
        </w:tc>
        <w:tc>
          <w:tcPr>
            <w:tcW w:w="0" w:type="dxa"/>
            <w:vAlign w:val="bottom"/>
          </w:tcPr>
          <w:p>
            <w:pPr>
              <w:spacing w:after="0"/>
              <w:rPr>
                <w:sz w:val="1"/>
                <w:szCs w:val="1"/>
                <w:color w:val="auto"/>
              </w:rPr>
            </w:pPr>
          </w:p>
        </w:tc>
      </w:tr>
      <w:tr>
        <w:trPr>
          <w:trHeight w:val="186"/>
        </w:trPr>
        <w:tc>
          <w:tcPr>
            <w:tcW w:w="47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Loss ratio</w:t>
            </w:r>
          </w:p>
        </w:tc>
        <w:tc>
          <w:tcPr>
            <w:tcW w:w="34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45.4 %</w:t>
            </w:r>
          </w:p>
        </w:tc>
        <w:tc>
          <w:tcPr>
            <w:tcW w:w="10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0.0 %</w:t>
            </w:r>
          </w:p>
        </w:tc>
        <w:tc>
          <w:tcPr>
            <w:tcW w:w="8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23.0 %</w:t>
            </w:r>
          </w:p>
        </w:tc>
        <w:tc>
          <w:tcPr>
            <w:tcW w:w="80" w:type="dxa"/>
            <w:vAlign w:val="bottom"/>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62.0 %</w:t>
            </w:r>
          </w:p>
        </w:tc>
        <w:tc>
          <w:tcPr>
            <w:tcW w:w="0" w:type="dxa"/>
            <w:vAlign w:val="bottom"/>
          </w:tcPr>
          <w:p>
            <w:pPr>
              <w:spacing w:after="0"/>
              <w:rPr>
                <w:sz w:val="1"/>
                <w:szCs w:val="1"/>
                <w:color w:val="auto"/>
              </w:rPr>
            </w:pPr>
          </w:p>
        </w:tc>
      </w:tr>
      <w:tr>
        <w:trPr>
          <w:trHeight w:val="23"/>
        </w:trPr>
        <w:tc>
          <w:tcPr>
            <w:tcW w:w="47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63"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i w:val="1"/>
          <w:iCs w:val="1"/>
          <w:color w:val="auto"/>
        </w:rPr>
        <w:t>(Percent components may not sum to totals due to rounding)</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key measures for our insurance underwriting business for the periods indicated are as follows:</w:t>
      </w:r>
    </w:p>
    <w:p>
      <w:pPr>
        <w:spacing w:after="0" w:line="275" w:lineRule="exact"/>
        <w:rPr>
          <w:sz w:val="20"/>
          <w:szCs w:val="20"/>
          <w:color w:val="auto"/>
        </w:rPr>
      </w:pPr>
    </w:p>
    <w:p>
      <w:pPr>
        <w:jc w:val="center"/>
        <w:ind w:left="168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20" w:lineRule="exact"/>
        <w:rPr>
          <w:sz w:val="20"/>
          <w:szCs w:val="20"/>
          <w:color w:val="auto"/>
        </w:rPr>
      </w:pPr>
    </w:p>
    <w:p>
      <w:pPr>
        <w:jc w:val="center"/>
        <w:ind w:left="168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3048000</wp:posOffset>
            </wp:positionH>
            <wp:positionV relativeFrom="paragraph">
              <wp:posOffset>21590</wp:posOffset>
            </wp:positionV>
            <wp:extent cx="211709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2117090" cy="8255"/>
                    </a:xfrm>
                    <a:prstGeom prst="rect">
                      <a:avLst/>
                    </a:prstGeom>
                    <a:noFill/>
                  </pic:spPr>
                </pic:pic>
              </a:graphicData>
            </a:graphic>
          </wp:anchor>
        </w:drawing>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80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57"/>
        </w:trPr>
        <w:tc>
          <w:tcPr>
            <w:tcW w:w="48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80" w:type="dxa"/>
            <w:vAlign w:val="bottom"/>
          </w:tcPr>
          <w:p>
            <w:pPr>
              <w:spacing w:after="0"/>
              <w:rPr>
                <w:sz w:val="22"/>
                <w:szCs w:val="22"/>
                <w:color w:val="auto"/>
              </w:rPr>
            </w:pPr>
          </w:p>
        </w:tc>
      </w:tr>
      <w:tr>
        <w:trPr>
          <w:trHeight w:val="257"/>
        </w:trPr>
        <w:tc>
          <w:tcPr>
            <w:tcW w:w="4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premiums earned</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43,523,063</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28,819,902</w:t>
            </w:r>
          </w:p>
        </w:tc>
      </w:tr>
      <w:tr>
        <w:trPr>
          <w:trHeight w:val="250"/>
        </w:trPr>
        <w:tc>
          <w:tcPr>
            <w:tcW w:w="4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Ceding commission revenue</w:t>
            </w:r>
          </w:p>
        </w:tc>
        <w:tc>
          <w:tcPr>
            <w:tcW w:w="340" w:type="dxa"/>
            <w:vAlign w:val="bottom"/>
          </w:tcPr>
          <w:p>
            <w:pPr>
              <w:spacing w:after="0"/>
              <w:rPr>
                <w:sz w:val="21"/>
                <w:szCs w:val="21"/>
                <w:color w:val="auto"/>
              </w:rPr>
            </w:pPr>
          </w:p>
        </w:tc>
        <w:tc>
          <w:tcPr>
            <w:tcW w:w="12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2,958,691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4,567,111</w:t>
            </w:r>
          </w:p>
        </w:tc>
      </w:tr>
      <w:tr>
        <w:trPr>
          <w:trHeight w:val="263"/>
        </w:trPr>
        <w:tc>
          <w:tcPr>
            <w:tcW w:w="4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w:t>
            </w:r>
          </w:p>
        </w:tc>
        <w:tc>
          <w:tcPr>
            <w:tcW w:w="340" w:type="dxa"/>
            <w:vAlign w:val="bottom"/>
            <w:shd w:val="clear" w:color="auto" w:fill="CCEEFF"/>
          </w:tcPr>
          <w:p>
            <w:pPr>
              <w:spacing w:after="0"/>
              <w:rPr>
                <w:sz w:val="22"/>
                <w:szCs w:val="22"/>
                <w:color w:val="auto"/>
              </w:rPr>
            </w:pPr>
          </w:p>
        </w:tc>
        <w:tc>
          <w:tcPr>
            <w:tcW w:w="12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139,954</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2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148,167</w:t>
            </w:r>
          </w:p>
        </w:tc>
      </w:tr>
      <w:tr>
        <w:trPr>
          <w:trHeight w:val="270"/>
        </w:trPr>
        <w:tc>
          <w:tcPr>
            <w:tcW w:w="48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80" w:type="dxa"/>
            <w:vAlign w:val="bottom"/>
          </w:tcPr>
          <w:p>
            <w:pPr>
              <w:spacing w:after="0"/>
              <w:rPr>
                <w:sz w:val="23"/>
                <w:szCs w:val="23"/>
                <w:color w:val="auto"/>
              </w:rPr>
            </w:pPr>
          </w:p>
        </w:tc>
      </w:tr>
      <w:tr>
        <w:trPr>
          <w:trHeight w:val="257"/>
        </w:trPr>
        <w:tc>
          <w:tcPr>
            <w:tcW w:w="4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and loss adjustment expenses(1)</w:t>
            </w:r>
          </w:p>
        </w:tc>
        <w:tc>
          <w:tcPr>
            <w:tcW w:w="340" w:type="dxa"/>
            <w:vAlign w:val="bottom"/>
            <w:shd w:val="clear" w:color="auto" w:fill="CCEEFF"/>
          </w:tcPr>
          <w:p>
            <w:pPr>
              <w:spacing w:after="0"/>
              <w:rPr>
                <w:sz w:val="22"/>
                <w:szCs w:val="22"/>
                <w:color w:val="auto"/>
              </w:rPr>
            </w:pPr>
          </w:p>
        </w:tc>
        <w:tc>
          <w:tcPr>
            <w:tcW w:w="12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27,175,078</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2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17,859,587</w:t>
            </w:r>
          </w:p>
        </w:tc>
      </w:tr>
      <w:tr>
        <w:trPr>
          <w:trHeight w:val="270"/>
        </w:trPr>
        <w:tc>
          <w:tcPr>
            <w:tcW w:w="48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80" w:type="dxa"/>
            <w:vAlign w:val="bottom"/>
          </w:tcPr>
          <w:p>
            <w:pPr>
              <w:spacing w:after="0"/>
              <w:rPr>
                <w:sz w:val="23"/>
                <w:szCs w:val="23"/>
                <w:color w:val="auto"/>
              </w:rPr>
            </w:pPr>
          </w:p>
        </w:tc>
      </w:tr>
      <w:tr>
        <w:trPr>
          <w:trHeight w:val="257"/>
        </w:trPr>
        <w:tc>
          <w:tcPr>
            <w:tcW w:w="4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Acquisition costs and other underwriting expenses:</w:t>
            </w:r>
          </w:p>
        </w:tc>
        <w:tc>
          <w:tcPr>
            <w:tcW w:w="34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r>
      <w:tr>
        <w:trPr>
          <w:trHeight w:val="250"/>
        </w:trPr>
        <w:tc>
          <w:tcPr>
            <w:tcW w:w="4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Commission expense</w:t>
            </w:r>
          </w:p>
        </w:tc>
        <w:tc>
          <w:tcPr>
            <w:tcW w:w="340" w:type="dxa"/>
            <w:vAlign w:val="bottom"/>
          </w:tcPr>
          <w:p>
            <w:pPr>
              <w:spacing w:after="0"/>
              <w:rPr>
                <w:sz w:val="21"/>
                <w:szCs w:val="21"/>
                <w:color w:val="auto"/>
              </w:rPr>
            </w:pPr>
          </w:p>
        </w:tc>
        <w:tc>
          <w:tcPr>
            <w:tcW w:w="12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9,312,880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7,851,812</w:t>
            </w:r>
          </w:p>
        </w:tc>
      </w:tr>
      <w:tr>
        <w:trPr>
          <w:trHeight w:val="263"/>
        </w:trPr>
        <w:tc>
          <w:tcPr>
            <w:tcW w:w="48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Other underwriting expenses</w:t>
            </w:r>
          </w:p>
        </w:tc>
        <w:tc>
          <w:tcPr>
            <w:tcW w:w="34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7,405,422</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5,880,605</w:t>
            </w:r>
          </w:p>
        </w:tc>
      </w:tr>
      <w:tr>
        <w:trPr>
          <w:trHeight w:val="243"/>
        </w:trPr>
        <w:tc>
          <w:tcPr>
            <w:tcW w:w="4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acquisition costs and other underwriting expenses</w:t>
            </w:r>
          </w:p>
        </w:tc>
        <w:tc>
          <w:tcPr>
            <w:tcW w:w="34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16,718,302</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13,732,417</w:t>
            </w:r>
          </w:p>
        </w:tc>
      </w:tr>
      <w:tr>
        <w:trPr>
          <w:trHeight w:val="257"/>
        </w:trPr>
        <w:tc>
          <w:tcPr>
            <w:tcW w:w="48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r>
      <w:tr>
        <w:trPr>
          <w:trHeight w:val="250"/>
        </w:trPr>
        <w:tc>
          <w:tcPr>
            <w:tcW w:w="4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Underwriting income</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2,728,328</w:t>
            </w:r>
          </w:p>
        </w:tc>
        <w:tc>
          <w:tcPr>
            <w:tcW w:w="100" w:type="dxa"/>
            <w:vAlign w:val="bottom"/>
          </w:tcPr>
          <w:p>
            <w:pPr>
              <w:spacing w:after="0"/>
              <w:rPr>
                <w:sz w:val="21"/>
                <w:szCs w:val="21"/>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1,943,176</w:t>
            </w:r>
          </w:p>
        </w:tc>
      </w:tr>
      <w:tr>
        <w:trPr>
          <w:trHeight w:val="21"/>
        </w:trPr>
        <w:tc>
          <w:tcPr>
            <w:tcW w:w="48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243"/>
        </w:trPr>
        <w:tc>
          <w:tcPr>
            <w:tcW w:w="48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r>
    </w:tbl>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Key Measures:</w:t>
            </w:r>
          </w:p>
        </w:tc>
        <w:tc>
          <w:tcPr>
            <w:tcW w:w="3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263"/>
        </w:trPr>
        <w:tc>
          <w:tcPr>
            <w:tcW w:w="48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Net loss ratio excluding the effect of catastrophes(2)</w:t>
            </w:r>
          </w:p>
        </w:tc>
        <w:tc>
          <w:tcPr>
            <w:tcW w:w="34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60.7 %</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56.8 %</w:t>
            </w:r>
          </w:p>
        </w:tc>
      </w:tr>
      <w:tr>
        <w:trPr>
          <w:trHeight w:val="250"/>
        </w:trPr>
        <w:tc>
          <w:tcPr>
            <w:tcW w:w="480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Effect of catastrophe loss on net loss ratio(1)(2)</w:t>
            </w:r>
          </w:p>
        </w:tc>
        <w:tc>
          <w:tcPr>
            <w:tcW w:w="34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1.7 %</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5.2 %</w:t>
            </w:r>
          </w:p>
        </w:tc>
      </w:tr>
      <w:tr>
        <w:trPr>
          <w:trHeight w:val="250"/>
        </w:trPr>
        <w:tc>
          <w:tcPr>
            <w:tcW w:w="48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Net loss ratio</w:t>
            </w:r>
          </w:p>
        </w:tc>
        <w:tc>
          <w:tcPr>
            <w:tcW w:w="34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62.4 %</w:t>
            </w: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62.0 %</w:t>
            </w:r>
          </w:p>
        </w:tc>
      </w:tr>
      <w:tr>
        <w:trPr>
          <w:trHeight w:val="256"/>
        </w:trPr>
        <w:tc>
          <w:tcPr>
            <w:tcW w:w="48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80" w:type="dxa"/>
            <w:vAlign w:val="bottom"/>
          </w:tcPr>
          <w:p>
            <w:pPr>
              <w:spacing w:after="0"/>
              <w:rPr>
                <w:sz w:val="22"/>
                <w:szCs w:val="22"/>
                <w:color w:val="auto"/>
              </w:rPr>
            </w:pPr>
          </w:p>
        </w:tc>
      </w:tr>
      <w:tr>
        <w:trPr>
          <w:trHeight w:val="211"/>
        </w:trPr>
        <w:tc>
          <w:tcPr>
            <w:tcW w:w="48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Net underwriting expense ratio excluding the effect of</w:t>
            </w:r>
          </w:p>
        </w:tc>
        <w:tc>
          <w:tcPr>
            <w:tcW w:w="3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48"/>
        </w:trPr>
        <w:tc>
          <w:tcPr>
            <w:tcW w:w="4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catastrophes(2)</w:t>
            </w:r>
          </w:p>
        </w:tc>
        <w:tc>
          <w:tcPr>
            <w:tcW w:w="34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31.3 %</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31.3 %</w:t>
            </w:r>
          </w:p>
        </w:tc>
      </w:tr>
      <w:tr>
        <w:trPr>
          <w:trHeight w:val="250"/>
        </w:trPr>
        <w:tc>
          <w:tcPr>
            <w:tcW w:w="480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Effect of catastrophe loss on net underwriting expense ratio(2)</w:t>
            </w:r>
          </w:p>
        </w:tc>
        <w:tc>
          <w:tcPr>
            <w:tcW w:w="34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0.0 %</w:t>
            </w:r>
          </w:p>
        </w:tc>
      </w:tr>
      <w:tr>
        <w:trPr>
          <w:trHeight w:val="250"/>
        </w:trPr>
        <w:tc>
          <w:tcPr>
            <w:tcW w:w="48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Net underwriting expense ratio</w:t>
            </w:r>
          </w:p>
        </w:tc>
        <w:tc>
          <w:tcPr>
            <w:tcW w:w="34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31.3 %</w:t>
            </w: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31.3 %</w:t>
            </w:r>
          </w:p>
        </w:tc>
      </w:tr>
      <w:tr>
        <w:trPr>
          <w:trHeight w:val="256"/>
        </w:trPr>
        <w:tc>
          <w:tcPr>
            <w:tcW w:w="48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80" w:type="dxa"/>
            <w:vAlign w:val="bottom"/>
          </w:tcPr>
          <w:p>
            <w:pPr>
              <w:spacing w:after="0"/>
              <w:rPr>
                <w:sz w:val="22"/>
                <w:szCs w:val="22"/>
                <w:color w:val="auto"/>
              </w:rPr>
            </w:pPr>
          </w:p>
        </w:tc>
      </w:tr>
      <w:tr>
        <w:trPr>
          <w:trHeight w:val="257"/>
        </w:trPr>
        <w:tc>
          <w:tcPr>
            <w:tcW w:w="48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Net combined ratio excluding the effect of catastrophes(2)</w:t>
            </w:r>
          </w:p>
        </w:tc>
        <w:tc>
          <w:tcPr>
            <w:tcW w:w="34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92.0 %</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88.1 %</w:t>
            </w:r>
          </w:p>
        </w:tc>
      </w:tr>
      <w:tr>
        <w:trPr>
          <w:trHeight w:val="250"/>
        </w:trPr>
        <w:tc>
          <w:tcPr>
            <w:tcW w:w="480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Effect of catastrophe loss on net combined ratio(1)(2)</w:t>
            </w:r>
          </w:p>
        </w:tc>
        <w:tc>
          <w:tcPr>
            <w:tcW w:w="34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1.7 %</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5.2 %</w:t>
            </w:r>
          </w:p>
        </w:tc>
      </w:tr>
      <w:tr>
        <w:trPr>
          <w:trHeight w:val="275"/>
        </w:trPr>
        <w:tc>
          <w:tcPr>
            <w:tcW w:w="480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Net combined ratio</w:t>
            </w:r>
          </w:p>
        </w:tc>
        <w:tc>
          <w:tcPr>
            <w:tcW w:w="34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93.7 %</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93.3 %</w:t>
            </w:r>
          </w:p>
        </w:tc>
      </w:tr>
      <w:tr>
        <w:trPr>
          <w:trHeight w:val="20"/>
        </w:trPr>
        <w:tc>
          <w:tcPr>
            <w:tcW w:w="48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r>
        <w:trPr>
          <w:trHeight w:val="223"/>
        </w:trPr>
        <w:tc>
          <w:tcPr>
            <w:tcW w:w="48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56"/>
        </w:trPr>
        <w:tc>
          <w:tcPr>
            <w:tcW w:w="48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Reconciliation of net underwriting expense ratio:</w:t>
            </w:r>
          </w:p>
        </w:tc>
        <w:tc>
          <w:tcPr>
            <w:tcW w:w="34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r>
      <w:tr>
        <w:trPr>
          <w:trHeight w:val="250"/>
        </w:trPr>
        <w:tc>
          <w:tcPr>
            <w:tcW w:w="4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Acquisition costs and other underwriting expenses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16,718,302</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13,732,417</w:t>
            </w:r>
          </w:p>
        </w:tc>
      </w:tr>
      <w:tr>
        <w:trPr>
          <w:trHeight w:val="263"/>
        </w:trPr>
        <w:tc>
          <w:tcPr>
            <w:tcW w:w="48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Less: Ceding commission revenue</w:t>
            </w:r>
          </w:p>
        </w:tc>
        <w:tc>
          <w:tcPr>
            <w:tcW w:w="340" w:type="dxa"/>
            <w:vAlign w:val="bottom"/>
            <w:shd w:val="clear" w:color="auto" w:fill="CCEEFF"/>
          </w:tcPr>
          <w:p>
            <w:pPr>
              <w:spacing w:after="0"/>
              <w:rPr>
                <w:sz w:val="22"/>
                <w:szCs w:val="22"/>
                <w:color w:val="auto"/>
              </w:rPr>
            </w:pPr>
          </w:p>
        </w:tc>
        <w:tc>
          <w:tcPr>
            <w:tcW w:w="1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(2,958,691)</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(4,567,111)</w:t>
            </w:r>
          </w:p>
        </w:tc>
      </w:tr>
      <w:tr>
        <w:trPr>
          <w:trHeight w:val="250"/>
        </w:trPr>
        <w:tc>
          <w:tcPr>
            <w:tcW w:w="480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Less: Other income</w:t>
            </w:r>
          </w:p>
        </w:tc>
        <w:tc>
          <w:tcPr>
            <w:tcW w:w="34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(139,954)</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(148,167)</w:t>
            </w:r>
          </w:p>
        </w:tc>
      </w:tr>
      <w:tr>
        <w:trPr>
          <w:trHeight w:val="275"/>
        </w:trPr>
        <w:tc>
          <w:tcPr>
            <w:tcW w:w="48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13,619,657</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9,017,139</w:t>
            </w:r>
          </w:p>
        </w:tc>
      </w:tr>
      <w:tr>
        <w:trPr>
          <w:trHeight w:val="20"/>
        </w:trPr>
        <w:tc>
          <w:tcPr>
            <w:tcW w:w="48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r>
        <w:trPr>
          <w:trHeight w:val="224"/>
        </w:trPr>
        <w:tc>
          <w:tcPr>
            <w:tcW w:w="48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75"/>
        </w:trPr>
        <w:tc>
          <w:tcPr>
            <w:tcW w:w="480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Net earned premium</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43,523,063</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28,819,902</w:t>
            </w:r>
          </w:p>
        </w:tc>
      </w:tr>
      <w:tr>
        <w:trPr>
          <w:trHeight w:val="20"/>
        </w:trPr>
        <w:tc>
          <w:tcPr>
            <w:tcW w:w="48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r>
        <w:trPr>
          <w:trHeight w:val="223"/>
        </w:trPr>
        <w:tc>
          <w:tcPr>
            <w:tcW w:w="48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75"/>
        </w:trPr>
        <w:tc>
          <w:tcPr>
            <w:tcW w:w="480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Net Underwriting Expense Ratio</w:t>
            </w:r>
          </w:p>
        </w:tc>
        <w:tc>
          <w:tcPr>
            <w:tcW w:w="34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31.3 %</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31.3 %</w:t>
            </w:r>
          </w:p>
        </w:tc>
      </w:tr>
      <w:tr>
        <w:trPr>
          <w:trHeight w:val="20"/>
        </w:trPr>
        <w:tc>
          <w:tcPr>
            <w:tcW w:w="48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19" w:right="1440"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1080" w:right="20" w:hanging="1072"/>
        <w:spacing w:after="0" w:line="282" w:lineRule="auto"/>
        <w:tabs>
          <w:tab w:leader="none" w:pos="1077"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three months ended March 31, 2025 and 2024, includes the sum of net catastrophe losses and loss adjustment expenses of $750,197 and $1,485,648, respectively.</w:t>
      </w:r>
    </w:p>
    <w:p>
      <w:pPr>
        <w:spacing w:after="0" w:line="161" w:lineRule="exact"/>
        <w:rPr>
          <w:rFonts w:ascii="Times New Roman" w:cs="Times New Roman" w:eastAsia="Times New Roman" w:hAnsi="Times New Roman"/>
          <w:sz w:val="18"/>
          <w:szCs w:val="18"/>
          <w:color w:val="auto"/>
        </w:rPr>
      </w:pPr>
    </w:p>
    <w:p>
      <w:pPr>
        <w:jc w:val="both"/>
        <w:ind w:left="1080" w:hanging="1072"/>
        <w:spacing w:after="0" w:line="254" w:lineRule="auto"/>
        <w:tabs>
          <w:tab w:leader="none" w:pos="1077"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loss ratio excluding the effect of catastrophes is a non-GAAP ratio, which is computed as the difference between the GAAP net loss ratio and the effect of catastrophes on the net loss ratio. See "Non-GAAP Financial Measures" for the reconciliation of net loss ratio excluding the effect of catastrophes to the GAAP measure of net loss ratio. Net underwriting expense ratio excluding the effect of catastrophes is also a non-GAAP ratio, which is computed as the difference between the GAAP net underwriting expense ratio and the effect of catastrophes on the net underwriting expense ratio. See "Non-GAAP Financial Measures" for the reconciliation of net underwriting expense ratio excluding the effect of catastrophes to the GAAP measure of net underwriting expense ratio. Net combined ratio excluding the effect of catastrophes is also a non-GAAP ratio, which is computed as the difference between the GAAP net combined ratio and the effect of catastrophes on the net combined ratio. See "Non-GAAP Financial Measures" for the reconciliation of net combined ratio excluding the effect of catastrophes to the GAAP measure of net combined ratio.</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Portfolio Summary</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Fixed-Maturity Securities</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following table presents a breakdown of the amortized cost, estimated fair value, and gross unrealized gains and losses of our investments in fixed-maturity securities classified as available-for-sale for which an allowance for credit loss has not been recorded, as of March 31, 2025 and December 31, 2024:</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900" w:type="dxa"/>
            <w:vAlign w:val="bottom"/>
            <w:tcBorders>
              <w:bottom w:val="single" w:sz="8" w:color="auto"/>
            </w:tcBorders>
            <w:gridSpan w:val="5"/>
          </w:tcPr>
          <w:p>
            <w:pPr>
              <w:ind w:left="800"/>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2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1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Cost or</w:t>
            </w:r>
          </w:p>
        </w:tc>
        <w:tc>
          <w:tcPr>
            <w:tcW w:w="200" w:type="dxa"/>
            <w:vAlign w:val="bottom"/>
          </w:tcPr>
          <w:p>
            <w:pPr>
              <w:spacing w:after="0"/>
              <w:rPr>
                <w:sz w:val="21"/>
                <w:szCs w:val="21"/>
                <w:color w:val="auto"/>
              </w:rPr>
            </w:pPr>
          </w:p>
        </w:tc>
        <w:tc>
          <w:tcPr>
            <w:tcW w:w="13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Gross</w:t>
            </w:r>
          </w:p>
        </w:tc>
        <w:tc>
          <w:tcPr>
            <w:tcW w:w="160" w:type="dxa"/>
            <w:vAlign w:val="bottom"/>
            <w:tcBorders>
              <w:bottom w:val="single" w:sz="8" w:color="auto"/>
            </w:tcBorders>
          </w:tcPr>
          <w:p>
            <w:pPr>
              <w:spacing w:after="0"/>
              <w:rPr>
                <w:sz w:val="21"/>
                <w:szCs w:val="21"/>
                <w:color w:val="auto"/>
              </w:rPr>
            </w:pPr>
          </w:p>
        </w:tc>
        <w:tc>
          <w:tcPr>
            <w:tcW w:w="2800" w:type="dxa"/>
            <w:vAlign w:val="bottom"/>
            <w:tcBorders>
              <w:bottom w:val="single" w:sz="8" w:color="auto"/>
            </w:tcBorders>
            <w:gridSpan w:val="4"/>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Gross Unrealized Losses</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Estimated</w:t>
            </w: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 of</w:t>
            </w:r>
          </w:p>
        </w:tc>
        <w:tc>
          <w:tcPr>
            <w:tcW w:w="0" w:type="dxa"/>
            <w:vAlign w:val="bottom"/>
          </w:tcPr>
          <w:p>
            <w:pPr>
              <w:spacing w:after="0"/>
              <w:rPr>
                <w:sz w:val="1"/>
                <w:szCs w:val="1"/>
                <w:color w:val="auto"/>
              </w:rPr>
            </w:pPr>
          </w:p>
        </w:tc>
      </w:tr>
      <w:tr>
        <w:trPr>
          <w:trHeight w:val="201"/>
        </w:trPr>
        <w:tc>
          <w:tcPr>
            <w:tcW w:w="1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gridSpan w:val="2"/>
          </w:tcPr>
          <w:p>
            <w:pPr>
              <w:jc w:val="center"/>
              <w:ind w:right="320"/>
              <w:spacing w:after="0" w:line="201" w:lineRule="exact"/>
              <w:rPr>
                <w:sz w:val="20"/>
                <w:szCs w:val="20"/>
                <w:color w:val="auto"/>
              </w:rPr>
            </w:pPr>
            <w:r>
              <w:rPr>
                <w:rFonts w:ascii="Times New Roman" w:cs="Times New Roman" w:eastAsia="Times New Roman" w:hAnsi="Times New Roman"/>
                <w:sz w:val="18"/>
                <w:szCs w:val="18"/>
                <w:b w:val="1"/>
                <w:bCs w:val="1"/>
                <w:color w:val="auto"/>
                <w:w w:val="99"/>
              </w:rPr>
              <w:t>Amortized</w:t>
            </w:r>
          </w:p>
        </w:tc>
        <w:tc>
          <w:tcPr>
            <w:tcW w:w="200" w:type="dxa"/>
            <w:vAlign w:val="bottom"/>
          </w:tcPr>
          <w:p>
            <w:pPr>
              <w:spacing w:after="0"/>
              <w:rPr>
                <w:sz w:val="17"/>
                <w:szCs w:val="17"/>
                <w:color w:val="auto"/>
              </w:rPr>
            </w:pPr>
          </w:p>
        </w:tc>
        <w:tc>
          <w:tcPr>
            <w:tcW w:w="1320" w:type="dxa"/>
            <w:vAlign w:val="bottom"/>
            <w:gridSpan w:val="2"/>
          </w:tcPr>
          <w:p>
            <w:pPr>
              <w:jc w:val="center"/>
              <w:ind w:right="320"/>
              <w:spacing w:after="0" w:line="201" w:lineRule="exact"/>
              <w:rPr>
                <w:sz w:val="20"/>
                <w:szCs w:val="20"/>
                <w:color w:val="auto"/>
              </w:rPr>
            </w:pPr>
            <w:r>
              <w:rPr>
                <w:rFonts w:ascii="Times New Roman" w:cs="Times New Roman" w:eastAsia="Times New Roman" w:hAnsi="Times New Roman"/>
                <w:sz w:val="18"/>
                <w:szCs w:val="18"/>
                <w:b w:val="1"/>
                <w:bCs w:val="1"/>
                <w:color w:val="auto"/>
                <w:w w:val="99"/>
              </w:rPr>
              <w:t>Unrealized</w:t>
            </w:r>
          </w:p>
        </w:tc>
        <w:tc>
          <w:tcPr>
            <w:tcW w:w="160" w:type="dxa"/>
            <w:vAlign w:val="bottom"/>
          </w:tcPr>
          <w:p>
            <w:pPr>
              <w:spacing w:after="0"/>
              <w:rPr>
                <w:sz w:val="17"/>
                <w:szCs w:val="17"/>
                <w:color w:val="auto"/>
              </w:rPr>
            </w:pPr>
          </w:p>
        </w:tc>
        <w:tc>
          <w:tcPr>
            <w:tcW w:w="1360" w:type="dxa"/>
            <w:vAlign w:val="bottom"/>
            <w:gridSpan w:val="2"/>
          </w:tcPr>
          <w:p>
            <w:pPr>
              <w:jc w:val="center"/>
              <w:ind w:right="240"/>
              <w:spacing w:after="0" w:line="201" w:lineRule="exact"/>
              <w:rPr>
                <w:sz w:val="20"/>
                <w:szCs w:val="20"/>
                <w:color w:val="auto"/>
              </w:rPr>
            </w:pPr>
            <w:r>
              <w:rPr>
                <w:rFonts w:ascii="Times New Roman" w:cs="Times New Roman" w:eastAsia="Times New Roman" w:hAnsi="Times New Roman"/>
                <w:sz w:val="18"/>
                <w:szCs w:val="18"/>
                <w:b w:val="1"/>
                <w:bCs w:val="1"/>
                <w:color w:val="auto"/>
                <w:w w:val="99"/>
              </w:rPr>
              <w:t>Less than 12</w:t>
            </w:r>
          </w:p>
        </w:tc>
        <w:tc>
          <w:tcPr>
            <w:tcW w:w="160" w:type="dxa"/>
            <w:vAlign w:val="bottom"/>
          </w:tcPr>
          <w:p>
            <w:pPr>
              <w:spacing w:after="0"/>
              <w:rPr>
                <w:sz w:val="17"/>
                <w:szCs w:val="17"/>
                <w:color w:val="auto"/>
              </w:rPr>
            </w:pPr>
          </w:p>
        </w:tc>
        <w:tc>
          <w:tcPr>
            <w:tcW w:w="1380" w:type="dxa"/>
            <w:vAlign w:val="bottom"/>
            <w:gridSpan w:val="2"/>
          </w:tcPr>
          <w:p>
            <w:pPr>
              <w:jc w:val="center"/>
              <w:ind w:right="260"/>
              <w:spacing w:after="0" w:line="201" w:lineRule="exact"/>
              <w:rPr>
                <w:sz w:val="20"/>
                <w:szCs w:val="20"/>
                <w:color w:val="auto"/>
              </w:rPr>
            </w:pPr>
            <w:r>
              <w:rPr>
                <w:rFonts w:ascii="Times New Roman" w:cs="Times New Roman" w:eastAsia="Times New Roman" w:hAnsi="Times New Roman"/>
                <w:sz w:val="18"/>
                <w:szCs w:val="18"/>
                <w:b w:val="1"/>
                <w:bCs w:val="1"/>
                <w:color w:val="auto"/>
                <w:w w:val="99"/>
              </w:rPr>
              <w:t>More than 12</w:t>
            </w:r>
          </w:p>
        </w:tc>
        <w:tc>
          <w:tcPr>
            <w:tcW w:w="220" w:type="dxa"/>
            <w:vAlign w:val="bottom"/>
          </w:tcPr>
          <w:p>
            <w:pPr>
              <w:spacing w:after="0"/>
              <w:rPr>
                <w:sz w:val="17"/>
                <w:szCs w:val="17"/>
                <w:color w:val="auto"/>
              </w:rPr>
            </w:pPr>
          </w:p>
        </w:tc>
        <w:tc>
          <w:tcPr>
            <w:tcW w:w="1320" w:type="dxa"/>
            <w:vAlign w:val="bottom"/>
            <w:gridSpan w:val="2"/>
          </w:tcPr>
          <w:p>
            <w:pPr>
              <w:jc w:val="center"/>
              <w:ind w:right="320"/>
              <w:spacing w:after="0" w:line="201" w:lineRule="exact"/>
              <w:rPr>
                <w:sz w:val="20"/>
                <w:szCs w:val="20"/>
                <w:color w:val="auto"/>
              </w:rPr>
            </w:pPr>
            <w:r>
              <w:rPr>
                <w:rFonts w:ascii="Times New Roman" w:cs="Times New Roman" w:eastAsia="Times New Roman" w:hAnsi="Times New Roman"/>
                <w:sz w:val="18"/>
                <w:szCs w:val="18"/>
                <w:b w:val="1"/>
                <w:bCs w:val="1"/>
                <w:color w:val="auto"/>
                <w:w w:val="96"/>
              </w:rPr>
              <w:t>Fair</w:t>
            </w:r>
          </w:p>
        </w:tc>
        <w:tc>
          <w:tcPr>
            <w:tcW w:w="1580" w:type="dxa"/>
            <w:vAlign w:val="bottom"/>
          </w:tcPr>
          <w:p>
            <w:pPr>
              <w:jc w:val="center"/>
              <w:spacing w:after="0" w:line="201" w:lineRule="exact"/>
              <w:rPr>
                <w:sz w:val="20"/>
                <w:szCs w:val="20"/>
                <w:color w:val="auto"/>
              </w:rPr>
            </w:pPr>
            <w:r>
              <w:rPr>
                <w:rFonts w:ascii="Times New Roman" w:cs="Times New Roman" w:eastAsia="Times New Roman" w:hAnsi="Times New Roman"/>
                <w:sz w:val="18"/>
                <w:szCs w:val="18"/>
                <w:b w:val="1"/>
                <w:bCs w:val="1"/>
                <w:color w:val="auto"/>
                <w:w w:val="99"/>
              </w:rPr>
              <w:t>Estimated</w:t>
            </w:r>
          </w:p>
        </w:tc>
        <w:tc>
          <w:tcPr>
            <w:tcW w:w="0" w:type="dxa"/>
            <w:vAlign w:val="bottom"/>
          </w:tcPr>
          <w:p>
            <w:pPr>
              <w:spacing w:after="0"/>
              <w:rPr>
                <w:sz w:val="1"/>
                <w:szCs w:val="1"/>
                <w:color w:val="auto"/>
              </w:rPr>
            </w:pPr>
          </w:p>
        </w:tc>
      </w:tr>
      <w:tr>
        <w:trPr>
          <w:trHeight w:val="259"/>
        </w:trPr>
        <w:tc>
          <w:tcPr>
            <w:tcW w:w="20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Category</w:t>
            </w:r>
          </w:p>
        </w:tc>
        <w:tc>
          <w:tcPr>
            <w:tcW w:w="200" w:type="dxa"/>
            <w:vAlign w:val="bottom"/>
          </w:tcPr>
          <w:p>
            <w:pPr>
              <w:spacing w:after="0"/>
              <w:rPr>
                <w:sz w:val="22"/>
                <w:szCs w:val="22"/>
                <w:color w:val="auto"/>
              </w:rPr>
            </w:pPr>
          </w:p>
        </w:tc>
        <w:tc>
          <w:tcPr>
            <w:tcW w:w="13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7"/>
              </w:rPr>
              <w:t>Cost</w:t>
            </w:r>
          </w:p>
        </w:tc>
        <w:tc>
          <w:tcPr>
            <w:tcW w:w="200" w:type="dxa"/>
            <w:vAlign w:val="bottom"/>
          </w:tcPr>
          <w:p>
            <w:pPr>
              <w:spacing w:after="0"/>
              <w:rPr>
                <w:sz w:val="22"/>
                <w:szCs w:val="22"/>
                <w:color w:val="auto"/>
              </w:rPr>
            </w:pPr>
          </w:p>
        </w:tc>
        <w:tc>
          <w:tcPr>
            <w:tcW w:w="13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Gains</w:t>
            </w:r>
          </w:p>
        </w:tc>
        <w:tc>
          <w:tcPr>
            <w:tcW w:w="160" w:type="dxa"/>
            <w:vAlign w:val="bottom"/>
          </w:tcPr>
          <w:p>
            <w:pPr>
              <w:spacing w:after="0"/>
              <w:rPr>
                <w:sz w:val="22"/>
                <w:szCs w:val="22"/>
                <w:color w:val="auto"/>
              </w:rPr>
            </w:pPr>
          </w:p>
        </w:tc>
        <w:tc>
          <w:tcPr>
            <w:tcW w:w="13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Months</w:t>
            </w:r>
          </w:p>
        </w:tc>
        <w:tc>
          <w:tcPr>
            <w:tcW w:w="160" w:type="dxa"/>
            <w:vAlign w:val="bottom"/>
          </w:tcPr>
          <w:p>
            <w:pPr>
              <w:spacing w:after="0"/>
              <w:rPr>
                <w:sz w:val="22"/>
                <w:szCs w:val="22"/>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Months</w:t>
            </w:r>
          </w:p>
        </w:tc>
        <w:tc>
          <w:tcPr>
            <w:tcW w:w="220" w:type="dxa"/>
            <w:vAlign w:val="bottom"/>
          </w:tcPr>
          <w:p>
            <w:pPr>
              <w:spacing w:after="0"/>
              <w:rPr>
                <w:sz w:val="22"/>
                <w:szCs w:val="22"/>
                <w:color w:val="auto"/>
              </w:rPr>
            </w:pPr>
          </w:p>
        </w:tc>
        <w:tc>
          <w:tcPr>
            <w:tcW w:w="13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Fair Value</w:t>
            </w:r>
          </w:p>
        </w:tc>
        <w:tc>
          <w:tcPr>
            <w:tcW w:w="0" w:type="dxa"/>
            <w:vAlign w:val="bottom"/>
          </w:tcPr>
          <w:p>
            <w:pPr>
              <w:spacing w:after="0"/>
              <w:rPr>
                <w:sz w:val="1"/>
                <w:szCs w:val="1"/>
                <w:color w:val="auto"/>
              </w:rPr>
            </w:pPr>
          </w:p>
        </w:tc>
      </w:tr>
      <w:tr>
        <w:trPr>
          <w:trHeight w:val="257"/>
        </w:trPr>
        <w:tc>
          <w:tcPr>
            <w:tcW w:w="19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12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12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2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2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12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58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11"/>
        </w:trPr>
        <w:tc>
          <w:tcPr>
            <w:tcW w:w="2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Treasury securities</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00" w:type="dxa"/>
            <w:vAlign w:val="bottom"/>
            <w:gridSpan w:val="2"/>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and obligations of U.S.</w:t>
            </w: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government corporations</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2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and agencies (1)</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4,991,733</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4,991,750</w:t>
            </w:r>
          </w:p>
        </w:tc>
        <w:tc>
          <w:tcPr>
            <w:tcW w:w="100" w:type="dxa"/>
            <w:vAlign w:val="bottom"/>
            <w:shd w:val="clear" w:color="auto" w:fill="CCEEFF"/>
          </w:tcPr>
          <w:p>
            <w:pPr>
              <w:spacing w:after="0"/>
              <w:rPr>
                <w:sz w:val="21"/>
                <w:szCs w:val="21"/>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2.4 %</w:t>
            </w:r>
          </w:p>
        </w:tc>
        <w:tc>
          <w:tcPr>
            <w:tcW w:w="0" w:type="dxa"/>
            <w:vAlign w:val="bottom"/>
          </w:tcPr>
          <w:p>
            <w:pPr>
              <w:spacing w:after="0"/>
              <w:rPr>
                <w:sz w:val="1"/>
                <w:szCs w:val="1"/>
                <w:color w:val="auto"/>
              </w:rPr>
            </w:pPr>
          </w:p>
        </w:tc>
      </w:tr>
      <w:tr>
        <w:trPr>
          <w:trHeight w:val="270"/>
        </w:trPr>
        <w:tc>
          <w:tcPr>
            <w:tcW w:w="1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1"/>
        </w:trPr>
        <w:tc>
          <w:tcPr>
            <w:tcW w:w="2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Political subdivisions of</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00" w:type="dxa"/>
            <w:vAlign w:val="bottom"/>
            <w:gridSpan w:val="2"/>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States, Territories and</w:t>
            </w: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1"/>
        </w:trPr>
        <w:tc>
          <w:tcPr>
            <w:tcW w:w="2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Possessions</w:t>
            </w:r>
          </w:p>
        </w:tc>
        <w:tc>
          <w:tcPr>
            <w:tcW w:w="20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24,267,119</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62,010</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(2,945,087)</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21,384,042</w:t>
            </w:r>
          </w:p>
        </w:tc>
        <w:tc>
          <w:tcPr>
            <w:tcW w:w="100" w:type="dxa"/>
            <w:vAlign w:val="bottom"/>
            <w:shd w:val="clear" w:color="auto" w:fill="CCEEFF"/>
          </w:tcPr>
          <w:p>
            <w:pPr>
              <w:spacing w:after="0"/>
              <w:rPr>
                <w:sz w:val="22"/>
                <w:szCs w:val="22"/>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10.5 %</w:t>
            </w:r>
          </w:p>
        </w:tc>
        <w:tc>
          <w:tcPr>
            <w:tcW w:w="0" w:type="dxa"/>
            <w:vAlign w:val="bottom"/>
          </w:tcPr>
          <w:p>
            <w:pPr>
              <w:spacing w:after="0"/>
              <w:rPr>
                <w:sz w:val="1"/>
                <w:szCs w:val="1"/>
                <w:color w:val="auto"/>
              </w:rPr>
            </w:pPr>
          </w:p>
        </w:tc>
      </w:tr>
      <w:tr>
        <w:trPr>
          <w:trHeight w:val="270"/>
        </w:trPr>
        <w:tc>
          <w:tcPr>
            <w:tcW w:w="1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1"/>
        </w:trPr>
        <w:tc>
          <w:tcPr>
            <w:tcW w:w="2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and other</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00" w:type="dxa"/>
            <w:vAlign w:val="bottom"/>
            <w:gridSpan w:val="2"/>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bonds Industrial and</w:t>
            </w: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1"/>
        </w:trPr>
        <w:tc>
          <w:tcPr>
            <w:tcW w:w="2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miscellaneous</w:t>
            </w:r>
          </w:p>
        </w:tc>
        <w:tc>
          <w:tcPr>
            <w:tcW w:w="20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109,603,106</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22,136</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(495,587)</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(3,992,684)</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105,136,971</w:t>
            </w:r>
          </w:p>
        </w:tc>
        <w:tc>
          <w:tcPr>
            <w:tcW w:w="100" w:type="dxa"/>
            <w:vAlign w:val="bottom"/>
            <w:shd w:val="clear" w:color="auto" w:fill="CCEEFF"/>
          </w:tcPr>
          <w:p>
            <w:pPr>
              <w:spacing w:after="0"/>
              <w:rPr>
                <w:sz w:val="22"/>
                <w:szCs w:val="22"/>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51.5 %</w:t>
            </w:r>
          </w:p>
        </w:tc>
        <w:tc>
          <w:tcPr>
            <w:tcW w:w="0" w:type="dxa"/>
            <w:vAlign w:val="bottom"/>
          </w:tcPr>
          <w:p>
            <w:pPr>
              <w:spacing w:after="0"/>
              <w:rPr>
                <w:sz w:val="1"/>
                <w:szCs w:val="1"/>
                <w:color w:val="auto"/>
              </w:rPr>
            </w:pPr>
          </w:p>
        </w:tc>
      </w:tr>
      <w:tr>
        <w:trPr>
          <w:trHeight w:val="270"/>
        </w:trPr>
        <w:tc>
          <w:tcPr>
            <w:tcW w:w="1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1"/>
        </w:trPr>
        <w:tc>
          <w:tcPr>
            <w:tcW w:w="2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Residential mortgage and</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00" w:type="dxa"/>
            <w:vAlign w:val="bottom"/>
            <w:gridSpan w:val="2"/>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other asset backed</w:t>
            </w: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1"/>
        </w:trPr>
        <w:tc>
          <w:tcPr>
            <w:tcW w:w="2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securities (1) (2)</w:t>
            </w:r>
          </w:p>
        </w:tc>
        <w:tc>
          <w:tcPr>
            <w:tcW w:w="20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78,020,973</w:t>
            </w:r>
          </w:p>
        </w:tc>
        <w:tc>
          <w:tcPr>
            <w:tcW w:w="10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300,333</w:t>
            </w:r>
          </w:p>
        </w:tc>
        <w:tc>
          <w:tcPr>
            <w:tcW w:w="10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(17,773)</w:t>
            </w:r>
          </w:p>
        </w:tc>
        <w:tc>
          <w:tcPr>
            <w:tcW w:w="10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(5,533,927)</w:t>
            </w:r>
          </w:p>
        </w:tc>
        <w:tc>
          <w:tcPr>
            <w:tcW w:w="10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72,769,606</w:t>
            </w:r>
          </w:p>
        </w:tc>
        <w:tc>
          <w:tcPr>
            <w:tcW w:w="100" w:type="dxa"/>
            <w:vAlign w:val="bottom"/>
            <w:shd w:val="clear" w:color="auto" w:fill="CCEEFF"/>
          </w:tcPr>
          <w:p>
            <w:pPr>
              <w:spacing w:after="0"/>
              <w:rPr>
                <w:sz w:val="22"/>
                <w:szCs w:val="22"/>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35.6 %</w:t>
            </w:r>
          </w:p>
        </w:tc>
        <w:tc>
          <w:tcPr>
            <w:tcW w:w="0" w:type="dxa"/>
            <w:vAlign w:val="bottom"/>
          </w:tcPr>
          <w:p>
            <w:pPr>
              <w:spacing w:after="0"/>
              <w:rPr>
                <w:sz w:val="1"/>
                <w:szCs w:val="1"/>
                <w:color w:val="auto"/>
              </w:rPr>
            </w:pPr>
          </w:p>
        </w:tc>
      </w:tr>
      <w:tr>
        <w:trPr>
          <w:trHeight w:val="191"/>
        </w:trPr>
        <w:tc>
          <w:tcPr>
            <w:tcW w:w="2000" w:type="dxa"/>
            <w:vAlign w:val="bottom"/>
            <w:gridSpan w:val="2"/>
          </w:tcPr>
          <w:p>
            <w:pPr>
              <w:ind w:left="180"/>
              <w:spacing w:after="0" w:line="191" w:lineRule="exact"/>
              <w:rPr>
                <w:sz w:val="20"/>
                <w:szCs w:val="20"/>
                <w:color w:val="auto"/>
              </w:rPr>
            </w:pPr>
            <w:r>
              <w:rPr>
                <w:rFonts w:ascii="Times New Roman" w:cs="Times New Roman" w:eastAsia="Times New Roman" w:hAnsi="Times New Roman"/>
                <w:sz w:val="18"/>
                <w:szCs w:val="18"/>
                <w:color w:val="auto"/>
              </w:rPr>
              <w:t>Total fixed-maturity</w:t>
            </w:r>
          </w:p>
        </w:tc>
        <w:tc>
          <w:tcPr>
            <w:tcW w:w="20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216,882,931</w:t>
            </w:r>
          </w:p>
        </w:tc>
        <w:tc>
          <w:tcPr>
            <w:tcW w:w="100" w:type="dxa"/>
            <w:vAlign w:val="bottom"/>
          </w:tcPr>
          <w:p>
            <w:pPr>
              <w:spacing w:after="0"/>
              <w:rPr>
                <w:sz w:val="16"/>
                <w:szCs w:val="16"/>
                <w:color w:val="auto"/>
              </w:rPr>
            </w:pPr>
          </w:p>
        </w:tc>
        <w:tc>
          <w:tcPr>
            <w:tcW w:w="20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384,496</w:t>
            </w:r>
          </w:p>
        </w:tc>
        <w:tc>
          <w:tcPr>
            <w:tcW w:w="100" w:type="dxa"/>
            <w:vAlign w:val="bottom"/>
          </w:tcPr>
          <w:p>
            <w:pPr>
              <w:spacing w:after="0"/>
              <w:rPr>
                <w:sz w:val="16"/>
                <w:szCs w:val="16"/>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(513,360)</w:t>
            </w:r>
          </w:p>
        </w:tc>
        <w:tc>
          <w:tcPr>
            <w:tcW w:w="100" w:type="dxa"/>
            <w:vAlign w:val="bottom"/>
          </w:tcPr>
          <w:p>
            <w:pPr>
              <w:spacing w:after="0"/>
              <w:rPr>
                <w:sz w:val="16"/>
                <w:szCs w:val="16"/>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(12,471,698)</w:t>
            </w:r>
          </w:p>
        </w:tc>
        <w:tc>
          <w:tcPr>
            <w:tcW w:w="100" w:type="dxa"/>
            <w:vAlign w:val="bottom"/>
          </w:tcPr>
          <w:p>
            <w:pPr>
              <w:spacing w:after="0"/>
              <w:rPr>
                <w:sz w:val="16"/>
                <w:szCs w:val="16"/>
                <w:color w:val="auto"/>
              </w:rPr>
            </w:pPr>
          </w:p>
        </w:tc>
        <w:tc>
          <w:tcPr>
            <w:tcW w:w="22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204,282,369</w:t>
            </w:r>
          </w:p>
        </w:tc>
        <w:tc>
          <w:tcPr>
            <w:tcW w:w="100" w:type="dxa"/>
            <w:vAlign w:val="bottom"/>
          </w:tcPr>
          <w:p>
            <w:pPr>
              <w:spacing w:after="0"/>
              <w:rPr>
                <w:sz w:val="16"/>
                <w:szCs w:val="16"/>
                <w:color w:val="auto"/>
              </w:rPr>
            </w:pPr>
          </w:p>
        </w:tc>
        <w:tc>
          <w:tcPr>
            <w:tcW w:w="15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26"/>
        </w:trPr>
        <w:tc>
          <w:tcPr>
            <w:tcW w:w="2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securities</w:t>
            </w:r>
          </w:p>
        </w:tc>
        <w:tc>
          <w:tcPr>
            <w:tcW w:w="200" w:type="dxa"/>
            <w:vAlign w:val="bottom"/>
            <w:tcBorders>
              <w:bottom w:val="single" w:sz="8" w:color="auto"/>
            </w:tcBorders>
            <w:vMerge w:val="continue"/>
          </w:tcPr>
          <w:p>
            <w:pPr>
              <w:spacing w:after="0"/>
              <w:rPr>
                <w:sz w:val="19"/>
                <w:szCs w:val="19"/>
                <w:color w:val="auto"/>
              </w:rPr>
            </w:pPr>
          </w:p>
        </w:tc>
        <w:tc>
          <w:tcPr>
            <w:tcW w:w="124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vMerge w:val="continue"/>
          </w:tcPr>
          <w:p>
            <w:pPr>
              <w:spacing w:after="0"/>
              <w:rPr>
                <w:sz w:val="19"/>
                <w:szCs w:val="19"/>
                <w:color w:val="auto"/>
              </w:rPr>
            </w:pPr>
          </w:p>
        </w:tc>
        <w:tc>
          <w:tcPr>
            <w:tcW w:w="122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vMerge w:val="continue"/>
          </w:tcPr>
          <w:p>
            <w:pPr>
              <w:spacing w:after="0"/>
              <w:rPr>
                <w:sz w:val="19"/>
                <w:szCs w:val="19"/>
                <w:color w:val="auto"/>
              </w:rPr>
            </w:pPr>
          </w:p>
        </w:tc>
        <w:tc>
          <w:tcPr>
            <w:tcW w:w="126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vMerge w:val="continue"/>
          </w:tcPr>
          <w:p>
            <w:pPr>
              <w:spacing w:after="0"/>
              <w:rPr>
                <w:sz w:val="19"/>
                <w:szCs w:val="19"/>
                <w:color w:val="auto"/>
              </w:rPr>
            </w:pPr>
          </w:p>
        </w:tc>
        <w:tc>
          <w:tcPr>
            <w:tcW w:w="128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bottom w:val="single" w:sz="8" w:color="auto"/>
            </w:tcBorders>
            <w:vMerge w:val="continue"/>
          </w:tcPr>
          <w:p>
            <w:pPr>
              <w:spacing w:after="0"/>
              <w:rPr>
                <w:sz w:val="19"/>
                <w:szCs w:val="19"/>
                <w:color w:val="auto"/>
              </w:rPr>
            </w:pPr>
          </w:p>
        </w:tc>
        <w:tc>
          <w:tcPr>
            <w:tcW w:w="122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1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98"/>
        </w:trPr>
        <w:tc>
          <w:tcPr>
            <w:tcW w:w="1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jc w:val="right"/>
              <w:ind w:right="670"/>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9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5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900" w:type="dxa"/>
            <w:vAlign w:val="bottom"/>
            <w:tcBorders>
              <w:bottom w:val="single" w:sz="8" w:color="auto"/>
            </w:tcBorders>
            <w:gridSpan w:val="5"/>
          </w:tcPr>
          <w:p>
            <w:pPr>
              <w:ind w:left="66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2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1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Cost or</w:t>
            </w:r>
          </w:p>
        </w:tc>
        <w:tc>
          <w:tcPr>
            <w:tcW w:w="200" w:type="dxa"/>
            <w:vAlign w:val="bottom"/>
          </w:tcPr>
          <w:p>
            <w:pPr>
              <w:spacing w:after="0"/>
              <w:rPr>
                <w:sz w:val="21"/>
                <w:szCs w:val="21"/>
                <w:color w:val="auto"/>
              </w:rPr>
            </w:pPr>
          </w:p>
        </w:tc>
        <w:tc>
          <w:tcPr>
            <w:tcW w:w="13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Gross</w:t>
            </w:r>
          </w:p>
        </w:tc>
        <w:tc>
          <w:tcPr>
            <w:tcW w:w="160" w:type="dxa"/>
            <w:vAlign w:val="bottom"/>
            <w:tcBorders>
              <w:bottom w:val="single" w:sz="8" w:color="auto"/>
            </w:tcBorders>
          </w:tcPr>
          <w:p>
            <w:pPr>
              <w:spacing w:after="0"/>
              <w:rPr>
                <w:sz w:val="21"/>
                <w:szCs w:val="21"/>
                <w:color w:val="auto"/>
              </w:rPr>
            </w:pPr>
          </w:p>
        </w:tc>
        <w:tc>
          <w:tcPr>
            <w:tcW w:w="2800" w:type="dxa"/>
            <w:vAlign w:val="bottom"/>
            <w:tcBorders>
              <w:bottom w:val="single" w:sz="8" w:color="auto"/>
            </w:tcBorders>
            <w:gridSpan w:val="4"/>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Gross Unrealized Losses</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Estimated</w:t>
            </w: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 of</w:t>
            </w:r>
          </w:p>
        </w:tc>
        <w:tc>
          <w:tcPr>
            <w:tcW w:w="0" w:type="dxa"/>
            <w:vAlign w:val="bottom"/>
          </w:tcPr>
          <w:p>
            <w:pPr>
              <w:spacing w:after="0"/>
              <w:rPr>
                <w:sz w:val="1"/>
                <w:szCs w:val="1"/>
                <w:color w:val="auto"/>
              </w:rPr>
            </w:pPr>
          </w:p>
        </w:tc>
      </w:tr>
      <w:tr>
        <w:trPr>
          <w:trHeight w:val="201"/>
        </w:trPr>
        <w:tc>
          <w:tcPr>
            <w:tcW w:w="1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gridSpan w:val="2"/>
          </w:tcPr>
          <w:p>
            <w:pPr>
              <w:jc w:val="center"/>
              <w:ind w:right="320"/>
              <w:spacing w:after="0" w:line="201" w:lineRule="exact"/>
              <w:rPr>
                <w:sz w:val="20"/>
                <w:szCs w:val="20"/>
                <w:color w:val="auto"/>
              </w:rPr>
            </w:pPr>
            <w:r>
              <w:rPr>
                <w:rFonts w:ascii="Times New Roman" w:cs="Times New Roman" w:eastAsia="Times New Roman" w:hAnsi="Times New Roman"/>
                <w:sz w:val="18"/>
                <w:szCs w:val="18"/>
                <w:b w:val="1"/>
                <w:bCs w:val="1"/>
                <w:color w:val="auto"/>
                <w:w w:val="99"/>
              </w:rPr>
              <w:t>Amortized</w:t>
            </w:r>
          </w:p>
        </w:tc>
        <w:tc>
          <w:tcPr>
            <w:tcW w:w="200" w:type="dxa"/>
            <w:vAlign w:val="bottom"/>
          </w:tcPr>
          <w:p>
            <w:pPr>
              <w:spacing w:after="0"/>
              <w:rPr>
                <w:sz w:val="17"/>
                <w:szCs w:val="17"/>
                <w:color w:val="auto"/>
              </w:rPr>
            </w:pPr>
          </w:p>
        </w:tc>
        <w:tc>
          <w:tcPr>
            <w:tcW w:w="1320" w:type="dxa"/>
            <w:vAlign w:val="bottom"/>
            <w:gridSpan w:val="2"/>
          </w:tcPr>
          <w:p>
            <w:pPr>
              <w:jc w:val="center"/>
              <w:ind w:right="320"/>
              <w:spacing w:after="0" w:line="201" w:lineRule="exact"/>
              <w:rPr>
                <w:sz w:val="20"/>
                <w:szCs w:val="20"/>
                <w:color w:val="auto"/>
              </w:rPr>
            </w:pPr>
            <w:r>
              <w:rPr>
                <w:rFonts w:ascii="Times New Roman" w:cs="Times New Roman" w:eastAsia="Times New Roman" w:hAnsi="Times New Roman"/>
                <w:sz w:val="18"/>
                <w:szCs w:val="18"/>
                <w:b w:val="1"/>
                <w:bCs w:val="1"/>
                <w:color w:val="auto"/>
                <w:w w:val="99"/>
              </w:rPr>
              <w:t>Unrealized</w:t>
            </w:r>
          </w:p>
        </w:tc>
        <w:tc>
          <w:tcPr>
            <w:tcW w:w="160" w:type="dxa"/>
            <w:vAlign w:val="bottom"/>
          </w:tcPr>
          <w:p>
            <w:pPr>
              <w:spacing w:after="0"/>
              <w:rPr>
                <w:sz w:val="17"/>
                <w:szCs w:val="17"/>
                <w:color w:val="auto"/>
              </w:rPr>
            </w:pPr>
          </w:p>
        </w:tc>
        <w:tc>
          <w:tcPr>
            <w:tcW w:w="1360" w:type="dxa"/>
            <w:vAlign w:val="bottom"/>
            <w:gridSpan w:val="2"/>
          </w:tcPr>
          <w:p>
            <w:pPr>
              <w:jc w:val="center"/>
              <w:ind w:right="240"/>
              <w:spacing w:after="0" w:line="201" w:lineRule="exact"/>
              <w:rPr>
                <w:sz w:val="20"/>
                <w:szCs w:val="20"/>
                <w:color w:val="auto"/>
              </w:rPr>
            </w:pPr>
            <w:r>
              <w:rPr>
                <w:rFonts w:ascii="Times New Roman" w:cs="Times New Roman" w:eastAsia="Times New Roman" w:hAnsi="Times New Roman"/>
                <w:sz w:val="18"/>
                <w:szCs w:val="18"/>
                <w:b w:val="1"/>
                <w:bCs w:val="1"/>
                <w:color w:val="auto"/>
                <w:w w:val="99"/>
              </w:rPr>
              <w:t>Less than 12</w:t>
            </w:r>
          </w:p>
        </w:tc>
        <w:tc>
          <w:tcPr>
            <w:tcW w:w="160" w:type="dxa"/>
            <w:vAlign w:val="bottom"/>
          </w:tcPr>
          <w:p>
            <w:pPr>
              <w:spacing w:after="0"/>
              <w:rPr>
                <w:sz w:val="17"/>
                <w:szCs w:val="17"/>
                <w:color w:val="auto"/>
              </w:rPr>
            </w:pPr>
          </w:p>
        </w:tc>
        <w:tc>
          <w:tcPr>
            <w:tcW w:w="1380" w:type="dxa"/>
            <w:vAlign w:val="bottom"/>
            <w:gridSpan w:val="2"/>
          </w:tcPr>
          <w:p>
            <w:pPr>
              <w:jc w:val="center"/>
              <w:ind w:right="260"/>
              <w:spacing w:after="0" w:line="201" w:lineRule="exact"/>
              <w:rPr>
                <w:sz w:val="20"/>
                <w:szCs w:val="20"/>
                <w:color w:val="auto"/>
              </w:rPr>
            </w:pPr>
            <w:r>
              <w:rPr>
                <w:rFonts w:ascii="Times New Roman" w:cs="Times New Roman" w:eastAsia="Times New Roman" w:hAnsi="Times New Roman"/>
                <w:sz w:val="18"/>
                <w:szCs w:val="18"/>
                <w:b w:val="1"/>
                <w:bCs w:val="1"/>
                <w:color w:val="auto"/>
                <w:w w:val="99"/>
              </w:rPr>
              <w:t>More than 12</w:t>
            </w:r>
          </w:p>
        </w:tc>
        <w:tc>
          <w:tcPr>
            <w:tcW w:w="220" w:type="dxa"/>
            <w:vAlign w:val="bottom"/>
          </w:tcPr>
          <w:p>
            <w:pPr>
              <w:spacing w:after="0"/>
              <w:rPr>
                <w:sz w:val="17"/>
                <w:szCs w:val="17"/>
                <w:color w:val="auto"/>
              </w:rPr>
            </w:pPr>
          </w:p>
        </w:tc>
        <w:tc>
          <w:tcPr>
            <w:tcW w:w="1320" w:type="dxa"/>
            <w:vAlign w:val="bottom"/>
            <w:gridSpan w:val="2"/>
          </w:tcPr>
          <w:p>
            <w:pPr>
              <w:jc w:val="center"/>
              <w:ind w:right="320"/>
              <w:spacing w:after="0" w:line="201" w:lineRule="exact"/>
              <w:rPr>
                <w:sz w:val="20"/>
                <w:szCs w:val="20"/>
                <w:color w:val="auto"/>
              </w:rPr>
            </w:pPr>
            <w:r>
              <w:rPr>
                <w:rFonts w:ascii="Times New Roman" w:cs="Times New Roman" w:eastAsia="Times New Roman" w:hAnsi="Times New Roman"/>
                <w:sz w:val="18"/>
                <w:szCs w:val="18"/>
                <w:b w:val="1"/>
                <w:bCs w:val="1"/>
                <w:color w:val="auto"/>
                <w:w w:val="96"/>
              </w:rPr>
              <w:t>Fair</w:t>
            </w:r>
          </w:p>
        </w:tc>
        <w:tc>
          <w:tcPr>
            <w:tcW w:w="1580" w:type="dxa"/>
            <w:vAlign w:val="bottom"/>
          </w:tcPr>
          <w:p>
            <w:pPr>
              <w:jc w:val="center"/>
              <w:spacing w:after="0" w:line="201" w:lineRule="exact"/>
              <w:rPr>
                <w:sz w:val="20"/>
                <w:szCs w:val="20"/>
                <w:color w:val="auto"/>
              </w:rPr>
            </w:pPr>
            <w:r>
              <w:rPr>
                <w:rFonts w:ascii="Times New Roman" w:cs="Times New Roman" w:eastAsia="Times New Roman" w:hAnsi="Times New Roman"/>
                <w:sz w:val="18"/>
                <w:szCs w:val="18"/>
                <w:b w:val="1"/>
                <w:bCs w:val="1"/>
                <w:color w:val="auto"/>
                <w:w w:val="99"/>
              </w:rPr>
              <w:t>Estimated</w:t>
            </w:r>
          </w:p>
        </w:tc>
        <w:tc>
          <w:tcPr>
            <w:tcW w:w="0" w:type="dxa"/>
            <w:vAlign w:val="bottom"/>
          </w:tcPr>
          <w:p>
            <w:pPr>
              <w:spacing w:after="0"/>
              <w:rPr>
                <w:sz w:val="1"/>
                <w:szCs w:val="1"/>
                <w:color w:val="auto"/>
              </w:rPr>
            </w:pPr>
          </w:p>
        </w:tc>
      </w:tr>
      <w:tr>
        <w:trPr>
          <w:trHeight w:val="259"/>
        </w:trPr>
        <w:tc>
          <w:tcPr>
            <w:tcW w:w="20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Category</w:t>
            </w:r>
          </w:p>
        </w:tc>
        <w:tc>
          <w:tcPr>
            <w:tcW w:w="200" w:type="dxa"/>
            <w:vAlign w:val="bottom"/>
          </w:tcPr>
          <w:p>
            <w:pPr>
              <w:spacing w:after="0"/>
              <w:rPr>
                <w:sz w:val="22"/>
                <w:szCs w:val="22"/>
                <w:color w:val="auto"/>
              </w:rPr>
            </w:pPr>
          </w:p>
        </w:tc>
        <w:tc>
          <w:tcPr>
            <w:tcW w:w="13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7"/>
              </w:rPr>
              <w:t>Cost</w:t>
            </w:r>
          </w:p>
        </w:tc>
        <w:tc>
          <w:tcPr>
            <w:tcW w:w="200" w:type="dxa"/>
            <w:vAlign w:val="bottom"/>
          </w:tcPr>
          <w:p>
            <w:pPr>
              <w:spacing w:after="0"/>
              <w:rPr>
                <w:sz w:val="22"/>
                <w:szCs w:val="22"/>
                <w:color w:val="auto"/>
              </w:rPr>
            </w:pPr>
          </w:p>
        </w:tc>
        <w:tc>
          <w:tcPr>
            <w:tcW w:w="13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Gains</w:t>
            </w:r>
          </w:p>
        </w:tc>
        <w:tc>
          <w:tcPr>
            <w:tcW w:w="160" w:type="dxa"/>
            <w:vAlign w:val="bottom"/>
          </w:tcPr>
          <w:p>
            <w:pPr>
              <w:spacing w:after="0"/>
              <w:rPr>
                <w:sz w:val="22"/>
                <w:szCs w:val="22"/>
                <w:color w:val="auto"/>
              </w:rPr>
            </w:pPr>
          </w:p>
        </w:tc>
        <w:tc>
          <w:tcPr>
            <w:tcW w:w="13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Months</w:t>
            </w:r>
          </w:p>
        </w:tc>
        <w:tc>
          <w:tcPr>
            <w:tcW w:w="160" w:type="dxa"/>
            <w:vAlign w:val="bottom"/>
          </w:tcPr>
          <w:p>
            <w:pPr>
              <w:spacing w:after="0"/>
              <w:rPr>
                <w:sz w:val="22"/>
                <w:szCs w:val="22"/>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Months</w:t>
            </w:r>
          </w:p>
        </w:tc>
        <w:tc>
          <w:tcPr>
            <w:tcW w:w="220" w:type="dxa"/>
            <w:vAlign w:val="bottom"/>
          </w:tcPr>
          <w:p>
            <w:pPr>
              <w:spacing w:after="0"/>
              <w:rPr>
                <w:sz w:val="22"/>
                <w:szCs w:val="22"/>
                <w:color w:val="auto"/>
              </w:rPr>
            </w:pPr>
          </w:p>
        </w:tc>
        <w:tc>
          <w:tcPr>
            <w:tcW w:w="13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Fair Value</w:t>
            </w:r>
          </w:p>
        </w:tc>
        <w:tc>
          <w:tcPr>
            <w:tcW w:w="0" w:type="dxa"/>
            <w:vAlign w:val="bottom"/>
          </w:tcPr>
          <w:p>
            <w:pPr>
              <w:spacing w:after="0"/>
              <w:rPr>
                <w:sz w:val="1"/>
                <w:szCs w:val="1"/>
                <w:color w:val="auto"/>
              </w:rPr>
            </w:pPr>
          </w:p>
        </w:tc>
      </w:tr>
      <w:tr>
        <w:trPr>
          <w:trHeight w:val="257"/>
        </w:trPr>
        <w:tc>
          <w:tcPr>
            <w:tcW w:w="19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12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12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2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2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12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58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11"/>
        </w:trPr>
        <w:tc>
          <w:tcPr>
            <w:tcW w:w="2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Treasury securities</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00" w:type="dxa"/>
            <w:vAlign w:val="bottom"/>
            <w:gridSpan w:val="2"/>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and obligations of U.S.</w:t>
            </w: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government corporations</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2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and agencies (1)</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70"/>
        </w:trPr>
        <w:tc>
          <w:tcPr>
            <w:tcW w:w="1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1"/>
        </w:trPr>
        <w:tc>
          <w:tcPr>
            <w:tcW w:w="2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Political subdivisions of</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00" w:type="dxa"/>
            <w:vAlign w:val="bottom"/>
            <w:gridSpan w:val="2"/>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States, Territories and</w:t>
            </w: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1"/>
        </w:trPr>
        <w:tc>
          <w:tcPr>
            <w:tcW w:w="2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Possessions</w:t>
            </w:r>
          </w:p>
        </w:tc>
        <w:tc>
          <w:tcPr>
            <w:tcW w:w="20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24,271,177</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(73,589)</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(3,324,491)</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20,873,097</w:t>
            </w:r>
          </w:p>
        </w:tc>
        <w:tc>
          <w:tcPr>
            <w:tcW w:w="100" w:type="dxa"/>
            <w:vAlign w:val="bottom"/>
            <w:shd w:val="clear" w:color="auto" w:fill="CCEEFF"/>
          </w:tcPr>
          <w:p>
            <w:pPr>
              <w:spacing w:after="0"/>
              <w:rPr>
                <w:sz w:val="22"/>
                <w:szCs w:val="22"/>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11.2 %</w:t>
            </w:r>
          </w:p>
        </w:tc>
        <w:tc>
          <w:tcPr>
            <w:tcW w:w="0" w:type="dxa"/>
            <w:vAlign w:val="bottom"/>
          </w:tcPr>
          <w:p>
            <w:pPr>
              <w:spacing w:after="0"/>
              <w:rPr>
                <w:sz w:val="1"/>
                <w:szCs w:val="1"/>
                <w:color w:val="auto"/>
              </w:rPr>
            </w:pPr>
          </w:p>
        </w:tc>
      </w:tr>
      <w:tr>
        <w:trPr>
          <w:trHeight w:val="270"/>
        </w:trPr>
        <w:tc>
          <w:tcPr>
            <w:tcW w:w="1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1"/>
        </w:trPr>
        <w:tc>
          <w:tcPr>
            <w:tcW w:w="2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and other</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00" w:type="dxa"/>
            <w:vAlign w:val="bottom"/>
            <w:gridSpan w:val="2"/>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bonds Industrial and</w:t>
            </w: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1"/>
        </w:trPr>
        <w:tc>
          <w:tcPr>
            <w:tcW w:w="2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miscellaneous</w:t>
            </w:r>
          </w:p>
        </w:tc>
        <w:tc>
          <w:tcPr>
            <w:tcW w:w="20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112,507,436</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(1,024,461)</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(4,690,597)</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106,792,378</w:t>
            </w:r>
          </w:p>
        </w:tc>
        <w:tc>
          <w:tcPr>
            <w:tcW w:w="100" w:type="dxa"/>
            <w:vAlign w:val="bottom"/>
            <w:shd w:val="clear" w:color="auto" w:fill="CCEEFF"/>
          </w:tcPr>
          <w:p>
            <w:pPr>
              <w:spacing w:after="0"/>
              <w:rPr>
                <w:sz w:val="22"/>
                <w:szCs w:val="22"/>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57.1 %</w:t>
            </w:r>
          </w:p>
        </w:tc>
        <w:tc>
          <w:tcPr>
            <w:tcW w:w="0" w:type="dxa"/>
            <w:vAlign w:val="bottom"/>
          </w:tcPr>
          <w:p>
            <w:pPr>
              <w:spacing w:after="0"/>
              <w:rPr>
                <w:sz w:val="1"/>
                <w:szCs w:val="1"/>
                <w:color w:val="auto"/>
              </w:rPr>
            </w:pPr>
          </w:p>
        </w:tc>
      </w:tr>
      <w:tr>
        <w:trPr>
          <w:trHeight w:val="270"/>
        </w:trPr>
        <w:tc>
          <w:tcPr>
            <w:tcW w:w="1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1"/>
        </w:trPr>
        <w:tc>
          <w:tcPr>
            <w:tcW w:w="2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Residential mortgage and</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00" w:type="dxa"/>
            <w:vAlign w:val="bottom"/>
            <w:gridSpan w:val="2"/>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other asset backed</w:t>
            </w: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1"/>
        </w:trPr>
        <w:tc>
          <w:tcPr>
            <w:tcW w:w="2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securities (1) (2)</w:t>
            </w:r>
          </w:p>
        </w:tc>
        <w:tc>
          <w:tcPr>
            <w:tcW w:w="20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65,529,545</w:t>
            </w:r>
          </w:p>
        </w:tc>
        <w:tc>
          <w:tcPr>
            <w:tcW w:w="10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119,647</w:t>
            </w:r>
          </w:p>
        </w:tc>
        <w:tc>
          <w:tcPr>
            <w:tcW w:w="10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(209,890)</w:t>
            </w:r>
          </w:p>
        </w:tc>
        <w:tc>
          <w:tcPr>
            <w:tcW w:w="10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(6,211,339)</w:t>
            </w:r>
          </w:p>
        </w:tc>
        <w:tc>
          <w:tcPr>
            <w:tcW w:w="10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59,227,963</w:t>
            </w:r>
          </w:p>
        </w:tc>
        <w:tc>
          <w:tcPr>
            <w:tcW w:w="100" w:type="dxa"/>
            <w:vAlign w:val="bottom"/>
            <w:shd w:val="clear" w:color="auto" w:fill="CCEEFF"/>
          </w:tcPr>
          <w:p>
            <w:pPr>
              <w:spacing w:after="0"/>
              <w:rPr>
                <w:sz w:val="22"/>
                <w:szCs w:val="22"/>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31.7 %</w:t>
            </w:r>
          </w:p>
        </w:tc>
        <w:tc>
          <w:tcPr>
            <w:tcW w:w="0" w:type="dxa"/>
            <w:vAlign w:val="bottom"/>
          </w:tcPr>
          <w:p>
            <w:pPr>
              <w:spacing w:after="0"/>
              <w:rPr>
                <w:sz w:val="1"/>
                <w:szCs w:val="1"/>
                <w:color w:val="auto"/>
              </w:rPr>
            </w:pPr>
          </w:p>
        </w:tc>
      </w:tr>
      <w:tr>
        <w:trPr>
          <w:trHeight w:val="191"/>
        </w:trPr>
        <w:tc>
          <w:tcPr>
            <w:tcW w:w="2000" w:type="dxa"/>
            <w:vAlign w:val="bottom"/>
            <w:gridSpan w:val="2"/>
          </w:tcPr>
          <w:p>
            <w:pPr>
              <w:ind w:left="180"/>
              <w:spacing w:after="0" w:line="191" w:lineRule="exact"/>
              <w:rPr>
                <w:sz w:val="20"/>
                <w:szCs w:val="20"/>
                <w:color w:val="auto"/>
              </w:rPr>
            </w:pPr>
            <w:r>
              <w:rPr>
                <w:rFonts w:ascii="Times New Roman" w:cs="Times New Roman" w:eastAsia="Times New Roman" w:hAnsi="Times New Roman"/>
                <w:sz w:val="18"/>
                <w:szCs w:val="18"/>
                <w:color w:val="auto"/>
              </w:rPr>
              <w:t>Total fixed-maturity</w:t>
            </w:r>
          </w:p>
        </w:tc>
        <w:tc>
          <w:tcPr>
            <w:tcW w:w="20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202,308,158</w:t>
            </w:r>
          </w:p>
        </w:tc>
        <w:tc>
          <w:tcPr>
            <w:tcW w:w="100" w:type="dxa"/>
            <w:vAlign w:val="bottom"/>
          </w:tcPr>
          <w:p>
            <w:pPr>
              <w:spacing w:after="0"/>
              <w:rPr>
                <w:sz w:val="16"/>
                <w:szCs w:val="16"/>
                <w:color w:val="auto"/>
              </w:rPr>
            </w:pPr>
          </w:p>
        </w:tc>
        <w:tc>
          <w:tcPr>
            <w:tcW w:w="20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119,647</w:t>
            </w:r>
          </w:p>
        </w:tc>
        <w:tc>
          <w:tcPr>
            <w:tcW w:w="100" w:type="dxa"/>
            <w:vAlign w:val="bottom"/>
          </w:tcPr>
          <w:p>
            <w:pPr>
              <w:spacing w:after="0"/>
              <w:rPr>
                <w:sz w:val="16"/>
                <w:szCs w:val="16"/>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(1,307,940)</w:t>
            </w:r>
          </w:p>
        </w:tc>
        <w:tc>
          <w:tcPr>
            <w:tcW w:w="100" w:type="dxa"/>
            <w:vAlign w:val="bottom"/>
          </w:tcPr>
          <w:p>
            <w:pPr>
              <w:spacing w:after="0"/>
              <w:rPr>
                <w:sz w:val="16"/>
                <w:szCs w:val="16"/>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(14,226,427)</w:t>
            </w:r>
          </w:p>
        </w:tc>
        <w:tc>
          <w:tcPr>
            <w:tcW w:w="100" w:type="dxa"/>
            <w:vAlign w:val="bottom"/>
          </w:tcPr>
          <w:p>
            <w:pPr>
              <w:spacing w:after="0"/>
              <w:rPr>
                <w:sz w:val="16"/>
                <w:szCs w:val="16"/>
                <w:color w:val="auto"/>
              </w:rPr>
            </w:pPr>
          </w:p>
        </w:tc>
        <w:tc>
          <w:tcPr>
            <w:tcW w:w="22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186,893,438</w:t>
            </w:r>
          </w:p>
        </w:tc>
        <w:tc>
          <w:tcPr>
            <w:tcW w:w="100" w:type="dxa"/>
            <w:vAlign w:val="bottom"/>
          </w:tcPr>
          <w:p>
            <w:pPr>
              <w:spacing w:after="0"/>
              <w:rPr>
                <w:sz w:val="16"/>
                <w:szCs w:val="16"/>
                <w:color w:val="auto"/>
              </w:rPr>
            </w:pPr>
          </w:p>
        </w:tc>
        <w:tc>
          <w:tcPr>
            <w:tcW w:w="15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26"/>
        </w:trPr>
        <w:tc>
          <w:tcPr>
            <w:tcW w:w="2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securities</w:t>
            </w:r>
          </w:p>
        </w:tc>
        <w:tc>
          <w:tcPr>
            <w:tcW w:w="200" w:type="dxa"/>
            <w:vAlign w:val="bottom"/>
            <w:tcBorders>
              <w:bottom w:val="single" w:sz="8" w:color="auto"/>
            </w:tcBorders>
            <w:vMerge w:val="continue"/>
          </w:tcPr>
          <w:p>
            <w:pPr>
              <w:spacing w:after="0"/>
              <w:rPr>
                <w:sz w:val="19"/>
                <w:szCs w:val="19"/>
                <w:color w:val="auto"/>
              </w:rPr>
            </w:pPr>
          </w:p>
        </w:tc>
        <w:tc>
          <w:tcPr>
            <w:tcW w:w="124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vMerge w:val="continue"/>
          </w:tcPr>
          <w:p>
            <w:pPr>
              <w:spacing w:after="0"/>
              <w:rPr>
                <w:sz w:val="19"/>
                <w:szCs w:val="19"/>
                <w:color w:val="auto"/>
              </w:rPr>
            </w:pPr>
          </w:p>
        </w:tc>
        <w:tc>
          <w:tcPr>
            <w:tcW w:w="122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vMerge w:val="continue"/>
          </w:tcPr>
          <w:p>
            <w:pPr>
              <w:spacing w:after="0"/>
              <w:rPr>
                <w:sz w:val="19"/>
                <w:szCs w:val="19"/>
                <w:color w:val="auto"/>
              </w:rPr>
            </w:pPr>
          </w:p>
        </w:tc>
        <w:tc>
          <w:tcPr>
            <w:tcW w:w="126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vMerge w:val="continue"/>
          </w:tcPr>
          <w:p>
            <w:pPr>
              <w:spacing w:after="0"/>
              <w:rPr>
                <w:sz w:val="19"/>
                <w:szCs w:val="19"/>
                <w:color w:val="auto"/>
              </w:rPr>
            </w:pPr>
          </w:p>
        </w:tc>
        <w:tc>
          <w:tcPr>
            <w:tcW w:w="128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bottom w:val="single" w:sz="8" w:color="auto"/>
            </w:tcBorders>
            <w:vMerge w:val="continue"/>
          </w:tcPr>
          <w:p>
            <w:pPr>
              <w:spacing w:after="0"/>
              <w:rPr>
                <w:sz w:val="19"/>
                <w:szCs w:val="19"/>
                <w:color w:val="auto"/>
              </w:rPr>
            </w:pPr>
          </w:p>
        </w:tc>
        <w:tc>
          <w:tcPr>
            <w:tcW w:w="122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p>
      <w:pPr>
        <w:jc w:val="both"/>
        <w:ind w:left="1080" w:hanging="1072"/>
        <w:spacing w:after="0" w:line="254" w:lineRule="auto"/>
        <w:tabs>
          <w:tab w:leader="none" w:pos="1077"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October 2022, KICO placed certain U.S. Treasury securities to fulfill the required collateral for a sale leaseback transaction in a designated custodian account (see Note 7 – Debt - “Equipment Financing”). As of December 31, 2024. KICO had sold its U.S. Treasury securities and replaced a portion of its other fixed-maturity securities in the designated custodian account. As of March 31, 2025 and December 31, 2024, the amount of required collateral was approximately $4,885,000 and $5,308,000, respectively. As of March 31, 2025 and December 31, 2024, the estimated fair value of the eligible collateral was approximately $4,885,000 and $5,308,000, respectively.</w:t>
      </w:r>
    </w:p>
    <w:p>
      <w:pPr>
        <w:spacing w:after="0" w:line="3" w:lineRule="exact"/>
        <w:rPr>
          <w:rFonts w:ascii="Times New Roman" w:cs="Times New Roman" w:eastAsia="Times New Roman" w:hAnsi="Times New Roman"/>
          <w:sz w:val="18"/>
          <w:szCs w:val="18"/>
          <w:color w:val="auto"/>
        </w:rPr>
      </w:pPr>
    </w:p>
    <w:p>
      <w:pPr>
        <w:jc w:val="both"/>
        <w:ind w:left="1080" w:hanging="1072"/>
        <w:spacing w:after="0" w:line="253" w:lineRule="auto"/>
        <w:tabs>
          <w:tab w:leader="none" w:pos="1077"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KICO has placed certain residential mortgage backed securities as eligible collateral in a designated custodian account related to its membership in the Federal Home Loan Bank of New York ("FHLBNY") (see Note 7 – Debt – “Federal Home Loan Bank”). The eligible collateral would be pledged to FHLBNY if KICO draws an advance from the FHLBNY credit line. As of March 31, 2025, the estimated fair value of the eligible investments was approximately $10,102,000. KICO will retain all rights regarding all securities if pledged as collateral. As of March 31, 2025 and December 31, 2024 there was no outstanding balance on the FHLBNY credit line.</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Equity Securities</w:t>
      </w:r>
    </w:p>
    <w:p>
      <w:pPr>
        <w:spacing w:after="0" w:line="225"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presents a breakdown of the cost and estimated fair value of, and gross gains and losses on, investments in equity securities as of March 31, 2025 and December 31, 2024:</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March 31, 2025</w:t>
            </w:r>
          </w:p>
        </w:tc>
        <w:tc>
          <w:tcPr>
            <w:tcW w:w="2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spacing w:after="0"/>
              <w:rPr>
                <w:sz w:val="20"/>
                <w:szCs w:val="20"/>
                <w:color w:val="auto"/>
              </w:rPr>
            </w:pPr>
          </w:p>
        </w:tc>
      </w:tr>
      <w:tr>
        <w:trPr>
          <w:trHeight w:val="201"/>
        </w:trPr>
        <w:tc>
          <w:tcPr>
            <w:tcW w:w="3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ind w:left="480"/>
              <w:spacing w:after="0" w:line="201" w:lineRule="exact"/>
              <w:rPr>
                <w:sz w:val="20"/>
                <w:szCs w:val="20"/>
                <w:color w:val="auto"/>
              </w:rPr>
            </w:pPr>
            <w:r>
              <w:rPr>
                <w:rFonts w:ascii="Times New Roman" w:cs="Times New Roman" w:eastAsia="Times New Roman" w:hAnsi="Times New Roman"/>
                <w:sz w:val="18"/>
                <w:szCs w:val="18"/>
                <w:b w:val="1"/>
                <w:bCs w:val="1"/>
                <w:color w:val="auto"/>
              </w:rPr>
              <w:t>Gross</w:t>
            </w: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gridSpan w:val="2"/>
          </w:tcPr>
          <w:p>
            <w:pPr>
              <w:jc w:val="center"/>
              <w:ind w:right="240"/>
              <w:spacing w:after="0" w:line="201" w:lineRule="exact"/>
              <w:rPr>
                <w:sz w:val="20"/>
                <w:szCs w:val="20"/>
                <w:color w:val="auto"/>
              </w:rPr>
            </w:pPr>
            <w:r>
              <w:rPr>
                <w:rFonts w:ascii="Times New Roman" w:cs="Times New Roman" w:eastAsia="Times New Roman" w:hAnsi="Times New Roman"/>
                <w:sz w:val="18"/>
                <w:szCs w:val="18"/>
                <w:b w:val="1"/>
                <w:bCs w:val="1"/>
                <w:color w:val="auto"/>
                <w:w w:val="97"/>
              </w:rPr>
              <w:t>Gross</w:t>
            </w: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jc w:val="center"/>
              <w:spacing w:after="0" w:line="201" w:lineRule="exact"/>
              <w:rPr>
                <w:sz w:val="20"/>
                <w:szCs w:val="20"/>
                <w:color w:val="auto"/>
              </w:rPr>
            </w:pPr>
            <w:r>
              <w:rPr>
                <w:rFonts w:ascii="Times New Roman" w:cs="Times New Roman" w:eastAsia="Times New Roman" w:hAnsi="Times New Roman"/>
                <w:sz w:val="18"/>
                <w:szCs w:val="18"/>
                <w:b w:val="1"/>
                <w:bCs w:val="1"/>
                <w:color w:val="auto"/>
              </w:rPr>
              <w:t>% of</w:t>
            </w:r>
          </w:p>
        </w:tc>
      </w:tr>
      <w:tr>
        <w:trPr>
          <w:trHeight w:val="203"/>
        </w:trPr>
        <w:tc>
          <w:tcPr>
            <w:tcW w:w="3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ind w:left="280"/>
              <w:spacing w:after="0" w:line="202" w:lineRule="exact"/>
              <w:rPr>
                <w:sz w:val="20"/>
                <w:szCs w:val="20"/>
                <w:color w:val="auto"/>
              </w:rPr>
            </w:pPr>
            <w:r>
              <w:rPr>
                <w:rFonts w:ascii="Times New Roman" w:cs="Times New Roman" w:eastAsia="Times New Roman" w:hAnsi="Times New Roman"/>
                <w:sz w:val="18"/>
                <w:szCs w:val="18"/>
                <w:b w:val="1"/>
                <w:bCs w:val="1"/>
                <w:color w:val="auto"/>
              </w:rPr>
              <w:t>Unrealized</w:t>
            </w: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gridSpan w:val="2"/>
          </w:tcPr>
          <w:p>
            <w:pPr>
              <w:jc w:val="center"/>
              <w:ind w:right="240"/>
              <w:spacing w:after="0" w:line="202" w:lineRule="exact"/>
              <w:rPr>
                <w:sz w:val="20"/>
                <w:szCs w:val="20"/>
                <w:color w:val="auto"/>
              </w:rPr>
            </w:pPr>
            <w:r>
              <w:rPr>
                <w:rFonts w:ascii="Times New Roman" w:cs="Times New Roman" w:eastAsia="Times New Roman" w:hAnsi="Times New Roman"/>
                <w:sz w:val="18"/>
                <w:szCs w:val="18"/>
                <w:b w:val="1"/>
                <w:bCs w:val="1"/>
                <w:color w:val="auto"/>
                <w:w w:val="99"/>
              </w:rPr>
              <w:t>Unrealized</w:t>
            </w:r>
          </w:p>
        </w:tc>
        <w:tc>
          <w:tcPr>
            <w:tcW w:w="220" w:type="dxa"/>
            <w:vAlign w:val="bottom"/>
          </w:tcPr>
          <w:p>
            <w:pPr>
              <w:spacing w:after="0"/>
              <w:rPr>
                <w:sz w:val="17"/>
                <w:szCs w:val="17"/>
                <w:color w:val="auto"/>
              </w:rPr>
            </w:pPr>
          </w:p>
        </w:tc>
        <w:tc>
          <w:tcPr>
            <w:tcW w:w="1340" w:type="dxa"/>
            <w:vAlign w:val="bottom"/>
            <w:gridSpan w:val="2"/>
          </w:tcPr>
          <w:p>
            <w:pPr>
              <w:ind w:left="100"/>
              <w:spacing w:after="0" w:line="202" w:lineRule="exact"/>
              <w:rPr>
                <w:sz w:val="20"/>
                <w:szCs w:val="20"/>
                <w:color w:val="auto"/>
              </w:rPr>
            </w:pPr>
            <w:r>
              <w:rPr>
                <w:rFonts w:ascii="Times New Roman" w:cs="Times New Roman" w:eastAsia="Times New Roman" w:hAnsi="Times New Roman"/>
                <w:sz w:val="18"/>
                <w:szCs w:val="18"/>
                <w:b w:val="1"/>
                <w:bCs w:val="1"/>
                <w:color w:val="auto"/>
              </w:rPr>
              <w:t>Estimated</w:t>
            </w:r>
          </w:p>
        </w:tc>
        <w:tc>
          <w:tcPr>
            <w:tcW w:w="160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b w:val="1"/>
                <w:bCs w:val="1"/>
                <w:color w:val="auto"/>
                <w:w w:val="99"/>
              </w:rPr>
              <w:t>Estimated</w:t>
            </w:r>
          </w:p>
        </w:tc>
      </w:tr>
      <w:tr>
        <w:trPr>
          <w:trHeight w:val="259"/>
        </w:trPr>
        <w:tc>
          <w:tcPr>
            <w:tcW w:w="3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Category</w:t>
            </w:r>
          </w:p>
        </w:tc>
        <w:tc>
          <w:tcPr>
            <w:tcW w:w="10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Cost</w:t>
            </w:r>
          </w:p>
        </w:tc>
        <w:tc>
          <w:tcPr>
            <w:tcW w:w="100" w:type="dxa"/>
            <w:vAlign w:val="bottom"/>
          </w:tcPr>
          <w:p>
            <w:pPr>
              <w:spacing w:after="0"/>
              <w:rPr>
                <w:sz w:val="22"/>
                <w:szCs w:val="22"/>
                <w:color w:val="auto"/>
              </w:rPr>
            </w:pPr>
          </w:p>
        </w:tc>
        <w:tc>
          <w:tcPr>
            <w:tcW w:w="116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8"/>
                <w:szCs w:val="18"/>
                <w:b w:val="1"/>
                <w:bCs w:val="1"/>
                <w:color w:val="auto"/>
              </w:rPr>
              <w:t>Gains</w:t>
            </w:r>
          </w:p>
        </w:tc>
        <w:tc>
          <w:tcPr>
            <w:tcW w:w="300" w:type="dxa"/>
            <w:vAlign w:val="bottom"/>
            <w:tcBorders>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1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00" w:type="dxa"/>
            <w:vAlign w:val="bottom"/>
          </w:tcPr>
          <w:p>
            <w:pPr>
              <w:spacing w:after="0"/>
              <w:rPr>
                <w:sz w:val="22"/>
                <w:szCs w:val="22"/>
                <w:color w:val="auto"/>
              </w:rPr>
            </w:pPr>
          </w:p>
        </w:tc>
        <w:tc>
          <w:tcPr>
            <w:tcW w:w="1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Fair Value</w:t>
            </w:r>
          </w:p>
        </w:tc>
      </w:tr>
      <w:tr>
        <w:trPr>
          <w:trHeight w:val="506"/>
        </w:trPr>
        <w:tc>
          <w:tcPr>
            <w:tcW w:w="34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Equity Securities:</w:t>
            </w: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263"/>
        </w:trPr>
        <w:tc>
          <w:tcPr>
            <w:tcW w:w="3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Preferred stocks</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9,750,322</w:t>
            </w:r>
          </w:p>
        </w:tc>
        <w:tc>
          <w:tcPr>
            <w:tcW w:w="100" w:type="dxa"/>
            <w:vAlign w:val="bottom"/>
            <w:shd w:val="clear" w:color="auto" w:fill="CCEEFF"/>
          </w:tcPr>
          <w:p>
            <w:pPr>
              <w:spacing w:after="0"/>
              <w:rPr>
                <w:sz w:val="22"/>
                <w:szCs w:val="22"/>
                <w:color w:val="auto"/>
              </w:rPr>
            </w:pPr>
          </w:p>
        </w:tc>
        <w:tc>
          <w:tcPr>
            <w:tcW w:w="1160" w:type="dxa"/>
            <w:vAlign w:val="bottom"/>
            <w:shd w:val="clear" w:color="auto" w:fill="CCEEFF"/>
          </w:tcPr>
          <w:p>
            <w:pPr>
              <w:jc w:val="right"/>
              <w:ind w:right="970"/>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(2,668,147)</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7,082,175</w:t>
            </w:r>
          </w:p>
        </w:tc>
        <w:tc>
          <w:tcPr>
            <w:tcW w:w="100" w:type="dxa"/>
            <w:vAlign w:val="bottom"/>
            <w:shd w:val="clear" w:color="auto" w:fill="CCEEFF"/>
          </w:tcPr>
          <w:p>
            <w:pPr>
              <w:spacing w:after="0"/>
              <w:rPr>
                <w:sz w:val="22"/>
                <w:szCs w:val="22"/>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70.1 %</w:t>
            </w:r>
          </w:p>
        </w:tc>
      </w:tr>
      <w:tr>
        <w:trPr>
          <w:trHeight w:val="250"/>
        </w:trPr>
        <w:tc>
          <w:tcPr>
            <w:tcW w:w="3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Fixed income exchange traded funds</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3,711,232</w:t>
            </w:r>
          </w:p>
        </w:tc>
        <w:tc>
          <w:tcPr>
            <w:tcW w:w="1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(756,232)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2,955,000</w:t>
            </w:r>
          </w:p>
        </w:tc>
        <w:tc>
          <w:tcPr>
            <w:tcW w:w="1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29.2 %</w:t>
            </w:r>
          </w:p>
        </w:tc>
      </w:tr>
      <w:tr>
        <w:trPr>
          <w:trHeight w:val="263"/>
        </w:trPr>
        <w:tc>
          <w:tcPr>
            <w:tcW w:w="3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FHLBNY common stock</w:t>
            </w:r>
          </w:p>
        </w:tc>
        <w:tc>
          <w:tcPr>
            <w:tcW w:w="34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66,000</w:t>
            </w:r>
          </w:p>
        </w:tc>
        <w:tc>
          <w:tcPr>
            <w:tcW w:w="100" w:type="dxa"/>
            <w:vAlign w:val="bottom"/>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66,000</w:t>
            </w:r>
          </w:p>
        </w:tc>
        <w:tc>
          <w:tcPr>
            <w:tcW w:w="100" w:type="dxa"/>
            <w:vAlign w:val="bottom"/>
            <w:shd w:val="clear" w:color="auto" w:fill="CCEEFF"/>
          </w:tcPr>
          <w:p>
            <w:pPr>
              <w:spacing w:after="0"/>
              <w:rPr>
                <w:sz w:val="22"/>
                <w:szCs w:val="22"/>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0.7 %</w:t>
            </w:r>
          </w:p>
        </w:tc>
      </w:tr>
      <w:tr>
        <w:trPr>
          <w:trHeight w:val="243"/>
        </w:trPr>
        <w:tc>
          <w:tcPr>
            <w:tcW w:w="3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13,527,554</w:t>
            </w:r>
          </w:p>
        </w:tc>
        <w:tc>
          <w:tcPr>
            <w:tcW w:w="100" w:type="dxa"/>
            <w:vAlign w:val="bottom"/>
          </w:tcPr>
          <w:p>
            <w:pPr>
              <w:spacing w:after="0"/>
              <w:rPr>
                <w:sz w:val="21"/>
                <w:szCs w:val="21"/>
                <w:color w:val="auto"/>
              </w:rPr>
            </w:pPr>
          </w:p>
        </w:tc>
        <w:tc>
          <w:tcPr>
            <w:tcW w:w="1160" w:type="dxa"/>
            <w:vAlign w:val="bottom"/>
            <w:tcBorders>
              <w:bottom w:val="single" w:sz="8" w:color="auto"/>
            </w:tcBorders>
          </w:tcPr>
          <w:p>
            <w:pPr>
              <w:jc w:val="right"/>
              <w:ind w:right="970"/>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(3,424,379)</w:t>
            </w:r>
          </w:p>
        </w:tc>
        <w:tc>
          <w:tcPr>
            <w:tcW w:w="100" w:type="dxa"/>
            <w:vAlign w:val="bottom"/>
          </w:tcPr>
          <w:p>
            <w:pPr>
              <w:spacing w:after="0"/>
              <w:rPr>
                <w:sz w:val="21"/>
                <w:szCs w:val="21"/>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10,103,175</w:t>
            </w:r>
          </w:p>
        </w:tc>
        <w:tc>
          <w:tcPr>
            <w:tcW w:w="100" w:type="dxa"/>
            <w:vAlign w:val="bottom"/>
          </w:tcPr>
          <w:p>
            <w:pPr>
              <w:spacing w:after="0"/>
              <w:rPr>
                <w:sz w:val="21"/>
                <w:szCs w:val="21"/>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r>
      <w:tr>
        <w:trPr>
          <w:trHeight w:val="27"/>
        </w:trPr>
        <w:tc>
          <w:tcPr>
            <w:tcW w:w="3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560"/>
        </w:trPr>
        <w:tc>
          <w:tcPr>
            <w:tcW w:w="3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2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r>
      <w:tr>
        <w:trPr>
          <w:trHeight w:val="201"/>
        </w:trPr>
        <w:tc>
          <w:tcPr>
            <w:tcW w:w="3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ind w:left="480"/>
              <w:spacing w:after="0" w:line="201" w:lineRule="exact"/>
              <w:rPr>
                <w:sz w:val="20"/>
                <w:szCs w:val="20"/>
                <w:color w:val="auto"/>
              </w:rPr>
            </w:pPr>
            <w:r>
              <w:rPr>
                <w:rFonts w:ascii="Times New Roman" w:cs="Times New Roman" w:eastAsia="Times New Roman" w:hAnsi="Times New Roman"/>
                <w:sz w:val="18"/>
                <w:szCs w:val="18"/>
                <w:b w:val="1"/>
                <w:bCs w:val="1"/>
                <w:color w:val="auto"/>
              </w:rPr>
              <w:t>Gross</w:t>
            </w: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gridSpan w:val="2"/>
          </w:tcPr>
          <w:p>
            <w:pPr>
              <w:jc w:val="center"/>
              <w:ind w:right="240"/>
              <w:spacing w:after="0" w:line="201" w:lineRule="exact"/>
              <w:rPr>
                <w:sz w:val="20"/>
                <w:szCs w:val="20"/>
                <w:color w:val="auto"/>
              </w:rPr>
            </w:pPr>
            <w:r>
              <w:rPr>
                <w:rFonts w:ascii="Times New Roman" w:cs="Times New Roman" w:eastAsia="Times New Roman" w:hAnsi="Times New Roman"/>
                <w:sz w:val="18"/>
                <w:szCs w:val="18"/>
                <w:b w:val="1"/>
                <w:bCs w:val="1"/>
                <w:color w:val="auto"/>
                <w:w w:val="97"/>
              </w:rPr>
              <w:t>Gross</w:t>
            </w: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jc w:val="center"/>
              <w:spacing w:after="0" w:line="201" w:lineRule="exact"/>
              <w:rPr>
                <w:sz w:val="20"/>
                <w:szCs w:val="20"/>
                <w:color w:val="auto"/>
              </w:rPr>
            </w:pPr>
            <w:r>
              <w:rPr>
                <w:rFonts w:ascii="Times New Roman" w:cs="Times New Roman" w:eastAsia="Times New Roman" w:hAnsi="Times New Roman"/>
                <w:sz w:val="18"/>
                <w:szCs w:val="18"/>
                <w:b w:val="1"/>
                <w:bCs w:val="1"/>
                <w:color w:val="auto"/>
              </w:rPr>
              <w:t>% of</w:t>
            </w:r>
          </w:p>
        </w:tc>
      </w:tr>
      <w:tr>
        <w:trPr>
          <w:trHeight w:val="203"/>
        </w:trPr>
        <w:tc>
          <w:tcPr>
            <w:tcW w:w="3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ind w:left="280"/>
              <w:spacing w:after="0" w:line="202" w:lineRule="exact"/>
              <w:rPr>
                <w:sz w:val="20"/>
                <w:szCs w:val="20"/>
                <w:color w:val="auto"/>
              </w:rPr>
            </w:pPr>
            <w:r>
              <w:rPr>
                <w:rFonts w:ascii="Times New Roman" w:cs="Times New Roman" w:eastAsia="Times New Roman" w:hAnsi="Times New Roman"/>
                <w:sz w:val="18"/>
                <w:szCs w:val="18"/>
                <w:b w:val="1"/>
                <w:bCs w:val="1"/>
                <w:color w:val="auto"/>
              </w:rPr>
              <w:t>Unrealized</w:t>
            </w: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gridSpan w:val="2"/>
          </w:tcPr>
          <w:p>
            <w:pPr>
              <w:jc w:val="center"/>
              <w:ind w:right="240"/>
              <w:spacing w:after="0" w:line="202" w:lineRule="exact"/>
              <w:rPr>
                <w:sz w:val="20"/>
                <w:szCs w:val="20"/>
                <w:color w:val="auto"/>
              </w:rPr>
            </w:pPr>
            <w:r>
              <w:rPr>
                <w:rFonts w:ascii="Times New Roman" w:cs="Times New Roman" w:eastAsia="Times New Roman" w:hAnsi="Times New Roman"/>
                <w:sz w:val="18"/>
                <w:szCs w:val="18"/>
                <w:b w:val="1"/>
                <w:bCs w:val="1"/>
                <w:color w:val="auto"/>
                <w:w w:val="99"/>
              </w:rPr>
              <w:t>Unrealized</w:t>
            </w:r>
          </w:p>
        </w:tc>
        <w:tc>
          <w:tcPr>
            <w:tcW w:w="220" w:type="dxa"/>
            <w:vAlign w:val="bottom"/>
          </w:tcPr>
          <w:p>
            <w:pPr>
              <w:spacing w:after="0"/>
              <w:rPr>
                <w:sz w:val="17"/>
                <w:szCs w:val="17"/>
                <w:color w:val="auto"/>
              </w:rPr>
            </w:pPr>
          </w:p>
        </w:tc>
        <w:tc>
          <w:tcPr>
            <w:tcW w:w="1340" w:type="dxa"/>
            <w:vAlign w:val="bottom"/>
            <w:gridSpan w:val="2"/>
          </w:tcPr>
          <w:p>
            <w:pPr>
              <w:ind w:left="100"/>
              <w:spacing w:after="0" w:line="202" w:lineRule="exact"/>
              <w:rPr>
                <w:sz w:val="20"/>
                <w:szCs w:val="20"/>
                <w:color w:val="auto"/>
              </w:rPr>
            </w:pPr>
            <w:r>
              <w:rPr>
                <w:rFonts w:ascii="Times New Roman" w:cs="Times New Roman" w:eastAsia="Times New Roman" w:hAnsi="Times New Roman"/>
                <w:sz w:val="18"/>
                <w:szCs w:val="18"/>
                <w:b w:val="1"/>
                <w:bCs w:val="1"/>
                <w:color w:val="auto"/>
              </w:rPr>
              <w:t>Estimated</w:t>
            </w:r>
          </w:p>
        </w:tc>
        <w:tc>
          <w:tcPr>
            <w:tcW w:w="160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b w:val="1"/>
                <w:bCs w:val="1"/>
                <w:color w:val="auto"/>
                <w:w w:val="99"/>
              </w:rPr>
              <w:t>Estimated</w:t>
            </w:r>
          </w:p>
        </w:tc>
      </w:tr>
      <w:tr>
        <w:trPr>
          <w:trHeight w:val="259"/>
        </w:trPr>
        <w:tc>
          <w:tcPr>
            <w:tcW w:w="3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Category</w:t>
            </w:r>
          </w:p>
        </w:tc>
        <w:tc>
          <w:tcPr>
            <w:tcW w:w="10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Cost</w:t>
            </w:r>
          </w:p>
        </w:tc>
        <w:tc>
          <w:tcPr>
            <w:tcW w:w="100" w:type="dxa"/>
            <w:vAlign w:val="bottom"/>
          </w:tcPr>
          <w:p>
            <w:pPr>
              <w:spacing w:after="0"/>
              <w:rPr>
                <w:sz w:val="22"/>
                <w:szCs w:val="22"/>
                <w:color w:val="auto"/>
              </w:rPr>
            </w:pPr>
          </w:p>
        </w:tc>
        <w:tc>
          <w:tcPr>
            <w:tcW w:w="116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8"/>
                <w:szCs w:val="18"/>
                <w:b w:val="1"/>
                <w:bCs w:val="1"/>
                <w:color w:val="auto"/>
              </w:rPr>
              <w:t>Gains</w:t>
            </w:r>
          </w:p>
        </w:tc>
        <w:tc>
          <w:tcPr>
            <w:tcW w:w="300" w:type="dxa"/>
            <w:vAlign w:val="bottom"/>
            <w:tcBorders>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1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00" w:type="dxa"/>
            <w:vAlign w:val="bottom"/>
          </w:tcPr>
          <w:p>
            <w:pPr>
              <w:spacing w:after="0"/>
              <w:rPr>
                <w:sz w:val="22"/>
                <w:szCs w:val="22"/>
                <w:color w:val="auto"/>
              </w:rPr>
            </w:pPr>
          </w:p>
        </w:tc>
        <w:tc>
          <w:tcPr>
            <w:tcW w:w="1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Fair Value</w:t>
            </w:r>
          </w:p>
        </w:tc>
      </w:tr>
      <w:tr>
        <w:trPr>
          <w:trHeight w:val="506"/>
        </w:trPr>
        <w:tc>
          <w:tcPr>
            <w:tcW w:w="34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Equity Securities:</w:t>
            </w: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263"/>
        </w:trPr>
        <w:tc>
          <w:tcPr>
            <w:tcW w:w="3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Preferred stocks</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9,750,322</w:t>
            </w:r>
          </w:p>
        </w:tc>
        <w:tc>
          <w:tcPr>
            <w:tcW w:w="100" w:type="dxa"/>
            <w:vAlign w:val="bottom"/>
            <w:shd w:val="clear" w:color="auto" w:fill="CCEEFF"/>
          </w:tcPr>
          <w:p>
            <w:pPr>
              <w:spacing w:after="0"/>
              <w:rPr>
                <w:sz w:val="22"/>
                <w:szCs w:val="22"/>
                <w:color w:val="auto"/>
              </w:rPr>
            </w:pPr>
          </w:p>
        </w:tc>
        <w:tc>
          <w:tcPr>
            <w:tcW w:w="1160" w:type="dxa"/>
            <w:vAlign w:val="bottom"/>
            <w:shd w:val="clear" w:color="auto" w:fill="CCEEFF"/>
          </w:tcPr>
          <w:p>
            <w:pPr>
              <w:jc w:val="right"/>
              <w:ind w:right="970"/>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(2,422,617)</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7,327,705</w:t>
            </w:r>
          </w:p>
        </w:tc>
        <w:tc>
          <w:tcPr>
            <w:tcW w:w="100" w:type="dxa"/>
            <w:vAlign w:val="bottom"/>
            <w:shd w:val="clear" w:color="auto" w:fill="CCEEFF"/>
          </w:tcPr>
          <w:p>
            <w:pPr>
              <w:spacing w:after="0"/>
              <w:rPr>
                <w:sz w:val="22"/>
                <w:szCs w:val="22"/>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71.2 %</w:t>
            </w:r>
          </w:p>
        </w:tc>
      </w:tr>
      <w:tr>
        <w:trPr>
          <w:trHeight w:val="250"/>
        </w:trPr>
        <w:tc>
          <w:tcPr>
            <w:tcW w:w="3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Fixed income exchange traded funds</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3,711,232</w:t>
            </w:r>
          </w:p>
        </w:tc>
        <w:tc>
          <w:tcPr>
            <w:tcW w:w="1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(808,432)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2,902,800</w:t>
            </w:r>
          </w:p>
        </w:tc>
        <w:tc>
          <w:tcPr>
            <w:tcW w:w="1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28.2 %</w:t>
            </w:r>
          </w:p>
        </w:tc>
      </w:tr>
      <w:tr>
        <w:trPr>
          <w:trHeight w:val="263"/>
        </w:trPr>
        <w:tc>
          <w:tcPr>
            <w:tcW w:w="3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FHLBNY common stock</w:t>
            </w:r>
          </w:p>
        </w:tc>
        <w:tc>
          <w:tcPr>
            <w:tcW w:w="34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66,000</w:t>
            </w:r>
          </w:p>
        </w:tc>
        <w:tc>
          <w:tcPr>
            <w:tcW w:w="100" w:type="dxa"/>
            <w:vAlign w:val="bottom"/>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66,000</w:t>
            </w:r>
          </w:p>
        </w:tc>
        <w:tc>
          <w:tcPr>
            <w:tcW w:w="100" w:type="dxa"/>
            <w:vAlign w:val="bottom"/>
            <w:shd w:val="clear" w:color="auto" w:fill="CCEEFF"/>
          </w:tcPr>
          <w:p>
            <w:pPr>
              <w:spacing w:after="0"/>
              <w:rPr>
                <w:sz w:val="22"/>
                <w:szCs w:val="22"/>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0.6 %</w:t>
            </w:r>
          </w:p>
        </w:tc>
      </w:tr>
      <w:tr>
        <w:trPr>
          <w:trHeight w:val="243"/>
        </w:trPr>
        <w:tc>
          <w:tcPr>
            <w:tcW w:w="3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13,527,554</w:t>
            </w:r>
          </w:p>
        </w:tc>
        <w:tc>
          <w:tcPr>
            <w:tcW w:w="100" w:type="dxa"/>
            <w:vAlign w:val="bottom"/>
          </w:tcPr>
          <w:p>
            <w:pPr>
              <w:spacing w:after="0"/>
              <w:rPr>
                <w:sz w:val="21"/>
                <w:szCs w:val="21"/>
                <w:color w:val="auto"/>
              </w:rPr>
            </w:pPr>
          </w:p>
        </w:tc>
        <w:tc>
          <w:tcPr>
            <w:tcW w:w="1160" w:type="dxa"/>
            <w:vAlign w:val="bottom"/>
          </w:tcPr>
          <w:p>
            <w:pPr>
              <w:jc w:val="right"/>
              <w:ind w:right="970"/>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(3,231,049)</w:t>
            </w:r>
          </w:p>
        </w:tc>
        <w:tc>
          <w:tcPr>
            <w:tcW w:w="10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10,296,505</w:t>
            </w:r>
          </w:p>
        </w:tc>
        <w:tc>
          <w:tcPr>
            <w:tcW w:w="1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100.0 %</w:t>
            </w:r>
          </w:p>
        </w:tc>
      </w:tr>
      <w:tr>
        <w:trPr>
          <w:trHeight w:val="27"/>
        </w:trPr>
        <w:tc>
          <w:tcPr>
            <w:tcW w:w="3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top w:val="single" w:sz="8" w:color="auto"/>
              <w:bottom w:val="single" w:sz="8" w:color="auto"/>
            </w:tcBorders>
          </w:tcPr>
          <w:p>
            <w:pPr>
              <w:spacing w:after="0"/>
              <w:rPr>
                <w:sz w:val="2"/>
                <w:szCs w:val="2"/>
                <w:color w:val="auto"/>
              </w:rPr>
            </w:pPr>
          </w:p>
        </w:tc>
        <w:tc>
          <w:tcPr>
            <w:tcW w:w="112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Borders>
              <w:top w:val="single" w:sz="8" w:color="auto"/>
              <w:bottom w:val="single" w:sz="8" w:color="auto"/>
            </w:tcBorders>
          </w:tcPr>
          <w:p>
            <w:pPr>
              <w:spacing w:after="0"/>
              <w:rPr>
                <w:sz w:val="2"/>
                <w:szCs w:val="2"/>
                <w:color w:val="auto"/>
              </w:rPr>
            </w:pPr>
          </w:p>
        </w:tc>
        <w:tc>
          <w:tcPr>
            <w:tcW w:w="30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top w:val="single" w:sz="8" w:color="auto"/>
              <w:bottom w:val="single" w:sz="8" w:color="auto"/>
            </w:tcBorders>
          </w:tcPr>
          <w:p>
            <w:pPr>
              <w:spacing w:after="0"/>
              <w:rPr>
                <w:sz w:val="2"/>
                <w:szCs w:val="2"/>
                <w:color w:val="auto"/>
              </w:rPr>
            </w:pPr>
          </w:p>
        </w:tc>
        <w:tc>
          <w:tcPr>
            <w:tcW w:w="130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top w:val="single" w:sz="8" w:color="auto"/>
              <w:bottom w:val="single" w:sz="8" w:color="auto"/>
            </w:tcBorders>
          </w:tcPr>
          <w:p>
            <w:pPr>
              <w:spacing w:after="0"/>
              <w:rPr>
                <w:sz w:val="2"/>
                <w:szCs w:val="2"/>
                <w:color w:val="auto"/>
              </w:rPr>
            </w:pPr>
          </w:p>
        </w:tc>
        <w:tc>
          <w:tcPr>
            <w:tcW w:w="124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Borders>
              <w:top w:val="single" w:sz="8" w:color="auto"/>
              <w:bottom w:val="single" w:sz="8" w:color="auto"/>
            </w:tcBorders>
          </w:tcPr>
          <w:p>
            <w:pPr>
              <w:spacing w:after="0"/>
              <w:rPr>
                <w:sz w:val="2"/>
                <w:szCs w:val="2"/>
                <w:color w:val="auto"/>
              </w:rPr>
            </w:pPr>
          </w:p>
        </w:tc>
      </w:tr>
    </w:tbl>
    <w:p>
      <w:pPr>
        <w:spacing w:after="0" w:line="2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Other Investments</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presents a breakdown of the cost and estimated fair value of, and gross gains on our other investments as of March 31, 2025 and December 31, 2024:</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1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March 31, 2025</w:t>
            </w:r>
          </w:p>
        </w:tc>
        <w:tc>
          <w:tcPr>
            <w:tcW w:w="20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1"/>
        </w:trPr>
        <w:tc>
          <w:tcPr>
            <w:tcW w:w="19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Category</w:t>
            </w:r>
          </w:p>
        </w:tc>
        <w:tc>
          <w:tcPr>
            <w:tcW w:w="100" w:type="dxa"/>
            <w:vAlign w:val="bottom"/>
            <w:vMerge w:val="restart"/>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vMerge w:val="restart"/>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Cost</w:t>
            </w:r>
          </w:p>
        </w:tc>
        <w:tc>
          <w:tcPr>
            <w:tcW w:w="80" w:type="dxa"/>
            <w:vAlign w:val="bottom"/>
            <w:vMerge w:val="restart"/>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Gross</w:t>
            </w:r>
          </w:p>
        </w:tc>
        <w:tc>
          <w:tcPr>
            <w:tcW w:w="200" w:type="dxa"/>
            <w:vAlign w:val="bottom"/>
          </w:tcPr>
          <w:p>
            <w:pPr>
              <w:spacing w:after="0"/>
              <w:rPr>
                <w:sz w:val="19"/>
                <w:szCs w:val="19"/>
                <w:color w:val="auto"/>
              </w:rPr>
            </w:pPr>
          </w:p>
        </w:tc>
        <w:tc>
          <w:tcPr>
            <w:tcW w:w="134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Estimated</w:t>
            </w:r>
          </w:p>
        </w:tc>
        <w:tc>
          <w:tcPr>
            <w:tcW w:w="340" w:type="dxa"/>
            <w:vAlign w:val="bottom"/>
          </w:tcPr>
          <w:p>
            <w:pPr>
              <w:spacing w:after="0"/>
              <w:rPr>
                <w:sz w:val="19"/>
                <w:szCs w:val="19"/>
                <w:color w:val="auto"/>
              </w:rPr>
            </w:pPr>
          </w:p>
        </w:tc>
        <w:tc>
          <w:tcPr>
            <w:tcW w:w="1120" w:type="dxa"/>
            <w:vAlign w:val="bottom"/>
            <w:vMerge w:val="restart"/>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Cost</w:t>
            </w:r>
          </w:p>
        </w:tc>
        <w:tc>
          <w:tcPr>
            <w:tcW w:w="100" w:type="dxa"/>
            <w:vAlign w:val="bottom"/>
            <w:vMerge w:val="restart"/>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Gross</w:t>
            </w:r>
          </w:p>
        </w:tc>
        <w:tc>
          <w:tcPr>
            <w:tcW w:w="220" w:type="dxa"/>
            <w:vAlign w:val="bottom"/>
          </w:tcPr>
          <w:p>
            <w:pPr>
              <w:spacing w:after="0"/>
              <w:rPr>
                <w:sz w:val="19"/>
                <w:szCs w:val="19"/>
                <w:color w:val="auto"/>
              </w:rPr>
            </w:pPr>
          </w:p>
        </w:tc>
        <w:tc>
          <w:tcPr>
            <w:tcW w:w="126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Estimated</w:t>
            </w:r>
          </w:p>
        </w:tc>
        <w:tc>
          <w:tcPr>
            <w:tcW w:w="0" w:type="dxa"/>
            <w:vAlign w:val="bottom"/>
          </w:tcPr>
          <w:p>
            <w:pPr>
              <w:spacing w:after="0"/>
              <w:rPr>
                <w:sz w:val="1"/>
                <w:szCs w:val="1"/>
                <w:color w:val="auto"/>
              </w:rPr>
            </w:pPr>
          </w:p>
        </w:tc>
      </w:tr>
      <w:tr>
        <w:trPr>
          <w:trHeight w:val="238"/>
        </w:trPr>
        <w:tc>
          <w:tcPr>
            <w:tcW w:w="1900" w:type="dxa"/>
            <w:vAlign w:val="bottom"/>
            <w:tcBorders>
              <w:bottom w:val="single" w:sz="8" w:color="auto"/>
            </w:tcBorders>
            <w:vMerge w:val="continue"/>
          </w:tcPr>
          <w:p>
            <w:pPr>
              <w:spacing w:after="0"/>
              <w:rPr>
                <w:sz w:val="20"/>
                <w:szCs w:val="20"/>
                <w:color w:val="auto"/>
              </w:rPr>
            </w:pPr>
          </w:p>
        </w:tc>
        <w:tc>
          <w:tcPr>
            <w:tcW w:w="100" w:type="dxa"/>
            <w:vAlign w:val="bottom"/>
            <w:vMerge w:val="continue"/>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vMerge w:val="continue"/>
          </w:tcPr>
          <w:p>
            <w:pPr>
              <w:spacing w:after="0"/>
              <w:rPr>
                <w:sz w:val="20"/>
                <w:szCs w:val="20"/>
                <w:color w:val="auto"/>
              </w:rPr>
            </w:pPr>
          </w:p>
        </w:tc>
        <w:tc>
          <w:tcPr>
            <w:tcW w:w="80" w:type="dxa"/>
            <w:vAlign w:val="bottom"/>
            <w:vMerge w:val="continue"/>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Gains</w:t>
            </w: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vMerge w:val="continue"/>
          </w:tcPr>
          <w:p>
            <w:pPr>
              <w:spacing w:after="0"/>
              <w:rPr>
                <w:sz w:val="20"/>
                <w:szCs w:val="20"/>
                <w:color w:val="auto"/>
              </w:rPr>
            </w:pPr>
          </w:p>
        </w:tc>
        <w:tc>
          <w:tcPr>
            <w:tcW w:w="100" w:type="dxa"/>
            <w:vAlign w:val="bottom"/>
            <w:vMerge w:val="continue"/>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Gains</w:t>
            </w:r>
          </w:p>
        </w:tc>
        <w:tc>
          <w:tcPr>
            <w:tcW w:w="2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0" w:type="dxa"/>
            <w:vAlign w:val="bottom"/>
          </w:tcPr>
          <w:p>
            <w:pPr>
              <w:spacing w:after="0"/>
              <w:rPr>
                <w:sz w:val="1"/>
                <w:szCs w:val="1"/>
                <w:color w:val="auto"/>
              </w:rPr>
            </w:pPr>
          </w:p>
        </w:tc>
      </w:tr>
      <w:tr>
        <w:trPr>
          <w:trHeight w:val="500"/>
        </w:trPr>
        <w:tc>
          <w:tcPr>
            <w:tcW w:w="20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Other Investments:</w:t>
            </w: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Hedge fund</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1,987,040</w:t>
            </w:r>
          </w:p>
        </w:tc>
        <w:tc>
          <w:tcPr>
            <w:tcW w:w="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2,450,693</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4,437,733</w:t>
            </w:r>
          </w:p>
        </w:tc>
        <w:tc>
          <w:tcPr>
            <w:tcW w:w="8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1,987,040</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2,393,616</w:t>
            </w:r>
          </w:p>
        </w:tc>
        <w:tc>
          <w:tcPr>
            <w:tcW w:w="8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4,380,656</w:t>
            </w:r>
          </w:p>
        </w:tc>
        <w:tc>
          <w:tcPr>
            <w:tcW w:w="0" w:type="dxa"/>
            <w:vAlign w:val="bottom"/>
          </w:tcPr>
          <w:p>
            <w:pPr>
              <w:spacing w:after="0"/>
              <w:rPr>
                <w:sz w:val="1"/>
                <w:szCs w:val="1"/>
                <w:color w:val="auto"/>
              </w:rPr>
            </w:pPr>
          </w:p>
        </w:tc>
      </w:tr>
      <w:tr>
        <w:trPr>
          <w:trHeight w:val="20"/>
        </w:trPr>
        <w:tc>
          <w:tcPr>
            <w:tcW w:w="1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Held-to-Maturity Securities</w:t>
      </w:r>
    </w:p>
    <w:p>
      <w:pPr>
        <w:spacing w:after="0" w:line="225"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presents a breakdown of the amortized cost and estimated fair value of, and gross unrealized gains and losses on, investments in held-to-maturity securities as of March 31, 2025 and December 31, 2024:</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900" w:type="dxa"/>
            <w:vAlign w:val="bottom"/>
            <w:tcBorders>
              <w:bottom w:val="single" w:sz="8" w:color="auto"/>
            </w:tcBorders>
            <w:gridSpan w:val="5"/>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2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spacing w:after="0"/>
              <w:rPr>
                <w:sz w:val="20"/>
                <w:szCs w:val="20"/>
                <w:color w:val="auto"/>
              </w:rPr>
            </w:pPr>
          </w:p>
        </w:tc>
      </w:tr>
      <w:tr>
        <w:trPr>
          <w:trHeight w:val="520"/>
        </w:trPr>
        <w:tc>
          <w:tcPr>
            <w:tcW w:w="1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Cost or</w:t>
            </w:r>
          </w:p>
        </w:tc>
        <w:tc>
          <w:tcPr>
            <w:tcW w:w="180" w:type="dxa"/>
            <w:vAlign w:val="bottom"/>
          </w:tcPr>
          <w:p>
            <w:pPr>
              <w:spacing w:after="0"/>
              <w:rPr>
                <w:sz w:val="24"/>
                <w:szCs w:val="24"/>
                <w:color w:val="auto"/>
              </w:rPr>
            </w:pPr>
          </w:p>
        </w:tc>
        <w:tc>
          <w:tcPr>
            <w:tcW w:w="13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Gross</w:t>
            </w:r>
          </w:p>
        </w:tc>
        <w:tc>
          <w:tcPr>
            <w:tcW w:w="18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gridSpan w:val="4"/>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Gross Unrealized Losses</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Estimated</w:t>
            </w: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 of</w:t>
            </w:r>
          </w:p>
        </w:tc>
      </w:tr>
      <w:tr>
        <w:trPr>
          <w:trHeight w:val="201"/>
        </w:trPr>
        <w:tc>
          <w:tcPr>
            <w:tcW w:w="1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gridSpan w:val="2"/>
          </w:tcPr>
          <w:p>
            <w:pPr>
              <w:ind w:left="100"/>
              <w:spacing w:after="0" w:line="201" w:lineRule="exact"/>
              <w:rPr>
                <w:sz w:val="20"/>
                <w:szCs w:val="20"/>
                <w:color w:val="auto"/>
              </w:rPr>
            </w:pPr>
            <w:r>
              <w:rPr>
                <w:rFonts w:ascii="Times New Roman" w:cs="Times New Roman" w:eastAsia="Times New Roman" w:hAnsi="Times New Roman"/>
                <w:sz w:val="18"/>
                <w:szCs w:val="18"/>
                <w:b w:val="1"/>
                <w:bCs w:val="1"/>
                <w:color w:val="auto"/>
              </w:rPr>
              <w:t>Amortized</w:t>
            </w:r>
          </w:p>
        </w:tc>
        <w:tc>
          <w:tcPr>
            <w:tcW w:w="180" w:type="dxa"/>
            <w:vAlign w:val="bottom"/>
          </w:tcPr>
          <w:p>
            <w:pPr>
              <w:spacing w:after="0"/>
              <w:rPr>
                <w:sz w:val="17"/>
                <w:szCs w:val="17"/>
                <w:color w:val="auto"/>
              </w:rPr>
            </w:pPr>
          </w:p>
        </w:tc>
        <w:tc>
          <w:tcPr>
            <w:tcW w:w="1340" w:type="dxa"/>
            <w:vAlign w:val="bottom"/>
            <w:gridSpan w:val="2"/>
          </w:tcPr>
          <w:p>
            <w:pPr>
              <w:jc w:val="center"/>
              <w:ind w:right="320"/>
              <w:spacing w:after="0" w:line="201" w:lineRule="exact"/>
              <w:rPr>
                <w:sz w:val="20"/>
                <w:szCs w:val="20"/>
                <w:color w:val="auto"/>
              </w:rPr>
            </w:pPr>
            <w:r>
              <w:rPr>
                <w:rFonts w:ascii="Times New Roman" w:cs="Times New Roman" w:eastAsia="Times New Roman" w:hAnsi="Times New Roman"/>
                <w:sz w:val="18"/>
                <w:szCs w:val="18"/>
                <w:b w:val="1"/>
                <w:bCs w:val="1"/>
                <w:color w:val="auto"/>
                <w:w w:val="97"/>
              </w:rPr>
              <w:t>Unrealized</w:t>
            </w:r>
          </w:p>
        </w:tc>
        <w:tc>
          <w:tcPr>
            <w:tcW w:w="180" w:type="dxa"/>
            <w:vAlign w:val="bottom"/>
          </w:tcPr>
          <w:p>
            <w:pPr>
              <w:spacing w:after="0"/>
              <w:rPr>
                <w:sz w:val="17"/>
                <w:szCs w:val="17"/>
                <w:color w:val="auto"/>
              </w:rPr>
            </w:pPr>
          </w:p>
        </w:tc>
        <w:tc>
          <w:tcPr>
            <w:tcW w:w="1360" w:type="dxa"/>
            <w:vAlign w:val="bottom"/>
            <w:gridSpan w:val="2"/>
          </w:tcPr>
          <w:p>
            <w:pPr>
              <w:ind w:left="60"/>
              <w:spacing w:after="0" w:line="201" w:lineRule="exact"/>
              <w:rPr>
                <w:sz w:val="20"/>
                <w:szCs w:val="20"/>
                <w:color w:val="auto"/>
              </w:rPr>
            </w:pPr>
            <w:r>
              <w:rPr>
                <w:rFonts w:ascii="Times New Roman" w:cs="Times New Roman" w:eastAsia="Times New Roman" w:hAnsi="Times New Roman"/>
                <w:sz w:val="18"/>
                <w:szCs w:val="18"/>
                <w:b w:val="1"/>
                <w:bCs w:val="1"/>
                <w:color w:val="auto"/>
              </w:rPr>
              <w:t>Less than 12</w:t>
            </w:r>
          </w:p>
        </w:tc>
        <w:tc>
          <w:tcPr>
            <w:tcW w:w="160" w:type="dxa"/>
            <w:vAlign w:val="bottom"/>
          </w:tcPr>
          <w:p>
            <w:pPr>
              <w:spacing w:after="0"/>
              <w:rPr>
                <w:sz w:val="17"/>
                <w:szCs w:val="17"/>
                <w:color w:val="auto"/>
              </w:rPr>
            </w:pPr>
          </w:p>
        </w:tc>
        <w:tc>
          <w:tcPr>
            <w:tcW w:w="1380" w:type="dxa"/>
            <w:vAlign w:val="bottom"/>
            <w:gridSpan w:val="2"/>
          </w:tcPr>
          <w:p>
            <w:pPr>
              <w:ind w:left="40"/>
              <w:spacing w:after="0" w:line="201" w:lineRule="exact"/>
              <w:rPr>
                <w:sz w:val="20"/>
                <w:szCs w:val="20"/>
                <w:color w:val="auto"/>
              </w:rPr>
            </w:pPr>
            <w:r>
              <w:rPr>
                <w:rFonts w:ascii="Times New Roman" w:cs="Times New Roman" w:eastAsia="Times New Roman" w:hAnsi="Times New Roman"/>
                <w:sz w:val="18"/>
                <w:szCs w:val="18"/>
                <w:b w:val="1"/>
                <w:bCs w:val="1"/>
                <w:color w:val="auto"/>
              </w:rPr>
              <w:t>More than 12</w:t>
            </w:r>
          </w:p>
        </w:tc>
        <w:tc>
          <w:tcPr>
            <w:tcW w:w="220" w:type="dxa"/>
            <w:vAlign w:val="bottom"/>
          </w:tcPr>
          <w:p>
            <w:pPr>
              <w:spacing w:after="0"/>
              <w:rPr>
                <w:sz w:val="17"/>
                <w:szCs w:val="17"/>
                <w:color w:val="auto"/>
              </w:rPr>
            </w:pPr>
          </w:p>
        </w:tc>
        <w:tc>
          <w:tcPr>
            <w:tcW w:w="1320" w:type="dxa"/>
            <w:vAlign w:val="bottom"/>
            <w:gridSpan w:val="2"/>
          </w:tcPr>
          <w:p>
            <w:pPr>
              <w:jc w:val="center"/>
              <w:ind w:right="340"/>
              <w:spacing w:after="0" w:line="201" w:lineRule="exact"/>
              <w:rPr>
                <w:sz w:val="20"/>
                <w:szCs w:val="20"/>
                <w:color w:val="auto"/>
              </w:rPr>
            </w:pPr>
            <w:r>
              <w:rPr>
                <w:rFonts w:ascii="Times New Roman" w:cs="Times New Roman" w:eastAsia="Times New Roman" w:hAnsi="Times New Roman"/>
                <w:sz w:val="18"/>
                <w:szCs w:val="18"/>
                <w:b w:val="1"/>
                <w:bCs w:val="1"/>
                <w:color w:val="auto"/>
              </w:rPr>
              <w:t>Fair</w:t>
            </w:r>
          </w:p>
        </w:tc>
        <w:tc>
          <w:tcPr>
            <w:tcW w:w="1600" w:type="dxa"/>
            <w:vAlign w:val="bottom"/>
          </w:tcPr>
          <w:p>
            <w:pPr>
              <w:jc w:val="center"/>
              <w:spacing w:after="0" w:line="201" w:lineRule="exact"/>
              <w:rPr>
                <w:sz w:val="20"/>
                <w:szCs w:val="20"/>
                <w:color w:val="auto"/>
              </w:rPr>
            </w:pPr>
            <w:r>
              <w:rPr>
                <w:rFonts w:ascii="Times New Roman" w:cs="Times New Roman" w:eastAsia="Times New Roman" w:hAnsi="Times New Roman"/>
                <w:sz w:val="18"/>
                <w:szCs w:val="18"/>
                <w:b w:val="1"/>
                <w:bCs w:val="1"/>
                <w:color w:val="auto"/>
                <w:w w:val="99"/>
              </w:rPr>
              <w:t>Estimated</w:t>
            </w:r>
          </w:p>
        </w:tc>
      </w:tr>
      <w:tr>
        <w:trPr>
          <w:trHeight w:val="259"/>
        </w:trPr>
        <w:tc>
          <w:tcPr>
            <w:tcW w:w="1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Category</w:t>
            </w:r>
          </w:p>
        </w:tc>
        <w:tc>
          <w:tcPr>
            <w:tcW w:w="1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Cost</w:t>
            </w:r>
          </w:p>
        </w:tc>
        <w:tc>
          <w:tcPr>
            <w:tcW w:w="1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rPr>
              <w:t>Gains</w:t>
            </w:r>
          </w:p>
        </w:tc>
        <w:tc>
          <w:tcPr>
            <w:tcW w:w="8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Months</w:t>
            </w:r>
          </w:p>
        </w:tc>
        <w:tc>
          <w:tcPr>
            <w:tcW w:w="1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Months</w:t>
            </w:r>
          </w:p>
        </w:tc>
        <w:tc>
          <w:tcPr>
            <w:tcW w:w="8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80" w:type="dxa"/>
            <w:vAlign w:val="bottom"/>
          </w:tcPr>
          <w:p>
            <w:pPr>
              <w:spacing w:after="0"/>
              <w:rPr>
                <w:sz w:val="22"/>
                <w:szCs w:val="22"/>
                <w:color w:val="auto"/>
              </w:rPr>
            </w:pPr>
          </w:p>
        </w:tc>
        <w:tc>
          <w:tcPr>
            <w:tcW w:w="1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Fair Value</w:t>
            </w:r>
          </w:p>
        </w:tc>
      </w:tr>
      <w:tr>
        <w:trPr>
          <w:trHeight w:val="464"/>
        </w:trPr>
        <w:tc>
          <w:tcPr>
            <w:tcW w:w="19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Held-to-Maturity</w:t>
            </w: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245"/>
        </w:trPr>
        <w:tc>
          <w:tcPr>
            <w:tcW w:w="19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Securities:</w:t>
            </w:r>
          </w:p>
        </w:tc>
        <w:tc>
          <w:tcPr>
            <w:tcW w:w="2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0" w:type="dxa"/>
            <w:vAlign w:val="bottom"/>
          </w:tcPr>
          <w:p>
            <w:pPr>
              <w:spacing w:after="0"/>
              <w:rPr>
                <w:sz w:val="21"/>
                <w:szCs w:val="21"/>
                <w:color w:val="auto"/>
              </w:rPr>
            </w:pPr>
          </w:p>
        </w:tc>
      </w:tr>
      <w:tr>
        <w:trPr>
          <w:trHeight w:val="263"/>
        </w:trPr>
        <w:tc>
          <w:tcPr>
            <w:tcW w:w="1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Treasury securities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1,229,249</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(17,103)</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(10,865)</w:t>
            </w: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1,201,662</w:t>
            </w:r>
          </w:p>
        </w:tc>
        <w:tc>
          <w:tcPr>
            <w:tcW w:w="80" w:type="dxa"/>
            <w:vAlign w:val="bottom"/>
            <w:shd w:val="clear" w:color="auto" w:fill="CCEEFF"/>
          </w:tcPr>
          <w:p>
            <w:pPr>
              <w:spacing w:after="0"/>
              <w:rPr>
                <w:sz w:val="22"/>
                <w:szCs w:val="22"/>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20.1 %</w:t>
            </w:r>
          </w:p>
        </w:tc>
      </w:tr>
      <w:tr>
        <w:trPr>
          <w:trHeight w:val="270"/>
        </w:trPr>
        <w:tc>
          <w:tcPr>
            <w:tcW w:w="1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0" w:type="dxa"/>
            <w:vAlign w:val="bottom"/>
          </w:tcPr>
          <w:p>
            <w:pPr>
              <w:spacing w:after="0"/>
              <w:rPr>
                <w:sz w:val="23"/>
                <w:szCs w:val="23"/>
                <w:color w:val="auto"/>
              </w:rPr>
            </w:pPr>
          </w:p>
        </w:tc>
      </w:tr>
      <w:tr>
        <w:trPr>
          <w:trHeight w:val="211"/>
        </w:trPr>
        <w:tc>
          <w:tcPr>
            <w:tcW w:w="1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Political subdivisions of</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r>
      <w:tr>
        <w:trPr>
          <w:trHeight w:val="203"/>
        </w:trPr>
        <w:tc>
          <w:tcPr>
            <w:tcW w:w="1960" w:type="dxa"/>
            <w:vAlign w:val="bottom"/>
            <w:gridSpan w:val="2"/>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States, Territories and</w:t>
            </w: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r>
      <w:tr>
        <w:trPr>
          <w:trHeight w:val="261"/>
        </w:trPr>
        <w:tc>
          <w:tcPr>
            <w:tcW w:w="1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Possessions</w:t>
            </w:r>
          </w:p>
        </w:tc>
        <w:tc>
          <w:tcPr>
            <w:tcW w:w="20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499,859</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499,820</w:t>
            </w:r>
          </w:p>
        </w:tc>
        <w:tc>
          <w:tcPr>
            <w:tcW w:w="80" w:type="dxa"/>
            <w:vAlign w:val="bottom"/>
            <w:shd w:val="clear" w:color="auto" w:fill="CCEEFF"/>
          </w:tcPr>
          <w:p>
            <w:pPr>
              <w:spacing w:after="0"/>
              <w:rPr>
                <w:sz w:val="22"/>
                <w:szCs w:val="22"/>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8.4 %</w:t>
            </w:r>
          </w:p>
        </w:tc>
      </w:tr>
      <w:tr>
        <w:trPr>
          <w:trHeight w:val="270"/>
        </w:trPr>
        <w:tc>
          <w:tcPr>
            <w:tcW w:w="1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0" w:type="dxa"/>
            <w:vAlign w:val="bottom"/>
          </w:tcPr>
          <w:p>
            <w:pPr>
              <w:spacing w:after="0"/>
              <w:rPr>
                <w:sz w:val="23"/>
                <w:szCs w:val="23"/>
                <w:color w:val="auto"/>
              </w:rPr>
            </w:pPr>
          </w:p>
        </w:tc>
      </w:tr>
      <w:tr>
        <w:trPr>
          <w:trHeight w:val="257"/>
        </w:trPr>
        <w:tc>
          <w:tcPr>
            <w:tcW w:w="1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Exchange traded debt</w:t>
            </w:r>
          </w:p>
        </w:tc>
        <w:tc>
          <w:tcPr>
            <w:tcW w:w="20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304,111</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(60,111)</w:t>
            </w: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244,000</w:t>
            </w:r>
          </w:p>
        </w:tc>
        <w:tc>
          <w:tcPr>
            <w:tcW w:w="80" w:type="dxa"/>
            <w:vAlign w:val="bottom"/>
            <w:shd w:val="clear" w:color="auto" w:fill="CCEEFF"/>
          </w:tcPr>
          <w:p>
            <w:pPr>
              <w:spacing w:after="0"/>
              <w:rPr>
                <w:sz w:val="22"/>
                <w:szCs w:val="22"/>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4.1 %</w:t>
            </w:r>
          </w:p>
        </w:tc>
      </w:tr>
      <w:tr>
        <w:trPr>
          <w:trHeight w:val="270"/>
        </w:trPr>
        <w:tc>
          <w:tcPr>
            <w:tcW w:w="1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0" w:type="dxa"/>
            <w:vAlign w:val="bottom"/>
          </w:tcPr>
          <w:p>
            <w:pPr>
              <w:spacing w:after="0"/>
              <w:rPr>
                <w:sz w:val="23"/>
                <w:szCs w:val="23"/>
                <w:color w:val="auto"/>
              </w:rPr>
            </w:pPr>
          </w:p>
        </w:tc>
      </w:tr>
      <w:tr>
        <w:trPr>
          <w:trHeight w:val="211"/>
        </w:trPr>
        <w:tc>
          <w:tcPr>
            <w:tcW w:w="1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and other</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r>
      <w:tr>
        <w:trPr>
          <w:trHeight w:val="202"/>
        </w:trPr>
        <w:tc>
          <w:tcPr>
            <w:tcW w:w="1960" w:type="dxa"/>
            <w:vAlign w:val="bottom"/>
            <w:gridSpan w:val="2"/>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bonds Industrial and</w:t>
            </w: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r>
      <w:tr>
        <w:trPr>
          <w:trHeight w:val="255"/>
        </w:trPr>
        <w:tc>
          <w:tcPr>
            <w:tcW w:w="1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miscellaneous</w:t>
            </w:r>
          </w:p>
        </w:tc>
        <w:tc>
          <w:tcPr>
            <w:tcW w:w="20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5,012,804</w:t>
            </w:r>
          </w:p>
        </w:tc>
        <w:tc>
          <w:tcPr>
            <w:tcW w:w="10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(981,799)</w:t>
            </w:r>
          </w:p>
        </w:tc>
        <w:tc>
          <w:tcPr>
            <w:tcW w:w="8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4,031,005</w:t>
            </w:r>
          </w:p>
        </w:tc>
        <w:tc>
          <w:tcPr>
            <w:tcW w:w="80" w:type="dxa"/>
            <w:vAlign w:val="bottom"/>
            <w:shd w:val="clear" w:color="auto" w:fill="CCEEFF"/>
          </w:tcPr>
          <w:p>
            <w:pPr>
              <w:spacing w:after="0"/>
              <w:rPr>
                <w:sz w:val="22"/>
                <w:szCs w:val="22"/>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67.4 %</w:t>
            </w:r>
          </w:p>
        </w:tc>
      </w:tr>
      <w:tr>
        <w:trPr>
          <w:trHeight w:val="256"/>
        </w:trPr>
        <w:tc>
          <w:tcPr>
            <w:tcW w:w="1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0" w:type="dxa"/>
            <w:vAlign w:val="bottom"/>
          </w:tcPr>
          <w:p>
            <w:pPr>
              <w:spacing w:after="0"/>
              <w:rPr>
                <w:sz w:val="22"/>
                <w:szCs w:val="22"/>
                <w:color w:val="auto"/>
              </w:rPr>
            </w:pPr>
          </w:p>
        </w:tc>
      </w:tr>
      <w:tr>
        <w:trPr>
          <w:trHeight w:val="275"/>
        </w:trPr>
        <w:tc>
          <w:tcPr>
            <w:tcW w:w="19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7,046,023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w:t>
            </w:r>
          </w:p>
        </w:tc>
        <w:tc>
          <w:tcPr>
            <w:tcW w:w="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(17,142)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(1,052,775)</w:t>
            </w:r>
          </w:p>
        </w:tc>
        <w:tc>
          <w:tcPr>
            <w:tcW w:w="8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5,976,487</w:t>
            </w:r>
          </w:p>
        </w:tc>
        <w:tc>
          <w:tcPr>
            <w:tcW w:w="8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r>
      <w:tr>
        <w:trPr>
          <w:trHeight w:val="20"/>
        </w:trPr>
        <w:tc>
          <w:tcPr>
            <w:tcW w:w="1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900" w:type="dxa"/>
            <w:vAlign w:val="bottom"/>
            <w:tcBorders>
              <w:bottom w:val="single" w:sz="8" w:color="auto"/>
            </w:tcBorders>
            <w:gridSpan w:val="5"/>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2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spacing w:after="0"/>
              <w:rPr>
                <w:sz w:val="20"/>
                <w:szCs w:val="20"/>
                <w:color w:val="auto"/>
              </w:rPr>
            </w:pPr>
          </w:p>
        </w:tc>
      </w:tr>
      <w:tr>
        <w:trPr>
          <w:trHeight w:val="520"/>
        </w:trPr>
        <w:tc>
          <w:tcPr>
            <w:tcW w:w="1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Cost or</w:t>
            </w:r>
          </w:p>
        </w:tc>
        <w:tc>
          <w:tcPr>
            <w:tcW w:w="1200" w:type="dxa"/>
            <w:vAlign w:val="bottom"/>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rPr>
              <w:t>Gross</w:t>
            </w: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gridSpan w:val="4"/>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Gross Unrealized Losses</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Estimated</w:t>
            </w: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 of</w:t>
            </w:r>
          </w:p>
        </w:tc>
      </w:tr>
      <w:tr>
        <w:trPr>
          <w:trHeight w:val="201"/>
        </w:trPr>
        <w:tc>
          <w:tcPr>
            <w:tcW w:w="1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gridSpan w:val="2"/>
          </w:tcPr>
          <w:p>
            <w:pPr>
              <w:ind w:left="100"/>
              <w:spacing w:after="0" w:line="201" w:lineRule="exact"/>
              <w:rPr>
                <w:sz w:val="20"/>
                <w:szCs w:val="20"/>
                <w:color w:val="auto"/>
              </w:rPr>
            </w:pPr>
            <w:r>
              <w:rPr>
                <w:rFonts w:ascii="Times New Roman" w:cs="Times New Roman" w:eastAsia="Times New Roman" w:hAnsi="Times New Roman"/>
                <w:sz w:val="18"/>
                <w:szCs w:val="18"/>
                <w:b w:val="1"/>
                <w:bCs w:val="1"/>
                <w:color w:val="auto"/>
              </w:rPr>
              <w:t>Amortized</w:t>
            </w:r>
          </w:p>
        </w:tc>
        <w:tc>
          <w:tcPr>
            <w:tcW w:w="1200" w:type="dxa"/>
            <w:vAlign w:val="bottom"/>
          </w:tcPr>
          <w:p>
            <w:pPr>
              <w:jc w:val="center"/>
              <w:ind w:left="90"/>
              <w:spacing w:after="0" w:line="201" w:lineRule="exact"/>
              <w:rPr>
                <w:sz w:val="20"/>
                <w:szCs w:val="20"/>
                <w:color w:val="auto"/>
              </w:rPr>
            </w:pPr>
            <w:r>
              <w:rPr>
                <w:rFonts w:ascii="Times New Roman" w:cs="Times New Roman" w:eastAsia="Times New Roman" w:hAnsi="Times New Roman"/>
                <w:sz w:val="18"/>
                <w:szCs w:val="18"/>
                <w:b w:val="1"/>
                <w:bCs w:val="1"/>
                <w:color w:val="auto"/>
                <w:w w:val="97"/>
              </w:rPr>
              <w:t>Unrealized</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60" w:type="dxa"/>
            <w:vAlign w:val="bottom"/>
            <w:gridSpan w:val="2"/>
          </w:tcPr>
          <w:p>
            <w:pPr>
              <w:ind w:left="60"/>
              <w:spacing w:after="0" w:line="201" w:lineRule="exact"/>
              <w:rPr>
                <w:sz w:val="20"/>
                <w:szCs w:val="20"/>
                <w:color w:val="auto"/>
              </w:rPr>
            </w:pPr>
            <w:r>
              <w:rPr>
                <w:rFonts w:ascii="Times New Roman" w:cs="Times New Roman" w:eastAsia="Times New Roman" w:hAnsi="Times New Roman"/>
                <w:sz w:val="18"/>
                <w:szCs w:val="18"/>
                <w:b w:val="1"/>
                <w:bCs w:val="1"/>
                <w:color w:val="auto"/>
              </w:rPr>
              <w:t>Less than 12</w:t>
            </w:r>
          </w:p>
        </w:tc>
        <w:tc>
          <w:tcPr>
            <w:tcW w:w="160" w:type="dxa"/>
            <w:vAlign w:val="bottom"/>
          </w:tcPr>
          <w:p>
            <w:pPr>
              <w:spacing w:after="0"/>
              <w:rPr>
                <w:sz w:val="17"/>
                <w:szCs w:val="17"/>
                <w:color w:val="auto"/>
              </w:rPr>
            </w:pPr>
          </w:p>
        </w:tc>
        <w:tc>
          <w:tcPr>
            <w:tcW w:w="1380" w:type="dxa"/>
            <w:vAlign w:val="bottom"/>
            <w:gridSpan w:val="2"/>
          </w:tcPr>
          <w:p>
            <w:pPr>
              <w:ind w:left="40"/>
              <w:spacing w:after="0" w:line="201" w:lineRule="exact"/>
              <w:rPr>
                <w:sz w:val="20"/>
                <w:szCs w:val="20"/>
                <w:color w:val="auto"/>
              </w:rPr>
            </w:pPr>
            <w:r>
              <w:rPr>
                <w:rFonts w:ascii="Times New Roman" w:cs="Times New Roman" w:eastAsia="Times New Roman" w:hAnsi="Times New Roman"/>
                <w:sz w:val="18"/>
                <w:szCs w:val="18"/>
                <w:b w:val="1"/>
                <w:bCs w:val="1"/>
                <w:color w:val="auto"/>
              </w:rPr>
              <w:t>More than 12</w:t>
            </w:r>
          </w:p>
        </w:tc>
        <w:tc>
          <w:tcPr>
            <w:tcW w:w="220" w:type="dxa"/>
            <w:vAlign w:val="bottom"/>
          </w:tcPr>
          <w:p>
            <w:pPr>
              <w:spacing w:after="0"/>
              <w:rPr>
                <w:sz w:val="17"/>
                <w:szCs w:val="17"/>
                <w:color w:val="auto"/>
              </w:rPr>
            </w:pPr>
          </w:p>
        </w:tc>
        <w:tc>
          <w:tcPr>
            <w:tcW w:w="1320" w:type="dxa"/>
            <w:vAlign w:val="bottom"/>
            <w:gridSpan w:val="2"/>
          </w:tcPr>
          <w:p>
            <w:pPr>
              <w:jc w:val="center"/>
              <w:ind w:right="340"/>
              <w:spacing w:after="0" w:line="201" w:lineRule="exact"/>
              <w:rPr>
                <w:sz w:val="20"/>
                <w:szCs w:val="20"/>
                <w:color w:val="auto"/>
              </w:rPr>
            </w:pPr>
            <w:r>
              <w:rPr>
                <w:rFonts w:ascii="Times New Roman" w:cs="Times New Roman" w:eastAsia="Times New Roman" w:hAnsi="Times New Roman"/>
                <w:sz w:val="18"/>
                <w:szCs w:val="18"/>
                <w:b w:val="1"/>
                <w:bCs w:val="1"/>
                <w:color w:val="auto"/>
              </w:rPr>
              <w:t>Fair</w:t>
            </w:r>
          </w:p>
        </w:tc>
        <w:tc>
          <w:tcPr>
            <w:tcW w:w="1600" w:type="dxa"/>
            <w:vAlign w:val="bottom"/>
          </w:tcPr>
          <w:p>
            <w:pPr>
              <w:jc w:val="center"/>
              <w:spacing w:after="0" w:line="201" w:lineRule="exact"/>
              <w:rPr>
                <w:sz w:val="20"/>
                <w:szCs w:val="20"/>
                <w:color w:val="auto"/>
              </w:rPr>
            </w:pPr>
            <w:r>
              <w:rPr>
                <w:rFonts w:ascii="Times New Roman" w:cs="Times New Roman" w:eastAsia="Times New Roman" w:hAnsi="Times New Roman"/>
                <w:sz w:val="18"/>
                <w:szCs w:val="18"/>
                <w:b w:val="1"/>
                <w:bCs w:val="1"/>
                <w:color w:val="auto"/>
                <w:w w:val="99"/>
              </w:rPr>
              <w:t>Estimated</w:t>
            </w:r>
          </w:p>
        </w:tc>
      </w:tr>
      <w:tr>
        <w:trPr>
          <w:trHeight w:val="259"/>
        </w:trPr>
        <w:tc>
          <w:tcPr>
            <w:tcW w:w="1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Category</w:t>
            </w:r>
          </w:p>
        </w:tc>
        <w:tc>
          <w:tcPr>
            <w:tcW w:w="1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Cost</w:t>
            </w:r>
          </w:p>
        </w:tc>
        <w:tc>
          <w:tcPr>
            <w:tcW w:w="100" w:type="dxa"/>
            <w:vAlign w:val="bottom"/>
          </w:tcPr>
          <w:p>
            <w:pPr>
              <w:spacing w:after="0"/>
              <w:rPr>
                <w:sz w:val="22"/>
                <w:szCs w:val="22"/>
                <w:color w:val="auto"/>
              </w:rPr>
            </w:pPr>
          </w:p>
        </w:tc>
        <w:tc>
          <w:tcPr>
            <w:tcW w:w="1200" w:type="dxa"/>
            <w:vAlign w:val="bottom"/>
            <w:tcBorders>
              <w:bottom w:val="single" w:sz="8" w:color="auto"/>
            </w:tcBorders>
          </w:tcPr>
          <w:p>
            <w:pPr>
              <w:jc w:val="center"/>
              <w:ind w:left="130"/>
              <w:spacing w:after="0"/>
              <w:rPr>
                <w:sz w:val="20"/>
                <w:szCs w:val="20"/>
                <w:color w:val="auto"/>
              </w:rPr>
            </w:pPr>
            <w:r>
              <w:rPr>
                <w:rFonts w:ascii="Times New Roman" w:cs="Times New Roman" w:eastAsia="Times New Roman" w:hAnsi="Times New Roman"/>
                <w:sz w:val="18"/>
                <w:szCs w:val="18"/>
                <w:b w:val="1"/>
                <w:bCs w:val="1"/>
                <w:color w:val="auto"/>
              </w:rPr>
              <w:t>Gains</w:t>
            </w:r>
          </w:p>
        </w:tc>
        <w:tc>
          <w:tcPr>
            <w:tcW w:w="240" w:type="dxa"/>
            <w:vAlign w:val="bottom"/>
            <w:tcBorders>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Months</w:t>
            </w:r>
          </w:p>
        </w:tc>
        <w:tc>
          <w:tcPr>
            <w:tcW w:w="1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Months</w:t>
            </w:r>
          </w:p>
        </w:tc>
        <w:tc>
          <w:tcPr>
            <w:tcW w:w="8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80" w:type="dxa"/>
            <w:vAlign w:val="bottom"/>
          </w:tcPr>
          <w:p>
            <w:pPr>
              <w:spacing w:after="0"/>
              <w:rPr>
                <w:sz w:val="22"/>
                <w:szCs w:val="22"/>
                <w:color w:val="auto"/>
              </w:rPr>
            </w:pPr>
          </w:p>
        </w:tc>
        <w:tc>
          <w:tcPr>
            <w:tcW w:w="1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Fair Value</w:t>
            </w:r>
          </w:p>
        </w:tc>
      </w:tr>
      <w:tr>
        <w:trPr>
          <w:trHeight w:val="464"/>
        </w:trPr>
        <w:tc>
          <w:tcPr>
            <w:tcW w:w="19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Held-to-Maturity</w:t>
            </w: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245"/>
        </w:trPr>
        <w:tc>
          <w:tcPr>
            <w:tcW w:w="19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Securities:</w:t>
            </w:r>
          </w:p>
        </w:tc>
        <w:tc>
          <w:tcPr>
            <w:tcW w:w="2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0" w:type="dxa"/>
            <w:vAlign w:val="bottom"/>
          </w:tcPr>
          <w:p>
            <w:pPr>
              <w:spacing w:after="0"/>
              <w:rPr>
                <w:sz w:val="21"/>
                <w:szCs w:val="21"/>
                <w:color w:val="auto"/>
              </w:rPr>
            </w:pPr>
          </w:p>
        </w:tc>
      </w:tr>
      <w:tr>
        <w:trPr>
          <w:trHeight w:val="263"/>
        </w:trPr>
        <w:tc>
          <w:tcPr>
            <w:tcW w:w="1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Treasury securities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1,229,170</w:t>
            </w:r>
          </w:p>
        </w:tc>
        <w:tc>
          <w:tcPr>
            <w:tcW w:w="100" w:type="dxa"/>
            <w:vAlign w:val="bottom"/>
            <w:shd w:val="clear" w:color="auto" w:fill="CCEEFF"/>
          </w:tcPr>
          <w:p>
            <w:pPr>
              <w:spacing w:after="0"/>
              <w:rPr>
                <w:sz w:val="22"/>
                <w:szCs w:val="22"/>
                <w:color w:val="auto"/>
              </w:rPr>
            </w:pPr>
          </w:p>
        </w:tc>
        <w:tc>
          <w:tcPr>
            <w:tcW w:w="1200" w:type="dxa"/>
            <w:vAlign w:val="bottom"/>
            <w:shd w:val="clear" w:color="auto" w:fill="CCEEFF"/>
          </w:tcPr>
          <w:p>
            <w:pPr>
              <w:jc w:val="right"/>
              <w:ind w:right="101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(39,630)</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(15,990)</w:t>
            </w: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1,173,550</w:t>
            </w:r>
          </w:p>
        </w:tc>
        <w:tc>
          <w:tcPr>
            <w:tcW w:w="80" w:type="dxa"/>
            <w:vAlign w:val="bottom"/>
            <w:shd w:val="clear" w:color="auto" w:fill="CCEEFF"/>
          </w:tcPr>
          <w:p>
            <w:pPr>
              <w:spacing w:after="0"/>
              <w:rPr>
                <w:sz w:val="22"/>
                <w:szCs w:val="22"/>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19.7 %</w:t>
            </w:r>
          </w:p>
        </w:tc>
      </w:tr>
      <w:tr>
        <w:trPr>
          <w:trHeight w:val="270"/>
        </w:trPr>
        <w:tc>
          <w:tcPr>
            <w:tcW w:w="1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0" w:type="dxa"/>
            <w:vAlign w:val="bottom"/>
          </w:tcPr>
          <w:p>
            <w:pPr>
              <w:spacing w:after="0"/>
              <w:rPr>
                <w:sz w:val="23"/>
                <w:szCs w:val="23"/>
                <w:color w:val="auto"/>
              </w:rPr>
            </w:pPr>
          </w:p>
        </w:tc>
      </w:tr>
      <w:tr>
        <w:trPr>
          <w:trHeight w:val="211"/>
        </w:trPr>
        <w:tc>
          <w:tcPr>
            <w:tcW w:w="1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Political subdivisions of</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r>
      <w:tr>
        <w:trPr>
          <w:trHeight w:val="203"/>
        </w:trPr>
        <w:tc>
          <w:tcPr>
            <w:tcW w:w="1960" w:type="dxa"/>
            <w:vAlign w:val="bottom"/>
            <w:gridSpan w:val="2"/>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States, Territories and</w:t>
            </w: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r>
      <w:tr>
        <w:trPr>
          <w:trHeight w:val="261"/>
        </w:trPr>
        <w:tc>
          <w:tcPr>
            <w:tcW w:w="1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Possessions</w:t>
            </w:r>
          </w:p>
        </w:tc>
        <w:tc>
          <w:tcPr>
            <w:tcW w:w="20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499,719</w:t>
            </w:r>
          </w:p>
        </w:tc>
        <w:tc>
          <w:tcPr>
            <w:tcW w:w="10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499,065</w:t>
            </w:r>
          </w:p>
        </w:tc>
        <w:tc>
          <w:tcPr>
            <w:tcW w:w="80" w:type="dxa"/>
            <w:vAlign w:val="bottom"/>
            <w:shd w:val="clear" w:color="auto" w:fill="CCEEFF"/>
          </w:tcPr>
          <w:p>
            <w:pPr>
              <w:spacing w:after="0"/>
              <w:rPr>
                <w:sz w:val="22"/>
                <w:szCs w:val="22"/>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8.4 %</w:t>
            </w:r>
          </w:p>
        </w:tc>
      </w:tr>
      <w:tr>
        <w:trPr>
          <w:trHeight w:val="270"/>
        </w:trPr>
        <w:tc>
          <w:tcPr>
            <w:tcW w:w="1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0" w:type="dxa"/>
            <w:vAlign w:val="bottom"/>
          </w:tcPr>
          <w:p>
            <w:pPr>
              <w:spacing w:after="0"/>
              <w:rPr>
                <w:sz w:val="23"/>
                <w:szCs w:val="23"/>
                <w:color w:val="auto"/>
              </w:rPr>
            </w:pPr>
          </w:p>
        </w:tc>
      </w:tr>
      <w:tr>
        <w:trPr>
          <w:trHeight w:val="256"/>
        </w:trPr>
        <w:tc>
          <w:tcPr>
            <w:tcW w:w="1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Exchange traded debt</w:t>
            </w:r>
          </w:p>
        </w:tc>
        <w:tc>
          <w:tcPr>
            <w:tcW w:w="20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304,111</w:t>
            </w:r>
          </w:p>
        </w:tc>
        <w:tc>
          <w:tcPr>
            <w:tcW w:w="10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(55,611)</w:t>
            </w: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248,500</w:t>
            </w:r>
          </w:p>
        </w:tc>
        <w:tc>
          <w:tcPr>
            <w:tcW w:w="80" w:type="dxa"/>
            <w:vAlign w:val="bottom"/>
            <w:shd w:val="clear" w:color="auto" w:fill="CCEEFF"/>
          </w:tcPr>
          <w:p>
            <w:pPr>
              <w:spacing w:after="0"/>
              <w:rPr>
                <w:sz w:val="22"/>
                <w:szCs w:val="22"/>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4.2 %</w:t>
            </w:r>
          </w:p>
        </w:tc>
      </w:tr>
      <w:tr>
        <w:trPr>
          <w:trHeight w:val="270"/>
        </w:trPr>
        <w:tc>
          <w:tcPr>
            <w:tcW w:w="1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0" w:type="dxa"/>
            <w:vAlign w:val="bottom"/>
          </w:tcPr>
          <w:p>
            <w:pPr>
              <w:spacing w:after="0"/>
              <w:rPr>
                <w:sz w:val="23"/>
                <w:szCs w:val="23"/>
                <w:color w:val="auto"/>
              </w:rPr>
            </w:pPr>
          </w:p>
        </w:tc>
      </w:tr>
      <w:tr>
        <w:trPr>
          <w:trHeight w:val="211"/>
        </w:trPr>
        <w:tc>
          <w:tcPr>
            <w:tcW w:w="1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and other</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r>
      <w:tr>
        <w:trPr>
          <w:trHeight w:val="203"/>
        </w:trPr>
        <w:tc>
          <w:tcPr>
            <w:tcW w:w="1960" w:type="dxa"/>
            <w:vAlign w:val="bottom"/>
            <w:gridSpan w:val="2"/>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bonds Industrial and</w:t>
            </w: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r>
      <w:tr>
        <w:trPr>
          <w:trHeight w:val="255"/>
        </w:trPr>
        <w:tc>
          <w:tcPr>
            <w:tcW w:w="1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miscellaneous</w:t>
            </w:r>
          </w:p>
        </w:tc>
        <w:tc>
          <w:tcPr>
            <w:tcW w:w="20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5,014,342</w:t>
            </w:r>
          </w:p>
        </w:tc>
        <w:tc>
          <w:tcPr>
            <w:tcW w:w="100" w:type="dxa"/>
            <w:vAlign w:val="bottom"/>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(976,192)</w:t>
            </w:r>
          </w:p>
        </w:tc>
        <w:tc>
          <w:tcPr>
            <w:tcW w:w="8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4,038,150</w:t>
            </w:r>
          </w:p>
        </w:tc>
        <w:tc>
          <w:tcPr>
            <w:tcW w:w="80" w:type="dxa"/>
            <w:vAlign w:val="bottom"/>
            <w:shd w:val="clear" w:color="auto" w:fill="CCEEFF"/>
          </w:tcPr>
          <w:p>
            <w:pPr>
              <w:spacing w:after="0"/>
              <w:rPr>
                <w:sz w:val="22"/>
                <w:szCs w:val="22"/>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67.8 %</w:t>
            </w:r>
          </w:p>
        </w:tc>
      </w:tr>
      <w:tr>
        <w:trPr>
          <w:trHeight w:val="257"/>
        </w:trPr>
        <w:tc>
          <w:tcPr>
            <w:tcW w:w="1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0" w:type="dxa"/>
            <w:vAlign w:val="bottom"/>
          </w:tcPr>
          <w:p>
            <w:pPr>
              <w:spacing w:after="0"/>
              <w:rPr>
                <w:sz w:val="22"/>
                <w:szCs w:val="22"/>
                <w:color w:val="auto"/>
              </w:rPr>
            </w:pPr>
          </w:p>
        </w:tc>
      </w:tr>
      <w:tr>
        <w:trPr>
          <w:trHeight w:val="275"/>
        </w:trPr>
        <w:tc>
          <w:tcPr>
            <w:tcW w:w="19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7,047,342</w:t>
            </w:r>
          </w:p>
        </w:tc>
        <w:tc>
          <w:tcPr>
            <w:tcW w:w="1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101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(40,284)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(1,047,793)</w:t>
            </w:r>
          </w:p>
        </w:tc>
        <w:tc>
          <w:tcPr>
            <w:tcW w:w="8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5,959,265</w:t>
            </w:r>
          </w:p>
        </w:tc>
        <w:tc>
          <w:tcPr>
            <w:tcW w:w="8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r>
      <w:tr>
        <w:trPr>
          <w:trHeight w:val="20"/>
        </w:trPr>
        <w:tc>
          <w:tcPr>
            <w:tcW w:w="1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Held-to-maturity U.S. Treasury securities are held in trust pursuant to various states’ minimum fund requirements.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summary of the amortized cost and fair value of our investments in held-to-maturity securities by contractual maturity as of March 31, 2025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2024 is shown below:</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2840" w:type="dxa"/>
            <w:vAlign w:val="bottom"/>
            <w:tcBorders>
              <w:bottom w:val="single" w:sz="8" w:color="auto"/>
            </w:tcBorders>
            <w:gridSpan w:val="4"/>
          </w:tcPr>
          <w:p>
            <w:pPr>
              <w:jc w:val="right"/>
              <w:ind w:right="830"/>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1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2840" w:type="dxa"/>
            <w:vAlign w:val="bottom"/>
            <w:tcBorders>
              <w:bottom w:val="single" w:sz="8" w:color="auto"/>
            </w:tcBorders>
            <w:gridSpan w:val="4"/>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December 31, 2024</w:t>
            </w:r>
          </w:p>
        </w:tc>
      </w:tr>
      <w:tr>
        <w:trPr>
          <w:trHeight w:val="207"/>
        </w:trPr>
        <w:tc>
          <w:tcPr>
            <w:tcW w:w="4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Amortized</w:t>
            </w:r>
          </w:p>
        </w:tc>
        <w:tc>
          <w:tcPr>
            <w:tcW w:w="220" w:type="dxa"/>
            <w:vAlign w:val="bottom"/>
          </w:tcPr>
          <w:p>
            <w:pPr>
              <w:spacing w:after="0"/>
              <w:rPr>
                <w:sz w:val="18"/>
                <w:szCs w:val="18"/>
                <w:color w:val="auto"/>
              </w:rPr>
            </w:pPr>
          </w:p>
        </w:tc>
        <w:tc>
          <w:tcPr>
            <w:tcW w:w="136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Estimated</w:t>
            </w:r>
          </w:p>
        </w:tc>
        <w:tc>
          <w:tcPr>
            <w:tcW w:w="220" w:type="dxa"/>
            <w:vAlign w:val="bottom"/>
          </w:tcPr>
          <w:p>
            <w:pPr>
              <w:spacing w:after="0"/>
              <w:rPr>
                <w:sz w:val="18"/>
                <w:szCs w:val="18"/>
                <w:color w:val="auto"/>
              </w:rPr>
            </w:pPr>
          </w:p>
        </w:tc>
        <w:tc>
          <w:tcPr>
            <w:tcW w:w="13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Amortized</w:t>
            </w:r>
          </w:p>
        </w:tc>
        <w:tc>
          <w:tcPr>
            <w:tcW w:w="220" w:type="dxa"/>
            <w:vAlign w:val="bottom"/>
          </w:tcPr>
          <w:p>
            <w:pPr>
              <w:spacing w:after="0"/>
              <w:rPr>
                <w:sz w:val="18"/>
                <w:szCs w:val="18"/>
                <w:color w:val="auto"/>
              </w:rPr>
            </w:pPr>
          </w:p>
        </w:tc>
        <w:tc>
          <w:tcPr>
            <w:tcW w:w="126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Estimated</w:t>
            </w:r>
          </w:p>
        </w:tc>
      </w:tr>
      <w:tr>
        <w:trPr>
          <w:trHeight w:val="245"/>
        </w:trPr>
        <w:tc>
          <w:tcPr>
            <w:tcW w:w="50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Remaining Time to Maturity</w:t>
            </w:r>
          </w:p>
        </w:tc>
        <w:tc>
          <w:tcPr>
            <w:tcW w:w="220" w:type="dxa"/>
            <w:vAlign w:val="bottom"/>
          </w:tcPr>
          <w:p>
            <w:pPr>
              <w:spacing w:after="0"/>
              <w:rPr>
                <w:sz w:val="21"/>
                <w:szCs w:val="21"/>
                <w:color w:val="auto"/>
              </w:rPr>
            </w:pPr>
          </w:p>
        </w:tc>
        <w:tc>
          <w:tcPr>
            <w:tcW w:w="13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7"/>
              </w:rPr>
              <w:t>Cost</w:t>
            </w:r>
          </w:p>
        </w:tc>
        <w:tc>
          <w:tcPr>
            <w:tcW w:w="220" w:type="dxa"/>
            <w:vAlign w:val="bottom"/>
          </w:tcPr>
          <w:p>
            <w:pPr>
              <w:spacing w:after="0"/>
              <w:rPr>
                <w:sz w:val="21"/>
                <w:szCs w:val="21"/>
                <w:color w:val="auto"/>
              </w:rPr>
            </w:pPr>
          </w:p>
        </w:tc>
        <w:tc>
          <w:tcPr>
            <w:tcW w:w="136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220" w:type="dxa"/>
            <w:vAlign w:val="bottom"/>
          </w:tcPr>
          <w:p>
            <w:pPr>
              <w:spacing w:after="0"/>
              <w:rPr>
                <w:sz w:val="21"/>
                <w:szCs w:val="21"/>
                <w:color w:val="auto"/>
              </w:rPr>
            </w:pPr>
          </w:p>
        </w:tc>
        <w:tc>
          <w:tcPr>
            <w:tcW w:w="13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Cost</w:t>
            </w:r>
          </w:p>
        </w:tc>
        <w:tc>
          <w:tcPr>
            <w:tcW w:w="220" w:type="dxa"/>
            <w:vAlign w:val="bottom"/>
          </w:tcPr>
          <w:p>
            <w:pPr>
              <w:spacing w:after="0"/>
              <w:rPr>
                <w:sz w:val="21"/>
                <w:szCs w:val="21"/>
                <w:color w:val="auto"/>
              </w:rPr>
            </w:pPr>
          </w:p>
        </w:tc>
        <w:tc>
          <w:tcPr>
            <w:tcW w:w="126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Fair Value</w:t>
            </w:r>
          </w:p>
        </w:tc>
      </w:tr>
      <w:tr>
        <w:trPr>
          <w:trHeight w:val="257"/>
        </w:trPr>
        <w:tc>
          <w:tcPr>
            <w:tcW w:w="4940" w:type="dxa"/>
            <w:vAlign w:val="bottom"/>
            <w:tcBorders>
              <w:top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12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12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12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1260" w:type="dxa"/>
            <w:vAlign w:val="bottom"/>
            <w:tcBorders>
              <w:top w:val="single" w:sz="8" w:color="auto"/>
            </w:tcBorders>
          </w:tcPr>
          <w:p>
            <w:pPr>
              <w:spacing w:after="0"/>
              <w:rPr>
                <w:sz w:val="22"/>
                <w:szCs w:val="22"/>
                <w:color w:val="auto"/>
              </w:rPr>
            </w:pPr>
          </w:p>
        </w:tc>
      </w:tr>
      <w:tr>
        <w:trPr>
          <w:trHeight w:val="256"/>
        </w:trPr>
        <w:tc>
          <w:tcPr>
            <w:tcW w:w="5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than one year</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499,859</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499,820</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499,719</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499,065</w:t>
            </w:r>
          </w:p>
        </w:tc>
      </w:tr>
      <w:tr>
        <w:trPr>
          <w:trHeight w:val="250"/>
        </w:trPr>
        <w:tc>
          <w:tcPr>
            <w:tcW w:w="5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One to five years</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2,053,225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1,949,757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622,375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600,288</w:t>
            </w:r>
          </w:p>
        </w:tc>
      </w:tr>
      <w:tr>
        <w:trPr>
          <w:trHeight w:val="263"/>
        </w:trPr>
        <w:tc>
          <w:tcPr>
            <w:tcW w:w="5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Five to ten years</w:t>
            </w: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1,427,579</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1,323,600</w:t>
            </w:r>
          </w:p>
        </w:tc>
      </w:tr>
      <w:tr>
        <w:trPr>
          <w:trHeight w:val="250"/>
        </w:trPr>
        <w:tc>
          <w:tcPr>
            <w:tcW w:w="50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More than 10 years</w:t>
            </w: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4,492,939</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3,526,910</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4,497,669</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3,536,312</w:t>
            </w:r>
          </w:p>
        </w:tc>
      </w:tr>
      <w:tr>
        <w:trPr>
          <w:trHeight w:val="275"/>
        </w:trPr>
        <w:tc>
          <w:tcPr>
            <w:tcW w:w="50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7,046,023</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5,976,487</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7,047,342</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5,959,265</w:t>
            </w:r>
          </w:p>
        </w:tc>
      </w:tr>
      <w:tr>
        <w:trPr>
          <w:trHeight w:val="20"/>
        </w:trPr>
        <w:tc>
          <w:tcPr>
            <w:tcW w:w="49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Rating of Fixed-Maturity Securities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table below summarizes the credit quality of our available-for-sale fixed-maturity securities as of March 31, 2025 and December 31, 2024 as rated by Standard &amp; Poor’s (or, if unavailable from Standard &amp; Poor’s, then Moody’s, Fitch, or Kroll):</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8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2940" w:type="dxa"/>
            <w:vAlign w:val="bottom"/>
            <w:tcBorders>
              <w:bottom w:val="single" w:sz="8" w:color="auto"/>
            </w:tcBorders>
            <w:gridSpan w:val="3"/>
          </w:tcPr>
          <w:p>
            <w:pPr>
              <w:jc w:val="right"/>
              <w:ind w:right="890"/>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1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2940" w:type="dxa"/>
            <w:vAlign w:val="bottom"/>
            <w:tcBorders>
              <w:bottom w:val="single" w:sz="8" w:color="auto"/>
            </w:tcBorders>
            <w:gridSpan w:val="3"/>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0" w:type="dxa"/>
            <w:vAlign w:val="bottom"/>
          </w:tcPr>
          <w:p>
            <w:pPr>
              <w:spacing w:after="0"/>
              <w:rPr>
                <w:sz w:val="1"/>
                <w:szCs w:val="1"/>
                <w:color w:val="auto"/>
              </w:rPr>
            </w:pPr>
          </w:p>
        </w:tc>
      </w:tr>
      <w:tr>
        <w:trPr>
          <w:trHeight w:val="207"/>
        </w:trPr>
        <w:tc>
          <w:tcPr>
            <w:tcW w:w="4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Estimated</w:t>
            </w:r>
          </w:p>
        </w:tc>
        <w:tc>
          <w:tcPr>
            <w:tcW w:w="17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Percentage of</w:t>
            </w:r>
          </w:p>
        </w:tc>
        <w:tc>
          <w:tcPr>
            <w:tcW w:w="220" w:type="dxa"/>
            <w:vAlign w:val="bottom"/>
          </w:tcPr>
          <w:p>
            <w:pPr>
              <w:spacing w:after="0"/>
              <w:rPr>
                <w:sz w:val="18"/>
                <w:szCs w:val="18"/>
                <w:color w:val="auto"/>
              </w:rPr>
            </w:pPr>
          </w:p>
        </w:tc>
        <w:tc>
          <w:tcPr>
            <w:tcW w:w="13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Estimated</w:t>
            </w:r>
          </w:p>
        </w:tc>
        <w:tc>
          <w:tcPr>
            <w:tcW w:w="16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Percentage of</w:t>
            </w:r>
          </w:p>
        </w:tc>
        <w:tc>
          <w:tcPr>
            <w:tcW w:w="0" w:type="dxa"/>
            <w:vAlign w:val="bottom"/>
          </w:tcPr>
          <w:p>
            <w:pPr>
              <w:spacing w:after="0"/>
              <w:rPr>
                <w:sz w:val="1"/>
                <w:szCs w:val="1"/>
                <w:color w:val="auto"/>
              </w:rPr>
            </w:pPr>
          </w:p>
        </w:tc>
      </w:tr>
      <w:tr>
        <w:trPr>
          <w:trHeight w:val="49"/>
        </w:trPr>
        <w:tc>
          <w:tcPr>
            <w:tcW w:w="48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34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Fair</w:t>
            </w:r>
          </w:p>
        </w:tc>
        <w:tc>
          <w:tcPr>
            <w:tcW w:w="17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Estimated</w:t>
            </w:r>
          </w:p>
        </w:tc>
        <w:tc>
          <w:tcPr>
            <w:tcW w:w="220" w:type="dxa"/>
            <w:vAlign w:val="bottom"/>
          </w:tcPr>
          <w:p>
            <w:pPr>
              <w:spacing w:after="0"/>
              <w:rPr>
                <w:sz w:val="4"/>
                <w:szCs w:val="4"/>
                <w:color w:val="auto"/>
              </w:rPr>
            </w:pPr>
          </w:p>
        </w:tc>
        <w:tc>
          <w:tcPr>
            <w:tcW w:w="134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Fair</w:t>
            </w:r>
          </w:p>
        </w:tc>
        <w:tc>
          <w:tcPr>
            <w:tcW w:w="16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4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gridSpan w:val="2"/>
            <w:vMerge w:val="continue"/>
          </w:tcPr>
          <w:p>
            <w:pPr>
              <w:spacing w:after="0"/>
              <w:rPr>
                <w:sz w:val="15"/>
                <w:szCs w:val="15"/>
                <w:color w:val="auto"/>
              </w:rPr>
            </w:pPr>
          </w:p>
        </w:tc>
        <w:tc>
          <w:tcPr>
            <w:tcW w:w="170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gridSpan w:val="2"/>
            <w:vMerge w:val="continue"/>
          </w:tcPr>
          <w:p>
            <w:pPr>
              <w:spacing w:after="0"/>
              <w:rPr>
                <w:sz w:val="15"/>
                <w:szCs w:val="15"/>
                <w:color w:val="auto"/>
              </w:rPr>
            </w:pPr>
          </w:p>
        </w:tc>
        <w:tc>
          <w:tcPr>
            <w:tcW w:w="16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Estimated</w:t>
            </w:r>
          </w:p>
        </w:tc>
        <w:tc>
          <w:tcPr>
            <w:tcW w:w="0" w:type="dxa"/>
            <w:vAlign w:val="bottom"/>
          </w:tcPr>
          <w:p>
            <w:pPr>
              <w:spacing w:after="0"/>
              <w:rPr>
                <w:sz w:val="1"/>
                <w:szCs w:val="1"/>
                <w:color w:val="auto"/>
              </w:rPr>
            </w:pPr>
          </w:p>
        </w:tc>
      </w:tr>
      <w:tr>
        <w:trPr>
          <w:trHeight w:val="243"/>
        </w:trPr>
        <w:tc>
          <w:tcPr>
            <w:tcW w:w="48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17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6"/>
              </w:rPr>
              <w:t>Fair Value</w:t>
            </w:r>
          </w:p>
        </w:tc>
        <w:tc>
          <w:tcPr>
            <w:tcW w:w="220" w:type="dxa"/>
            <w:vAlign w:val="bottom"/>
          </w:tcPr>
          <w:p>
            <w:pPr>
              <w:spacing w:after="0"/>
              <w:rPr>
                <w:sz w:val="21"/>
                <w:szCs w:val="21"/>
                <w:color w:val="auto"/>
              </w:rPr>
            </w:pPr>
          </w:p>
        </w:tc>
        <w:tc>
          <w:tcPr>
            <w:tcW w:w="1340" w:type="dxa"/>
            <w:vAlign w:val="bottom"/>
            <w:gridSpan w:val="2"/>
          </w:tcPr>
          <w:p>
            <w:pPr>
              <w:ind w:left="30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Fair Value</w:t>
            </w:r>
          </w:p>
        </w:tc>
        <w:tc>
          <w:tcPr>
            <w:tcW w:w="0" w:type="dxa"/>
            <w:vAlign w:val="bottom"/>
          </w:tcPr>
          <w:p>
            <w:pPr>
              <w:spacing w:after="0"/>
              <w:rPr>
                <w:sz w:val="1"/>
                <w:szCs w:val="1"/>
                <w:color w:val="auto"/>
              </w:rPr>
            </w:pPr>
          </w:p>
        </w:tc>
      </w:tr>
      <w:tr>
        <w:trPr>
          <w:trHeight w:val="500"/>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Rating</w:t>
            </w:r>
          </w:p>
        </w:tc>
        <w:tc>
          <w:tcPr>
            <w:tcW w:w="22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Treasury securities</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4,991,750</w:t>
            </w:r>
          </w:p>
        </w:tc>
        <w:tc>
          <w:tcPr>
            <w:tcW w:w="100" w:type="dxa"/>
            <w:vAlign w:val="bottom"/>
            <w:shd w:val="clear" w:color="auto" w:fill="CCEEFF"/>
          </w:tcPr>
          <w:p>
            <w:pPr>
              <w:spacing w:after="0"/>
              <w:rPr>
                <w:sz w:val="22"/>
                <w:szCs w:val="22"/>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2.4 %</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57"/>
        </w:trPr>
        <w:tc>
          <w:tcPr>
            <w:tcW w:w="482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12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12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and municipal bonds</w:t>
            </w:r>
          </w:p>
        </w:tc>
        <w:tc>
          <w:tcPr>
            <w:tcW w:w="22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AAA</w:t>
            </w:r>
          </w:p>
        </w:tc>
        <w:tc>
          <w:tcPr>
            <w:tcW w:w="2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3,297,183</w:t>
            </w:r>
          </w:p>
        </w:tc>
        <w:tc>
          <w:tcPr>
            <w:tcW w:w="1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3,232,352</w:t>
            </w:r>
          </w:p>
        </w:tc>
        <w:tc>
          <w:tcPr>
            <w:tcW w:w="1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1.7 %</w:t>
            </w:r>
          </w:p>
        </w:tc>
        <w:tc>
          <w:tcPr>
            <w:tcW w:w="0" w:type="dxa"/>
            <w:vAlign w:val="bottom"/>
          </w:tcPr>
          <w:p>
            <w:pPr>
              <w:spacing w:after="0"/>
              <w:rPr>
                <w:sz w:val="1"/>
                <w:szCs w:val="1"/>
                <w:color w:val="auto"/>
              </w:rPr>
            </w:pPr>
          </w:p>
        </w:tc>
      </w:tr>
      <w:tr>
        <w:trPr>
          <w:trHeight w:val="263"/>
        </w:trPr>
        <w:tc>
          <w:tcPr>
            <w:tcW w:w="4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AA</w:t>
            </w:r>
          </w:p>
        </w:tc>
        <w:tc>
          <w:tcPr>
            <w:tcW w:w="22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23,320,355</w:t>
            </w:r>
          </w:p>
        </w:tc>
        <w:tc>
          <w:tcPr>
            <w:tcW w:w="100" w:type="dxa"/>
            <w:vAlign w:val="bottom"/>
            <w:shd w:val="clear" w:color="auto" w:fill="CCEEFF"/>
          </w:tcPr>
          <w:p>
            <w:pPr>
              <w:spacing w:after="0"/>
              <w:rPr>
                <w:sz w:val="22"/>
                <w:szCs w:val="22"/>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11.4 %</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22,844,557</w:t>
            </w:r>
          </w:p>
        </w:tc>
        <w:tc>
          <w:tcPr>
            <w:tcW w:w="100" w:type="dxa"/>
            <w:vAlign w:val="bottom"/>
            <w:shd w:val="clear" w:color="auto" w:fill="CCEEFF"/>
          </w:tcPr>
          <w:p>
            <w:pPr>
              <w:spacing w:after="0"/>
              <w:rPr>
                <w:sz w:val="22"/>
                <w:szCs w:val="22"/>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12.2 %</w:t>
            </w:r>
          </w:p>
        </w:tc>
        <w:tc>
          <w:tcPr>
            <w:tcW w:w="0" w:type="dxa"/>
            <w:vAlign w:val="bottom"/>
          </w:tcPr>
          <w:p>
            <w:pPr>
              <w:spacing w:after="0"/>
              <w:rPr>
                <w:sz w:val="1"/>
                <w:szCs w:val="1"/>
                <w:color w:val="auto"/>
              </w:rPr>
            </w:pPr>
          </w:p>
        </w:tc>
      </w:tr>
      <w:tr>
        <w:trPr>
          <w:trHeight w:val="250"/>
        </w:trPr>
        <w:tc>
          <w:tcPr>
            <w:tcW w:w="4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w:t>
            </w:r>
          </w:p>
        </w:tc>
        <w:tc>
          <w:tcPr>
            <w:tcW w:w="2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61,321,150</w:t>
            </w:r>
          </w:p>
        </w:tc>
        <w:tc>
          <w:tcPr>
            <w:tcW w:w="1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30.0 %</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61,528,377</w:t>
            </w:r>
          </w:p>
        </w:tc>
        <w:tc>
          <w:tcPr>
            <w:tcW w:w="1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32.9 %</w:t>
            </w:r>
          </w:p>
        </w:tc>
        <w:tc>
          <w:tcPr>
            <w:tcW w:w="0" w:type="dxa"/>
            <w:vAlign w:val="bottom"/>
          </w:tcPr>
          <w:p>
            <w:pPr>
              <w:spacing w:after="0"/>
              <w:rPr>
                <w:sz w:val="1"/>
                <w:szCs w:val="1"/>
                <w:color w:val="auto"/>
              </w:rPr>
            </w:pPr>
          </w:p>
        </w:tc>
      </w:tr>
      <w:tr>
        <w:trPr>
          <w:trHeight w:val="263"/>
        </w:trPr>
        <w:tc>
          <w:tcPr>
            <w:tcW w:w="4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BBB+</w:t>
            </w:r>
          </w:p>
        </w:tc>
        <w:tc>
          <w:tcPr>
            <w:tcW w:w="22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20,063,125</w:t>
            </w:r>
          </w:p>
        </w:tc>
        <w:tc>
          <w:tcPr>
            <w:tcW w:w="100" w:type="dxa"/>
            <w:vAlign w:val="bottom"/>
            <w:shd w:val="clear" w:color="auto" w:fill="CCEEFF"/>
          </w:tcPr>
          <w:p>
            <w:pPr>
              <w:spacing w:after="0"/>
              <w:rPr>
                <w:sz w:val="22"/>
                <w:szCs w:val="22"/>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9.8 %</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20,827,660</w:t>
            </w:r>
          </w:p>
        </w:tc>
        <w:tc>
          <w:tcPr>
            <w:tcW w:w="100" w:type="dxa"/>
            <w:vAlign w:val="bottom"/>
            <w:shd w:val="clear" w:color="auto" w:fill="CCEEFF"/>
          </w:tcPr>
          <w:p>
            <w:pPr>
              <w:spacing w:after="0"/>
              <w:rPr>
                <w:sz w:val="22"/>
                <w:szCs w:val="22"/>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11.1 %</w:t>
            </w:r>
          </w:p>
        </w:tc>
        <w:tc>
          <w:tcPr>
            <w:tcW w:w="0" w:type="dxa"/>
            <w:vAlign w:val="bottom"/>
          </w:tcPr>
          <w:p>
            <w:pPr>
              <w:spacing w:after="0"/>
              <w:rPr>
                <w:sz w:val="1"/>
                <w:szCs w:val="1"/>
                <w:color w:val="auto"/>
              </w:rPr>
            </w:pPr>
          </w:p>
        </w:tc>
      </w:tr>
      <w:tr>
        <w:trPr>
          <w:trHeight w:val="250"/>
        </w:trPr>
        <w:tc>
          <w:tcPr>
            <w:tcW w:w="4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BBB</w:t>
            </w:r>
          </w:p>
        </w:tc>
        <w:tc>
          <w:tcPr>
            <w:tcW w:w="2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12,554,470</w:t>
            </w:r>
          </w:p>
        </w:tc>
        <w:tc>
          <w:tcPr>
            <w:tcW w:w="1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6.1 %</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13,933,733</w:t>
            </w:r>
          </w:p>
        </w:tc>
        <w:tc>
          <w:tcPr>
            <w:tcW w:w="1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7.5 %</w:t>
            </w:r>
          </w:p>
        </w:tc>
        <w:tc>
          <w:tcPr>
            <w:tcW w:w="0" w:type="dxa"/>
            <w:vAlign w:val="bottom"/>
          </w:tcPr>
          <w:p>
            <w:pPr>
              <w:spacing w:after="0"/>
              <w:rPr>
                <w:sz w:val="1"/>
                <w:szCs w:val="1"/>
                <w:color w:val="auto"/>
              </w:rPr>
            </w:pPr>
          </w:p>
        </w:tc>
      </w:tr>
      <w:tr>
        <w:trPr>
          <w:trHeight w:val="263"/>
        </w:trPr>
        <w:tc>
          <w:tcPr>
            <w:tcW w:w="4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BBB-</w:t>
            </w:r>
          </w:p>
        </w:tc>
        <w:tc>
          <w:tcPr>
            <w:tcW w:w="22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957,607</w:t>
            </w:r>
          </w:p>
        </w:tc>
        <w:tc>
          <w:tcPr>
            <w:tcW w:w="100" w:type="dxa"/>
            <w:vAlign w:val="bottom"/>
            <w:shd w:val="clear" w:color="auto" w:fill="CCEEFF"/>
          </w:tcPr>
          <w:p>
            <w:pPr>
              <w:spacing w:after="0"/>
              <w:rPr>
                <w:sz w:val="22"/>
                <w:szCs w:val="22"/>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0.5 %</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1,953,596</w:t>
            </w:r>
          </w:p>
        </w:tc>
        <w:tc>
          <w:tcPr>
            <w:tcW w:w="100" w:type="dxa"/>
            <w:vAlign w:val="bottom"/>
            <w:shd w:val="clear" w:color="auto" w:fill="CCEEFF"/>
          </w:tcPr>
          <w:p>
            <w:pPr>
              <w:spacing w:after="0"/>
              <w:rPr>
                <w:sz w:val="22"/>
                <w:szCs w:val="22"/>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0" w:type="dxa"/>
            <w:vAlign w:val="bottom"/>
          </w:tcPr>
          <w:p>
            <w:pPr>
              <w:spacing w:after="0"/>
              <w:rPr>
                <w:sz w:val="1"/>
                <w:szCs w:val="1"/>
                <w:color w:val="auto"/>
              </w:rPr>
            </w:pPr>
          </w:p>
        </w:tc>
      </w:tr>
      <w:tr>
        <w:trPr>
          <w:trHeight w:val="250"/>
        </w:trPr>
        <w:tc>
          <w:tcPr>
            <w:tcW w:w="48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BB</w:t>
            </w:r>
          </w:p>
        </w:tc>
        <w:tc>
          <w:tcPr>
            <w:tcW w:w="22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996,100</w:t>
            </w:r>
          </w:p>
        </w:tc>
        <w:tc>
          <w:tcPr>
            <w:tcW w:w="100" w:type="dxa"/>
            <w:vAlign w:val="bottom"/>
            <w:tcBorders>
              <w:bottom w:val="single" w:sz="8" w:color="CCEEFF"/>
            </w:tcBorders>
          </w:tcPr>
          <w:p>
            <w:pPr>
              <w:spacing w:after="0"/>
              <w:rPr>
                <w:sz w:val="21"/>
                <w:szCs w:val="21"/>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0.5 %</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991,550</w:t>
            </w:r>
          </w:p>
        </w:tc>
        <w:tc>
          <w:tcPr>
            <w:tcW w:w="100" w:type="dxa"/>
            <w:vAlign w:val="bottom"/>
            <w:tcBorders>
              <w:bottom w:val="single" w:sz="8" w:color="CCEEFF"/>
            </w:tcBorders>
          </w:tcPr>
          <w:p>
            <w:pPr>
              <w:spacing w:after="0"/>
              <w:rPr>
                <w:sz w:val="21"/>
                <w:szCs w:val="21"/>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0.5 %</w:t>
            </w:r>
          </w:p>
        </w:tc>
        <w:tc>
          <w:tcPr>
            <w:tcW w:w="0" w:type="dxa"/>
            <w:vAlign w:val="bottom"/>
          </w:tcPr>
          <w:p>
            <w:pPr>
              <w:spacing w:after="0"/>
              <w:rPr>
                <w:sz w:val="1"/>
                <w:szCs w:val="1"/>
                <w:color w:val="auto"/>
              </w:rPr>
            </w:pPr>
          </w:p>
        </w:tc>
      </w:tr>
      <w:tr>
        <w:trPr>
          <w:trHeight w:val="250"/>
        </w:trPr>
        <w:tc>
          <w:tcPr>
            <w:tcW w:w="4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corporate and municipal bonds</w:t>
            </w:r>
          </w:p>
        </w:tc>
        <w:tc>
          <w:tcPr>
            <w:tcW w:w="22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122,509,990</w:t>
            </w:r>
          </w:p>
        </w:tc>
        <w:tc>
          <w:tcPr>
            <w:tcW w:w="100" w:type="dxa"/>
            <w:vAlign w:val="bottom"/>
            <w:shd w:val="clear" w:color="auto" w:fill="CCEEFF"/>
          </w:tcPr>
          <w:p>
            <w:pPr>
              <w:spacing w:after="0"/>
              <w:rPr>
                <w:sz w:val="21"/>
                <w:szCs w:val="21"/>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59.9 %</w:t>
            </w: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125,311,825</w:t>
            </w:r>
          </w:p>
        </w:tc>
        <w:tc>
          <w:tcPr>
            <w:tcW w:w="100" w:type="dxa"/>
            <w:vAlign w:val="bottom"/>
            <w:shd w:val="clear" w:color="auto" w:fill="CCEEFF"/>
          </w:tcPr>
          <w:p>
            <w:pPr>
              <w:spacing w:after="0"/>
              <w:rPr>
                <w:sz w:val="21"/>
                <w:szCs w:val="21"/>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66.9 %</w:t>
            </w:r>
          </w:p>
        </w:tc>
        <w:tc>
          <w:tcPr>
            <w:tcW w:w="0" w:type="dxa"/>
            <w:vAlign w:val="bottom"/>
          </w:tcPr>
          <w:p>
            <w:pPr>
              <w:spacing w:after="0"/>
              <w:rPr>
                <w:sz w:val="1"/>
                <w:szCs w:val="1"/>
                <w:color w:val="auto"/>
              </w:rPr>
            </w:pPr>
          </w:p>
        </w:tc>
      </w:tr>
      <w:tr>
        <w:trPr>
          <w:trHeight w:val="256"/>
        </w:trPr>
        <w:tc>
          <w:tcPr>
            <w:tcW w:w="48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1"/>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Residential mortgage backed, asset backed, and other</w:t>
            </w: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collateralized obligations</w:t>
            </w:r>
          </w:p>
        </w:tc>
        <w:tc>
          <w:tcPr>
            <w:tcW w:w="22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AAA</w:t>
            </w:r>
          </w:p>
        </w:tc>
        <w:tc>
          <w:tcPr>
            <w:tcW w:w="2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22,059,744</w:t>
            </w:r>
          </w:p>
        </w:tc>
        <w:tc>
          <w:tcPr>
            <w:tcW w:w="1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10.8 %</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15,961,257</w:t>
            </w:r>
          </w:p>
        </w:tc>
        <w:tc>
          <w:tcPr>
            <w:tcW w:w="1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8.5 %</w:t>
            </w:r>
          </w:p>
        </w:tc>
        <w:tc>
          <w:tcPr>
            <w:tcW w:w="0" w:type="dxa"/>
            <w:vAlign w:val="bottom"/>
          </w:tcPr>
          <w:p>
            <w:pPr>
              <w:spacing w:after="0"/>
              <w:rPr>
                <w:sz w:val="1"/>
                <w:szCs w:val="1"/>
                <w:color w:val="auto"/>
              </w:rPr>
            </w:pPr>
          </w:p>
        </w:tc>
      </w:tr>
      <w:tr>
        <w:trPr>
          <w:trHeight w:val="263"/>
        </w:trPr>
        <w:tc>
          <w:tcPr>
            <w:tcW w:w="4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AA</w:t>
            </w:r>
          </w:p>
        </w:tc>
        <w:tc>
          <w:tcPr>
            <w:tcW w:w="22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42,405,640</w:t>
            </w:r>
          </w:p>
        </w:tc>
        <w:tc>
          <w:tcPr>
            <w:tcW w:w="100" w:type="dxa"/>
            <w:vAlign w:val="bottom"/>
            <w:shd w:val="clear" w:color="auto" w:fill="CCEEFF"/>
          </w:tcPr>
          <w:p>
            <w:pPr>
              <w:spacing w:after="0"/>
              <w:rPr>
                <w:sz w:val="22"/>
                <w:szCs w:val="22"/>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20.8 %</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34,893,057</w:t>
            </w:r>
          </w:p>
        </w:tc>
        <w:tc>
          <w:tcPr>
            <w:tcW w:w="100" w:type="dxa"/>
            <w:vAlign w:val="bottom"/>
            <w:shd w:val="clear" w:color="auto" w:fill="CCEEFF"/>
          </w:tcPr>
          <w:p>
            <w:pPr>
              <w:spacing w:after="0"/>
              <w:rPr>
                <w:sz w:val="22"/>
                <w:szCs w:val="22"/>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18.7 %</w:t>
            </w:r>
          </w:p>
        </w:tc>
        <w:tc>
          <w:tcPr>
            <w:tcW w:w="0" w:type="dxa"/>
            <w:vAlign w:val="bottom"/>
          </w:tcPr>
          <w:p>
            <w:pPr>
              <w:spacing w:after="0"/>
              <w:rPr>
                <w:sz w:val="1"/>
                <w:szCs w:val="1"/>
                <w:color w:val="auto"/>
              </w:rPr>
            </w:pPr>
          </w:p>
        </w:tc>
      </w:tr>
      <w:tr>
        <w:trPr>
          <w:trHeight w:val="250"/>
        </w:trPr>
        <w:tc>
          <w:tcPr>
            <w:tcW w:w="4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w:t>
            </w:r>
          </w:p>
        </w:tc>
        <w:tc>
          <w:tcPr>
            <w:tcW w:w="2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11,528,854</w:t>
            </w:r>
          </w:p>
        </w:tc>
        <w:tc>
          <w:tcPr>
            <w:tcW w:w="1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5.6 %</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9,927,371</w:t>
            </w:r>
          </w:p>
        </w:tc>
        <w:tc>
          <w:tcPr>
            <w:tcW w:w="1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5.3 %</w:t>
            </w:r>
          </w:p>
        </w:tc>
        <w:tc>
          <w:tcPr>
            <w:tcW w:w="0" w:type="dxa"/>
            <w:vAlign w:val="bottom"/>
          </w:tcPr>
          <w:p>
            <w:pPr>
              <w:spacing w:after="0"/>
              <w:rPr>
                <w:sz w:val="1"/>
                <w:szCs w:val="1"/>
                <w:color w:val="auto"/>
              </w:rPr>
            </w:pPr>
          </w:p>
        </w:tc>
      </w:tr>
      <w:tr>
        <w:trPr>
          <w:trHeight w:val="263"/>
        </w:trPr>
        <w:tc>
          <w:tcPr>
            <w:tcW w:w="4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CCC</w:t>
            </w:r>
          </w:p>
        </w:tc>
        <w:tc>
          <w:tcPr>
            <w:tcW w:w="22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367,211</w:t>
            </w:r>
          </w:p>
        </w:tc>
        <w:tc>
          <w:tcPr>
            <w:tcW w:w="100" w:type="dxa"/>
            <w:vAlign w:val="bottom"/>
            <w:shd w:val="clear" w:color="auto" w:fill="CCEEFF"/>
          </w:tcPr>
          <w:p>
            <w:pPr>
              <w:spacing w:after="0"/>
              <w:rPr>
                <w:sz w:val="22"/>
                <w:szCs w:val="22"/>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0.2 %</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372,787</w:t>
            </w:r>
          </w:p>
        </w:tc>
        <w:tc>
          <w:tcPr>
            <w:tcW w:w="100" w:type="dxa"/>
            <w:vAlign w:val="bottom"/>
            <w:shd w:val="clear" w:color="auto" w:fill="CCEEFF"/>
          </w:tcPr>
          <w:p>
            <w:pPr>
              <w:spacing w:after="0"/>
              <w:rPr>
                <w:sz w:val="22"/>
                <w:szCs w:val="22"/>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0.2 %</w:t>
            </w:r>
          </w:p>
        </w:tc>
        <w:tc>
          <w:tcPr>
            <w:tcW w:w="0" w:type="dxa"/>
            <w:vAlign w:val="bottom"/>
          </w:tcPr>
          <w:p>
            <w:pPr>
              <w:spacing w:after="0"/>
              <w:rPr>
                <w:sz w:val="1"/>
                <w:szCs w:val="1"/>
                <w:color w:val="auto"/>
              </w:rPr>
            </w:pPr>
          </w:p>
        </w:tc>
      </w:tr>
      <w:tr>
        <w:trPr>
          <w:trHeight w:val="250"/>
        </w:trPr>
        <w:tc>
          <w:tcPr>
            <w:tcW w:w="4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CC</w:t>
            </w:r>
          </w:p>
        </w:tc>
        <w:tc>
          <w:tcPr>
            <w:tcW w:w="2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82,176</w:t>
            </w:r>
          </w:p>
        </w:tc>
        <w:tc>
          <w:tcPr>
            <w:tcW w:w="100" w:type="dxa"/>
            <w:vAlign w:val="bottom"/>
          </w:tcPr>
          <w:p>
            <w:pPr>
              <w:spacing w:after="0"/>
              <w:rPr>
                <w:sz w:val="21"/>
                <w:szCs w:val="21"/>
                <w:color w:val="auto"/>
              </w:rPr>
            </w:pPr>
          </w:p>
        </w:tc>
        <w:tc>
          <w:tcPr>
            <w:tcW w:w="1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82,696</w:t>
            </w:r>
          </w:p>
        </w:tc>
        <w:tc>
          <w:tcPr>
            <w:tcW w:w="1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63"/>
        </w:trPr>
        <w:tc>
          <w:tcPr>
            <w:tcW w:w="4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 rated</w:t>
            </w:r>
          </w:p>
        </w:tc>
        <w:tc>
          <w:tcPr>
            <w:tcW w:w="22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337,004</w:t>
            </w:r>
          </w:p>
        </w:tc>
        <w:tc>
          <w:tcPr>
            <w:tcW w:w="100" w:type="dxa"/>
            <w:vAlign w:val="bottom"/>
            <w:shd w:val="clear" w:color="auto" w:fill="CCEEFF"/>
          </w:tcPr>
          <w:p>
            <w:pPr>
              <w:spacing w:after="0"/>
              <w:rPr>
                <w:sz w:val="22"/>
                <w:szCs w:val="22"/>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0.2 %</w:t>
            </w:r>
          </w:p>
        </w:tc>
        <w:tc>
          <w:tcPr>
            <w:tcW w:w="10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344,445</w:t>
            </w:r>
          </w:p>
        </w:tc>
        <w:tc>
          <w:tcPr>
            <w:tcW w:w="100" w:type="dxa"/>
            <w:vAlign w:val="bottom"/>
            <w:shd w:val="clear" w:color="auto" w:fill="CCEEFF"/>
          </w:tcPr>
          <w:p>
            <w:pPr>
              <w:spacing w:after="0"/>
              <w:rPr>
                <w:sz w:val="22"/>
                <w:szCs w:val="22"/>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0.2 %</w:t>
            </w:r>
          </w:p>
        </w:tc>
        <w:tc>
          <w:tcPr>
            <w:tcW w:w="0" w:type="dxa"/>
            <w:vAlign w:val="bottom"/>
          </w:tcPr>
          <w:p>
            <w:pPr>
              <w:spacing w:after="0"/>
              <w:rPr>
                <w:sz w:val="1"/>
                <w:szCs w:val="1"/>
                <w:color w:val="auto"/>
              </w:rPr>
            </w:pPr>
          </w:p>
        </w:tc>
      </w:tr>
      <w:tr>
        <w:trPr>
          <w:trHeight w:val="191"/>
        </w:trPr>
        <w:tc>
          <w:tcPr>
            <w:tcW w:w="4820" w:type="dxa"/>
            <w:vAlign w:val="bottom"/>
          </w:tcPr>
          <w:p>
            <w:pPr>
              <w:ind w:left="360"/>
              <w:spacing w:after="0" w:line="191" w:lineRule="exact"/>
              <w:rPr>
                <w:sz w:val="20"/>
                <w:szCs w:val="20"/>
                <w:color w:val="auto"/>
              </w:rPr>
            </w:pPr>
            <w:r>
              <w:rPr>
                <w:rFonts w:ascii="Times New Roman" w:cs="Times New Roman" w:eastAsia="Times New Roman" w:hAnsi="Times New Roman"/>
                <w:sz w:val="18"/>
                <w:szCs w:val="18"/>
                <w:color w:val="auto"/>
              </w:rPr>
              <w:t>Total residential mortgage backed, asset backed, and other</w:t>
            </w:r>
          </w:p>
        </w:tc>
        <w:tc>
          <w:tcPr>
            <w:tcW w:w="2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1"/>
        </w:trPr>
        <w:tc>
          <w:tcPr>
            <w:tcW w:w="4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collateralized obligations</w:t>
            </w:r>
          </w:p>
        </w:tc>
        <w:tc>
          <w:tcPr>
            <w:tcW w:w="2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76,780,629</w:t>
            </w:r>
          </w:p>
        </w:tc>
        <w:tc>
          <w:tcPr>
            <w:tcW w:w="100" w:type="dxa"/>
            <w:vAlign w:val="bottom"/>
            <w:tcBorders>
              <w:bottom w:val="single" w:sz="8" w:color="CCEEFF"/>
            </w:tcBorders>
          </w:tcPr>
          <w:p>
            <w:pPr>
              <w:spacing w:after="0"/>
              <w:rPr>
                <w:sz w:val="20"/>
                <w:szCs w:val="20"/>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37.6 %</w:t>
            </w: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61,581,613</w:t>
            </w:r>
          </w:p>
        </w:tc>
        <w:tc>
          <w:tcPr>
            <w:tcW w:w="100" w:type="dxa"/>
            <w:vAlign w:val="bottom"/>
            <w:tcBorders>
              <w:bottom w:val="single" w:sz="8" w:color="CCEEFF"/>
            </w:tcBorders>
          </w:tcPr>
          <w:p>
            <w:pPr>
              <w:spacing w:after="0"/>
              <w:rPr>
                <w:sz w:val="20"/>
                <w:szCs w:val="20"/>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32.9 %</w:t>
            </w:r>
          </w:p>
        </w:tc>
        <w:tc>
          <w:tcPr>
            <w:tcW w:w="0" w:type="dxa"/>
            <w:vAlign w:val="bottom"/>
          </w:tcPr>
          <w:p>
            <w:pPr>
              <w:spacing w:after="0"/>
              <w:rPr>
                <w:sz w:val="1"/>
                <w:szCs w:val="1"/>
                <w:color w:val="auto"/>
              </w:rPr>
            </w:pPr>
          </w:p>
        </w:tc>
      </w:tr>
      <w:tr>
        <w:trPr>
          <w:trHeight w:val="257"/>
        </w:trPr>
        <w:tc>
          <w:tcPr>
            <w:tcW w:w="48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8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204,282,369</w:t>
            </w:r>
          </w:p>
        </w:tc>
        <w:tc>
          <w:tcPr>
            <w:tcW w:w="100" w:type="dxa"/>
            <w:vAlign w:val="bottom"/>
          </w:tcPr>
          <w:p>
            <w:pPr>
              <w:spacing w:after="0"/>
              <w:rPr>
                <w:sz w:val="21"/>
                <w:szCs w:val="21"/>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Pr>
          <w:p>
            <w:pPr>
              <w:spacing w:after="0"/>
              <w:rPr>
                <w:sz w:val="21"/>
                <w:szCs w:val="21"/>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186,893,438</w:t>
            </w:r>
          </w:p>
        </w:tc>
        <w:tc>
          <w:tcPr>
            <w:tcW w:w="100" w:type="dxa"/>
            <w:vAlign w:val="bottom"/>
          </w:tcPr>
          <w:p>
            <w:pPr>
              <w:spacing w:after="0"/>
              <w:rPr>
                <w:sz w:val="21"/>
                <w:szCs w:val="21"/>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7"/>
        </w:trPr>
        <w:tc>
          <w:tcPr>
            <w:tcW w:w="48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table below summarizes the average yield by type of fixed-maturity security as of March 31, 2025 and December 31, 2024:</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gridSpan w:val="2"/>
          </w:tcPr>
          <w:p>
            <w:pPr>
              <w:ind w:left="40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62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59"/>
        </w:trPr>
        <w:tc>
          <w:tcPr>
            <w:tcW w:w="7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Category</w:t>
            </w:r>
          </w:p>
        </w:tc>
        <w:tc>
          <w:tcPr>
            <w:tcW w:w="100" w:type="dxa"/>
            <w:vAlign w:val="bottom"/>
            <w:tcBorders>
              <w:bottom w:val="single" w:sz="8" w:color="CCEEFF"/>
            </w:tcBorders>
          </w:tcPr>
          <w:p>
            <w:pPr>
              <w:spacing w:after="0"/>
              <w:rPr>
                <w:sz w:val="22"/>
                <w:szCs w:val="22"/>
                <w:color w:val="auto"/>
              </w:rPr>
            </w:pPr>
          </w:p>
        </w:tc>
        <w:tc>
          <w:tcPr>
            <w:tcW w:w="160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22"/>
                <w:szCs w:val="22"/>
                <w:color w:val="auto"/>
              </w:rPr>
            </w:pPr>
          </w:p>
        </w:tc>
        <w:tc>
          <w:tcPr>
            <w:tcW w:w="162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57"/>
        </w:trPr>
        <w:tc>
          <w:tcPr>
            <w:tcW w:w="7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Treasury securities and obligations of U.S. government corporations and agencies</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4.10 %</w:t>
            </w:r>
          </w:p>
        </w:tc>
        <w:tc>
          <w:tcPr>
            <w:tcW w:w="100" w:type="dxa"/>
            <w:vAlign w:val="bottom"/>
            <w:shd w:val="clear" w:color="auto" w:fill="CCEEFF"/>
          </w:tcPr>
          <w:p>
            <w:pPr>
              <w:spacing w:after="0"/>
              <w:rPr>
                <w:sz w:val="22"/>
                <w:szCs w:val="22"/>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3.62 %</w:t>
            </w:r>
          </w:p>
        </w:tc>
      </w:tr>
      <w:tr>
        <w:trPr>
          <w:trHeight w:val="270"/>
        </w:trPr>
        <w:tc>
          <w:tcPr>
            <w:tcW w:w="7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20" w:type="dxa"/>
            <w:vAlign w:val="bottom"/>
          </w:tcPr>
          <w:p>
            <w:pPr>
              <w:spacing w:after="0"/>
              <w:rPr>
                <w:sz w:val="23"/>
                <w:szCs w:val="23"/>
                <w:color w:val="auto"/>
              </w:rPr>
            </w:pPr>
          </w:p>
        </w:tc>
      </w:tr>
      <w:tr>
        <w:trPr>
          <w:trHeight w:val="257"/>
        </w:trPr>
        <w:tc>
          <w:tcPr>
            <w:tcW w:w="7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Political subdivisions of States, Territories and Possessions</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3.77 %</w:t>
            </w:r>
          </w:p>
        </w:tc>
        <w:tc>
          <w:tcPr>
            <w:tcW w:w="100" w:type="dxa"/>
            <w:vAlign w:val="bottom"/>
            <w:shd w:val="clear" w:color="auto" w:fill="CCEEFF"/>
          </w:tcPr>
          <w:p>
            <w:pPr>
              <w:spacing w:after="0"/>
              <w:rPr>
                <w:sz w:val="22"/>
                <w:szCs w:val="22"/>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3.85 %</w:t>
            </w:r>
          </w:p>
        </w:tc>
      </w:tr>
      <w:tr>
        <w:trPr>
          <w:trHeight w:val="270"/>
        </w:trPr>
        <w:tc>
          <w:tcPr>
            <w:tcW w:w="7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20" w:type="dxa"/>
            <w:vAlign w:val="bottom"/>
          </w:tcPr>
          <w:p>
            <w:pPr>
              <w:spacing w:after="0"/>
              <w:rPr>
                <w:sz w:val="23"/>
                <w:szCs w:val="23"/>
                <w:color w:val="auto"/>
              </w:rPr>
            </w:pPr>
          </w:p>
        </w:tc>
      </w:tr>
      <w:tr>
        <w:trPr>
          <w:trHeight w:val="257"/>
        </w:trPr>
        <w:tc>
          <w:tcPr>
            <w:tcW w:w="7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and other bonds Industrial and miscellaneous</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3.84 %</w:t>
            </w:r>
          </w:p>
        </w:tc>
        <w:tc>
          <w:tcPr>
            <w:tcW w:w="100" w:type="dxa"/>
            <w:vAlign w:val="bottom"/>
            <w:shd w:val="clear" w:color="auto" w:fill="CCEEFF"/>
          </w:tcPr>
          <w:p>
            <w:pPr>
              <w:spacing w:after="0"/>
              <w:rPr>
                <w:sz w:val="22"/>
                <w:szCs w:val="22"/>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3.86 %</w:t>
            </w:r>
          </w:p>
        </w:tc>
      </w:tr>
      <w:tr>
        <w:trPr>
          <w:trHeight w:val="270"/>
        </w:trPr>
        <w:tc>
          <w:tcPr>
            <w:tcW w:w="7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20" w:type="dxa"/>
            <w:vAlign w:val="bottom"/>
          </w:tcPr>
          <w:p>
            <w:pPr>
              <w:spacing w:after="0"/>
              <w:rPr>
                <w:sz w:val="23"/>
                <w:szCs w:val="23"/>
                <w:color w:val="auto"/>
              </w:rPr>
            </w:pPr>
          </w:p>
        </w:tc>
      </w:tr>
      <w:tr>
        <w:trPr>
          <w:trHeight w:val="256"/>
        </w:trPr>
        <w:tc>
          <w:tcPr>
            <w:tcW w:w="7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Residential mortgage backed securities</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3.12 %</w:t>
            </w:r>
          </w:p>
        </w:tc>
        <w:tc>
          <w:tcPr>
            <w:tcW w:w="100" w:type="dxa"/>
            <w:vAlign w:val="bottom"/>
            <w:shd w:val="clear" w:color="auto" w:fill="CCEEFF"/>
          </w:tcPr>
          <w:p>
            <w:pPr>
              <w:spacing w:after="0"/>
              <w:rPr>
                <w:sz w:val="22"/>
                <w:szCs w:val="22"/>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3.31 %</w:t>
            </w:r>
          </w:p>
        </w:tc>
      </w:tr>
      <w:tr>
        <w:trPr>
          <w:trHeight w:val="270"/>
        </w:trPr>
        <w:tc>
          <w:tcPr>
            <w:tcW w:w="7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20" w:type="dxa"/>
            <w:vAlign w:val="bottom"/>
          </w:tcPr>
          <w:p>
            <w:pPr>
              <w:spacing w:after="0"/>
              <w:rPr>
                <w:sz w:val="23"/>
                <w:szCs w:val="23"/>
                <w:color w:val="auto"/>
              </w:rPr>
            </w:pPr>
          </w:p>
        </w:tc>
      </w:tr>
      <w:tr>
        <w:trPr>
          <w:trHeight w:val="257"/>
        </w:trPr>
        <w:tc>
          <w:tcPr>
            <w:tcW w:w="7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3.59 %</w:t>
            </w:r>
          </w:p>
        </w:tc>
        <w:tc>
          <w:tcPr>
            <w:tcW w:w="100" w:type="dxa"/>
            <w:vAlign w:val="bottom"/>
            <w:shd w:val="clear" w:color="auto" w:fill="CCEEFF"/>
          </w:tcPr>
          <w:p>
            <w:pPr>
              <w:spacing w:after="0"/>
              <w:rPr>
                <w:sz w:val="22"/>
                <w:szCs w:val="22"/>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3.68 %</w:t>
            </w:r>
          </w:p>
        </w:tc>
      </w:tr>
    </w:tbl>
    <w:p>
      <w:pPr>
        <w:spacing w:after="0" w:line="2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table below lists the weighted average maturity and effective duration in years on our fixed-maturity securities as of March 31, 2025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2024:</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gridSpan w:val="2"/>
          </w:tcPr>
          <w:p>
            <w:pPr>
              <w:ind w:left="34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48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1"/>
        </w:trPr>
        <w:tc>
          <w:tcPr>
            <w:tcW w:w="808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4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20"/>
                <w:szCs w:val="20"/>
                <w:color w:val="auto"/>
              </w:rPr>
            </w:pPr>
          </w:p>
        </w:tc>
        <w:tc>
          <w:tcPr>
            <w:tcW w:w="14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52"/>
        </w:trPr>
        <w:tc>
          <w:tcPr>
            <w:tcW w:w="8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effective maturity</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270"/>
        </w:trPr>
        <w:tc>
          <w:tcPr>
            <w:tcW w:w="8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80" w:type="dxa"/>
            <w:vAlign w:val="bottom"/>
          </w:tcPr>
          <w:p>
            <w:pPr>
              <w:spacing w:after="0"/>
              <w:rPr>
                <w:sz w:val="23"/>
                <w:szCs w:val="23"/>
                <w:color w:val="auto"/>
              </w:rPr>
            </w:pPr>
          </w:p>
        </w:tc>
      </w:tr>
      <w:tr>
        <w:trPr>
          <w:trHeight w:val="256"/>
        </w:trPr>
        <w:tc>
          <w:tcPr>
            <w:tcW w:w="8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final maturity</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00" w:type="dxa"/>
            <w:vAlign w:val="bottom"/>
            <w:shd w:val="clear" w:color="auto" w:fill="CCEEFF"/>
          </w:tcPr>
          <w:p>
            <w:pPr>
              <w:spacing w:after="0"/>
              <w:rPr>
                <w:sz w:val="22"/>
                <w:szCs w:val="22"/>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r>
      <w:tr>
        <w:trPr>
          <w:trHeight w:val="270"/>
        </w:trPr>
        <w:tc>
          <w:tcPr>
            <w:tcW w:w="8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80" w:type="dxa"/>
            <w:vAlign w:val="bottom"/>
          </w:tcPr>
          <w:p>
            <w:pPr>
              <w:spacing w:after="0"/>
              <w:rPr>
                <w:sz w:val="23"/>
                <w:szCs w:val="23"/>
                <w:color w:val="auto"/>
              </w:rPr>
            </w:pPr>
          </w:p>
        </w:tc>
      </w:tr>
      <w:tr>
        <w:trPr>
          <w:trHeight w:val="256"/>
        </w:trPr>
        <w:tc>
          <w:tcPr>
            <w:tcW w:w="8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Effective duration</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shd w:val="clear" w:color="auto" w:fill="CCEEFF"/>
          </w:tcPr>
          <w:p>
            <w:pPr>
              <w:spacing w:after="0"/>
              <w:rPr>
                <w:sz w:val="22"/>
                <w:szCs w:val="22"/>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r>
    </w:tbl>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Consideration</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Fair value is the price that would be received to sell an asset or paid to transfer a liability in a transaction involving identical or comparable assets or liabilities between market participants (an “exit price”). The fair value hierarchy distinguishes between inputs based on market data from independent sources (“observable inputs”) and a reporting entity’s internal assumptions based upon the best information available when external market data is limited or unavailable (“unobservable inputs”). The fair value hierarchy prioritizes fair value measurements into three levels based on the nature of the inputs. Quoted prices in active markets for identical assets have the highest priority (“Level 1”), followed by observable inputs other than quoted prices including prices for similar but not identical assets or liabilities (“Level 2”), and unobservable inputs, including the reporting entity’s estimates of the assumption that market participants would use, having the lowest priority (“Level 3”). As of March 31, 2025 and December 31, 2024, 68% and 65%, respectively, of the investment portfolio recorded at fair value was priced based upon quoted market prices.</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table below summarizes the gross unrealized losses of our fixed-maturity securities available-for-sale and equity securities by length of time the security has continuously been in an unrealized loss position as of March 31, 2025 and December 31, 2024:</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300" w:type="dxa"/>
            <w:vAlign w:val="bottom"/>
            <w:gridSpan w:val="5"/>
          </w:tcPr>
          <w:p>
            <w:pPr>
              <w:ind w:left="720"/>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gridSpan w:val="5"/>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gridSpan w:val="5"/>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3"/>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2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60" w:type="dxa"/>
            <w:vAlign w:val="bottom"/>
            <w:gridSpan w:val="5"/>
          </w:tcPr>
          <w:p>
            <w:pPr>
              <w:ind w:left="760"/>
              <w:spacing w:after="0"/>
              <w:rPr>
                <w:sz w:val="20"/>
                <w:szCs w:val="20"/>
                <w:color w:val="auto"/>
              </w:rPr>
            </w:pPr>
            <w:r>
              <w:rPr>
                <w:rFonts w:ascii="Times New Roman" w:cs="Times New Roman" w:eastAsia="Times New Roman" w:hAnsi="Times New Roman"/>
                <w:sz w:val="14"/>
                <w:szCs w:val="14"/>
                <w:b w:val="1"/>
                <w:bCs w:val="1"/>
                <w:color w:val="auto"/>
              </w:rPr>
              <w:t>Less than 12 months</w:t>
            </w: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300" w:type="dxa"/>
            <w:vAlign w:val="bottom"/>
            <w:gridSpan w:val="5"/>
          </w:tcPr>
          <w:p>
            <w:pPr>
              <w:ind w:left="920"/>
              <w:spacing w:after="0"/>
              <w:rPr>
                <w:sz w:val="20"/>
                <w:szCs w:val="20"/>
                <w:color w:val="auto"/>
              </w:rPr>
            </w:pPr>
            <w:r>
              <w:rPr>
                <w:rFonts w:ascii="Times New Roman" w:cs="Times New Roman" w:eastAsia="Times New Roman" w:hAnsi="Times New Roman"/>
                <w:sz w:val="14"/>
                <w:szCs w:val="14"/>
                <w:b w:val="1"/>
                <w:bCs w:val="1"/>
                <w:color w:val="auto"/>
              </w:rPr>
              <w:t>12 months or more</w:t>
            </w: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gridSpan w:val="3"/>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8"/>
        </w:trPr>
        <w:tc>
          <w:tcPr>
            <w:tcW w:w="2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gridSpan w:val="2"/>
          </w:tcPr>
          <w:p>
            <w:pPr>
              <w:ind w:left="40"/>
              <w:spacing w:after="0" w:line="158" w:lineRule="exact"/>
              <w:rPr>
                <w:sz w:val="20"/>
                <w:szCs w:val="20"/>
                <w:color w:val="auto"/>
              </w:rPr>
            </w:pPr>
            <w:r>
              <w:rPr>
                <w:rFonts w:ascii="Times New Roman" w:cs="Times New Roman" w:eastAsia="Times New Roman" w:hAnsi="Times New Roman"/>
                <w:sz w:val="14"/>
                <w:szCs w:val="14"/>
                <w:b w:val="1"/>
                <w:bCs w:val="1"/>
                <w:color w:val="auto"/>
              </w:rPr>
              <w:t>Estimated</w:t>
            </w:r>
          </w:p>
        </w:tc>
        <w:tc>
          <w:tcPr>
            <w:tcW w:w="140" w:type="dxa"/>
            <w:vAlign w:val="bottom"/>
          </w:tcPr>
          <w:p>
            <w:pPr>
              <w:spacing w:after="0"/>
              <w:rPr>
                <w:sz w:val="13"/>
                <w:szCs w:val="13"/>
                <w:color w:val="auto"/>
              </w:rPr>
            </w:pPr>
          </w:p>
        </w:tc>
        <w:tc>
          <w:tcPr>
            <w:tcW w:w="96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960" w:type="dxa"/>
            <w:vAlign w:val="bottom"/>
            <w:gridSpan w:val="2"/>
          </w:tcPr>
          <w:p>
            <w:pPr>
              <w:ind w:left="240"/>
              <w:spacing w:after="0" w:line="158" w:lineRule="exact"/>
              <w:rPr>
                <w:sz w:val="20"/>
                <w:szCs w:val="20"/>
                <w:color w:val="auto"/>
              </w:rPr>
            </w:pPr>
            <w:r>
              <w:rPr>
                <w:rFonts w:ascii="Times New Roman" w:cs="Times New Roman" w:eastAsia="Times New Roman" w:hAnsi="Times New Roman"/>
                <w:sz w:val="14"/>
                <w:szCs w:val="14"/>
                <w:b w:val="1"/>
                <w:bCs w:val="1"/>
                <w:color w:val="auto"/>
              </w:rPr>
              <w:t>No. of</w:t>
            </w:r>
          </w:p>
        </w:tc>
        <w:tc>
          <w:tcPr>
            <w:tcW w:w="180" w:type="dxa"/>
            <w:vAlign w:val="bottom"/>
          </w:tcPr>
          <w:p>
            <w:pPr>
              <w:spacing w:after="0"/>
              <w:rPr>
                <w:sz w:val="13"/>
                <w:szCs w:val="13"/>
                <w:color w:val="auto"/>
              </w:rPr>
            </w:pPr>
          </w:p>
        </w:tc>
        <w:tc>
          <w:tcPr>
            <w:tcW w:w="1080" w:type="dxa"/>
            <w:vAlign w:val="bottom"/>
            <w:gridSpan w:val="2"/>
          </w:tcPr>
          <w:p>
            <w:pPr>
              <w:ind w:left="80"/>
              <w:spacing w:after="0" w:line="158" w:lineRule="exact"/>
              <w:rPr>
                <w:sz w:val="20"/>
                <w:szCs w:val="20"/>
                <w:color w:val="auto"/>
              </w:rPr>
            </w:pPr>
            <w:r>
              <w:rPr>
                <w:rFonts w:ascii="Times New Roman" w:cs="Times New Roman" w:eastAsia="Times New Roman" w:hAnsi="Times New Roman"/>
                <w:sz w:val="14"/>
                <w:szCs w:val="14"/>
                <w:b w:val="1"/>
                <w:bCs w:val="1"/>
                <w:color w:val="auto"/>
              </w:rPr>
              <w:t>Estimated</w:t>
            </w:r>
          </w:p>
        </w:tc>
        <w:tc>
          <w:tcPr>
            <w:tcW w:w="160" w:type="dxa"/>
            <w:vAlign w:val="bottom"/>
          </w:tcPr>
          <w:p>
            <w:pPr>
              <w:spacing w:after="0"/>
              <w:rPr>
                <w:sz w:val="13"/>
                <w:szCs w:val="13"/>
                <w:color w:val="auto"/>
              </w:rPr>
            </w:pPr>
          </w:p>
        </w:tc>
        <w:tc>
          <w:tcPr>
            <w:tcW w:w="106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960" w:type="dxa"/>
            <w:vAlign w:val="bottom"/>
            <w:gridSpan w:val="2"/>
          </w:tcPr>
          <w:p>
            <w:pPr>
              <w:ind w:left="240"/>
              <w:spacing w:after="0" w:line="158" w:lineRule="exact"/>
              <w:rPr>
                <w:sz w:val="20"/>
                <w:szCs w:val="20"/>
                <w:color w:val="auto"/>
              </w:rPr>
            </w:pPr>
            <w:r>
              <w:rPr>
                <w:rFonts w:ascii="Times New Roman" w:cs="Times New Roman" w:eastAsia="Times New Roman" w:hAnsi="Times New Roman"/>
                <w:sz w:val="14"/>
                <w:szCs w:val="14"/>
                <w:b w:val="1"/>
                <w:bCs w:val="1"/>
                <w:color w:val="auto"/>
              </w:rPr>
              <w:t>No. of</w:t>
            </w:r>
          </w:p>
        </w:tc>
        <w:tc>
          <w:tcPr>
            <w:tcW w:w="200" w:type="dxa"/>
            <w:vAlign w:val="bottom"/>
          </w:tcPr>
          <w:p>
            <w:pPr>
              <w:spacing w:after="0"/>
              <w:rPr>
                <w:sz w:val="13"/>
                <w:szCs w:val="13"/>
                <w:color w:val="auto"/>
              </w:rPr>
            </w:pPr>
          </w:p>
        </w:tc>
        <w:tc>
          <w:tcPr>
            <w:tcW w:w="1120" w:type="dxa"/>
            <w:vAlign w:val="bottom"/>
            <w:gridSpan w:val="2"/>
          </w:tcPr>
          <w:p>
            <w:pPr>
              <w:ind w:left="80"/>
              <w:spacing w:after="0" w:line="158" w:lineRule="exact"/>
              <w:rPr>
                <w:sz w:val="20"/>
                <w:szCs w:val="20"/>
                <w:color w:val="auto"/>
              </w:rPr>
            </w:pPr>
            <w:r>
              <w:rPr>
                <w:rFonts w:ascii="Times New Roman" w:cs="Times New Roman" w:eastAsia="Times New Roman" w:hAnsi="Times New Roman"/>
                <w:sz w:val="14"/>
                <w:szCs w:val="14"/>
                <w:b w:val="1"/>
                <w:bCs w:val="1"/>
                <w:color w:val="auto"/>
              </w:rPr>
              <w:t>Estimated</w:t>
            </w:r>
          </w:p>
        </w:tc>
        <w:tc>
          <w:tcPr>
            <w:tcW w:w="1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0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Category</w:t>
            </w:r>
          </w:p>
        </w:tc>
        <w:tc>
          <w:tcPr>
            <w:tcW w:w="100" w:type="dxa"/>
            <w:vAlign w:val="bottom"/>
            <w:vMerge w:val="restart"/>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Fair</w:t>
            </w:r>
          </w:p>
        </w:tc>
        <w:tc>
          <w:tcPr>
            <w:tcW w:w="140" w:type="dxa"/>
            <w:vAlign w:val="bottom"/>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9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Positions</w:t>
            </w:r>
          </w:p>
        </w:tc>
        <w:tc>
          <w:tcPr>
            <w:tcW w:w="180" w:type="dxa"/>
            <w:vAlign w:val="bottom"/>
          </w:tcPr>
          <w:p>
            <w:pPr>
              <w:spacing w:after="0"/>
              <w:rPr>
                <w:sz w:val="15"/>
                <w:szCs w:val="15"/>
                <w:color w:val="auto"/>
              </w:rPr>
            </w:pPr>
          </w:p>
        </w:tc>
        <w:tc>
          <w:tcPr>
            <w:tcW w:w="10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Fair</w:t>
            </w:r>
          </w:p>
        </w:tc>
        <w:tc>
          <w:tcPr>
            <w:tcW w:w="160" w:type="dxa"/>
            <w:vAlign w:val="bottom"/>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9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Positions</w:t>
            </w:r>
          </w:p>
        </w:tc>
        <w:tc>
          <w:tcPr>
            <w:tcW w:w="200" w:type="dxa"/>
            <w:vAlign w:val="bottom"/>
          </w:tcPr>
          <w:p>
            <w:pPr>
              <w:spacing w:after="0"/>
              <w:rPr>
                <w:sz w:val="15"/>
                <w:szCs w:val="15"/>
                <w:color w:val="auto"/>
              </w:rPr>
            </w:pPr>
          </w:p>
        </w:tc>
        <w:tc>
          <w:tcPr>
            <w:tcW w:w="11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Fair</w:t>
            </w:r>
          </w:p>
        </w:tc>
        <w:tc>
          <w:tcPr>
            <w:tcW w:w="160" w:type="dxa"/>
            <w:vAlign w:val="bottom"/>
          </w:tcPr>
          <w:p>
            <w:pPr>
              <w:spacing w:after="0"/>
              <w:rPr>
                <w:sz w:val="15"/>
                <w:szCs w:val="15"/>
                <w:color w:val="auto"/>
              </w:rPr>
            </w:pPr>
          </w:p>
        </w:tc>
        <w:tc>
          <w:tcPr>
            <w:tcW w:w="980" w:type="dxa"/>
            <w:vAlign w:val="bottom"/>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0" w:type="dxa"/>
            <w:vAlign w:val="bottom"/>
          </w:tcPr>
          <w:p>
            <w:pPr>
              <w:spacing w:after="0"/>
              <w:rPr>
                <w:sz w:val="1"/>
                <w:szCs w:val="1"/>
                <w:color w:val="auto"/>
              </w:rPr>
            </w:pPr>
          </w:p>
        </w:tc>
      </w:tr>
      <w:tr>
        <w:trPr>
          <w:trHeight w:val="198"/>
        </w:trPr>
        <w:tc>
          <w:tcPr>
            <w:tcW w:w="2080" w:type="dxa"/>
            <w:vAlign w:val="bottom"/>
            <w:tcBorders>
              <w:bottom w:val="single" w:sz="8" w:color="auto"/>
            </w:tcBorders>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00" w:type="dxa"/>
            <w:vAlign w:val="bottom"/>
          </w:tcPr>
          <w:p>
            <w:pPr>
              <w:spacing w:after="0"/>
              <w:rPr>
                <w:sz w:val="17"/>
                <w:szCs w:val="17"/>
                <w:color w:val="auto"/>
              </w:rPr>
            </w:pP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Held</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00" w:type="dxa"/>
            <w:vAlign w:val="bottom"/>
          </w:tcPr>
          <w:p>
            <w:pPr>
              <w:spacing w:after="0"/>
              <w:rPr>
                <w:sz w:val="17"/>
                <w:szCs w:val="17"/>
                <w:color w:val="auto"/>
              </w:rPr>
            </w:pP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Held</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rPr>
              <w:t>Value</w:t>
            </w:r>
          </w:p>
        </w:tc>
        <w:tc>
          <w:tcPr>
            <w:tcW w:w="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0" w:type="dxa"/>
            <w:vAlign w:val="bottom"/>
          </w:tcPr>
          <w:p>
            <w:pPr>
              <w:spacing w:after="0"/>
              <w:rPr>
                <w:sz w:val="1"/>
                <w:szCs w:val="1"/>
                <w:color w:val="auto"/>
              </w:rPr>
            </w:pPr>
          </w:p>
        </w:tc>
      </w:tr>
      <w:tr>
        <w:trPr>
          <w:trHeight w:val="448"/>
        </w:trPr>
        <w:tc>
          <w:tcPr>
            <w:tcW w:w="21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Available-for-Sale Securities:</w:t>
            </w: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2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U.S. Treasury securities and</w:t>
            </w: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obligations of U.S. government</w:t>
            </w: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1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corporations and agencies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70"/>
        </w:trPr>
        <w:tc>
          <w:tcPr>
            <w:tcW w:w="2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6"/>
        </w:trPr>
        <w:tc>
          <w:tcPr>
            <w:tcW w:w="2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Political subdivisions of States,</w:t>
            </w: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1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Territories and Possessions</w:t>
            </w:r>
          </w:p>
        </w:tc>
        <w:tc>
          <w:tcPr>
            <w:tcW w:w="14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13,539,593</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(2,945,087)</w:t>
            </w:r>
          </w:p>
        </w:tc>
        <w:tc>
          <w:tcPr>
            <w:tcW w:w="10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13,539,593</w:t>
            </w: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(2,945,087)</w:t>
            </w:r>
          </w:p>
        </w:tc>
        <w:tc>
          <w:tcPr>
            <w:tcW w:w="0" w:type="dxa"/>
            <w:vAlign w:val="bottom"/>
          </w:tcPr>
          <w:p>
            <w:pPr>
              <w:spacing w:after="0"/>
              <w:rPr>
                <w:sz w:val="1"/>
                <w:szCs w:val="1"/>
                <w:color w:val="auto"/>
              </w:rPr>
            </w:pPr>
          </w:p>
        </w:tc>
      </w:tr>
      <w:tr>
        <w:trPr>
          <w:trHeight w:val="270"/>
        </w:trPr>
        <w:tc>
          <w:tcPr>
            <w:tcW w:w="2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6"/>
        </w:trPr>
        <w:tc>
          <w:tcPr>
            <w:tcW w:w="2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Corporate and other bonds</w:t>
            </w: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1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industrial and miscellaneous</w:t>
            </w:r>
          </w:p>
        </w:tc>
        <w:tc>
          <w:tcPr>
            <w:tcW w:w="14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51,949,158</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(495,587)</w:t>
            </w:r>
          </w:p>
        </w:tc>
        <w:tc>
          <w:tcPr>
            <w:tcW w:w="10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51,520,947</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(3,992,684)</w:t>
            </w:r>
          </w:p>
        </w:tc>
        <w:tc>
          <w:tcPr>
            <w:tcW w:w="10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103,470,105</w:t>
            </w: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(4,488,271)</w:t>
            </w:r>
          </w:p>
        </w:tc>
        <w:tc>
          <w:tcPr>
            <w:tcW w:w="0" w:type="dxa"/>
            <w:vAlign w:val="bottom"/>
          </w:tcPr>
          <w:p>
            <w:pPr>
              <w:spacing w:after="0"/>
              <w:rPr>
                <w:sz w:val="1"/>
                <w:szCs w:val="1"/>
                <w:color w:val="auto"/>
              </w:rPr>
            </w:pPr>
          </w:p>
        </w:tc>
      </w:tr>
      <w:tr>
        <w:trPr>
          <w:trHeight w:val="270"/>
        </w:trPr>
        <w:tc>
          <w:tcPr>
            <w:tcW w:w="2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6"/>
        </w:trPr>
        <w:tc>
          <w:tcPr>
            <w:tcW w:w="2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Residential mortgage and other</w:t>
            </w: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21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asset backed securities</w:t>
            </w:r>
          </w:p>
        </w:tc>
        <w:tc>
          <w:tcPr>
            <w:tcW w:w="14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5,884,488</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(17,773)</w:t>
            </w:r>
          </w:p>
        </w:tc>
        <w:tc>
          <w:tcPr>
            <w:tcW w:w="10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35,096,038</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(5,533,927)</w:t>
            </w:r>
          </w:p>
        </w:tc>
        <w:tc>
          <w:tcPr>
            <w:tcW w:w="10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40,980,526</w:t>
            </w: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(5,551,700)</w:t>
            </w:r>
          </w:p>
        </w:tc>
        <w:tc>
          <w:tcPr>
            <w:tcW w:w="0" w:type="dxa"/>
            <w:vAlign w:val="bottom"/>
          </w:tcPr>
          <w:p>
            <w:pPr>
              <w:spacing w:after="0"/>
              <w:rPr>
                <w:sz w:val="1"/>
                <w:szCs w:val="1"/>
                <w:color w:val="auto"/>
              </w:rPr>
            </w:pPr>
          </w:p>
        </w:tc>
      </w:tr>
      <w:tr>
        <w:trPr>
          <w:trHeight w:val="250"/>
        </w:trPr>
        <w:tc>
          <w:tcPr>
            <w:tcW w:w="2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21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fixed-maturity securities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57,833,646</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(513,360)</w:t>
            </w:r>
          </w:p>
        </w:tc>
        <w:tc>
          <w:tcPr>
            <w:tcW w:w="1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100,156,578</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(12,471,698)</w:t>
            </w:r>
          </w:p>
        </w:tc>
        <w:tc>
          <w:tcPr>
            <w:tcW w:w="1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157,990,224</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(12,985,058)</w:t>
            </w:r>
          </w:p>
        </w:tc>
        <w:tc>
          <w:tcPr>
            <w:tcW w:w="0" w:type="dxa"/>
            <w:vAlign w:val="bottom"/>
          </w:tcPr>
          <w:p>
            <w:pPr>
              <w:spacing w:after="0"/>
              <w:rPr>
                <w:sz w:val="1"/>
                <w:szCs w:val="1"/>
                <w:color w:val="auto"/>
              </w:rPr>
            </w:pPr>
          </w:p>
        </w:tc>
      </w:tr>
      <w:tr>
        <w:trPr>
          <w:trHeight w:val="20"/>
        </w:trPr>
        <w:tc>
          <w:tcPr>
            <w:tcW w:w="2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0"/>
        </w:trPr>
        <w:tc>
          <w:tcPr>
            <w:tcW w:w="2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300" w:type="dxa"/>
            <w:vAlign w:val="bottom"/>
            <w:gridSpan w:val="5"/>
          </w:tcPr>
          <w:p>
            <w:pPr>
              <w:ind w:left="60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gridSpan w:val="5"/>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gridSpan w:val="5"/>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3"/>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2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60" w:type="dxa"/>
            <w:vAlign w:val="bottom"/>
            <w:gridSpan w:val="5"/>
          </w:tcPr>
          <w:p>
            <w:pPr>
              <w:ind w:left="760"/>
              <w:spacing w:after="0"/>
              <w:rPr>
                <w:sz w:val="20"/>
                <w:szCs w:val="20"/>
                <w:color w:val="auto"/>
              </w:rPr>
            </w:pPr>
            <w:r>
              <w:rPr>
                <w:rFonts w:ascii="Times New Roman" w:cs="Times New Roman" w:eastAsia="Times New Roman" w:hAnsi="Times New Roman"/>
                <w:sz w:val="14"/>
                <w:szCs w:val="14"/>
                <w:b w:val="1"/>
                <w:bCs w:val="1"/>
                <w:color w:val="auto"/>
              </w:rPr>
              <w:t>Less than 12 months</w:t>
            </w: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300" w:type="dxa"/>
            <w:vAlign w:val="bottom"/>
            <w:gridSpan w:val="5"/>
          </w:tcPr>
          <w:p>
            <w:pPr>
              <w:ind w:left="920"/>
              <w:spacing w:after="0"/>
              <w:rPr>
                <w:sz w:val="20"/>
                <w:szCs w:val="20"/>
                <w:color w:val="auto"/>
              </w:rPr>
            </w:pPr>
            <w:r>
              <w:rPr>
                <w:rFonts w:ascii="Times New Roman" w:cs="Times New Roman" w:eastAsia="Times New Roman" w:hAnsi="Times New Roman"/>
                <w:sz w:val="14"/>
                <w:szCs w:val="14"/>
                <w:b w:val="1"/>
                <w:bCs w:val="1"/>
                <w:color w:val="auto"/>
              </w:rPr>
              <w:t>12 months or more</w:t>
            </w: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gridSpan w:val="3"/>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8"/>
        </w:trPr>
        <w:tc>
          <w:tcPr>
            <w:tcW w:w="2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gridSpan w:val="2"/>
          </w:tcPr>
          <w:p>
            <w:pPr>
              <w:ind w:left="40"/>
              <w:spacing w:after="0" w:line="158" w:lineRule="exact"/>
              <w:rPr>
                <w:sz w:val="20"/>
                <w:szCs w:val="20"/>
                <w:color w:val="auto"/>
              </w:rPr>
            </w:pPr>
            <w:r>
              <w:rPr>
                <w:rFonts w:ascii="Times New Roman" w:cs="Times New Roman" w:eastAsia="Times New Roman" w:hAnsi="Times New Roman"/>
                <w:sz w:val="14"/>
                <w:szCs w:val="14"/>
                <w:b w:val="1"/>
                <w:bCs w:val="1"/>
                <w:color w:val="auto"/>
              </w:rPr>
              <w:t>Estimated</w:t>
            </w:r>
          </w:p>
        </w:tc>
        <w:tc>
          <w:tcPr>
            <w:tcW w:w="140" w:type="dxa"/>
            <w:vAlign w:val="bottom"/>
          </w:tcPr>
          <w:p>
            <w:pPr>
              <w:spacing w:after="0"/>
              <w:rPr>
                <w:sz w:val="13"/>
                <w:szCs w:val="13"/>
                <w:color w:val="auto"/>
              </w:rPr>
            </w:pPr>
          </w:p>
        </w:tc>
        <w:tc>
          <w:tcPr>
            <w:tcW w:w="96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960" w:type="dxa"/>
            <w:vAlign w:val="bottom"/>
            <w:gridSpan w:val="2"/>
          </w:tcPr>
          <w:p>
            <w:pPr>
              <w:ind w:left="240"/>
              <w:spacing w:after="0" w:line="158" w:lineRule="exact"/>
              <w:rPr>
                <w:sz w:val="20"/>
                <w:szCs w:val="20"/>
                <w:color w:val="auto"/>
              </w:rPr>
            </w:pPr>
            <w:r>
              <w:rPr>
                <w:rFonts w:ascii="Times New Roman" w:cs="Times New Roman" w:eastAsia="Times New Roman" w:hAnsi="Times New Roman"/>
                <w:sz w:val="14"/>
                <w:szCs w:val="14"/>
                <w:b w:val="1"/>
                <w:bCs w:val="1"/>
                <w:color w:val="auto"/>
              </w:rPr>
              <w:t>No. of</w:t>
            </w:r>
          </w:p>
        </w:tc>
        <w:tc>
          <w:tcPr>
            <w:tcW w:w="180" w:type="dxa"/>
            <w:vAlign w:val="bottom"/>
          </w:tcPr>
          <w:p>
            <w:pPr>
              <w:spacing w:after="0"/>
              <w:rPr>
                <w:sz w:val="13"/>
                <w:szCs w:val="13"/>
                <w:color w:val="auto"/>
              </w:rPr>
            </w:pPr>
          </w:p>
        </w:tc>
        <w:tc>
          <w:tcPr>
            <w:tcW w:w="1080" w:type="dxa"/>
            <w:vAlign w:val="bottom"/>
            <w:gridSpan w:val="2"/>
          </w:tcPr>
          <w:p>
            <w:pPr>
              <w:ind w:left="80"/>
              <w:spacing w:after="0" w:line="158" w:lineRule="exact"/>
              <w:rPr>
                <w:sz w:val="20"/>
                <w:szCs w:val="20"/>
                <w:color w:val="auto"/>
              </w:rPr>
            </w:pPr>
            <w:r>
              <w:rPr>
                <w:rFonts w:ascii="Times New Roman" w:cs="Times New Roman" w:eastAsia="Times New Roman" w:hAnsi="Times New Roman"/>
                <w:sz w:val="14"/>
                <w:szCs w:val="14"/>
                <w:b w:val="1"/>
                <w:bCs w:val="1"/>
                <w:color w:val="auto"/>
              </w:rPr>
              <w:t>Estimated</w:t>
            </w:r>
          </w:p>
        </w:tc>
        <w:tc>
          <w:tcPr>
            <w:tcW w:w="160" w:type="dxa"/>
            <w:vAlign w:val="bottom"/>
          </w:tcPr>
          <w:p>
            <w:pPr>
              <w:spacing w:after="0"/>
              <w:rPr>
                <w:sz w:val="13"/>
                <w:szCs w:val="13"/>
                <w:color w:val="auto"/>
              </w:rPr>
            </w:pPr>
          </w:p>
        </w:tc>
        <w:tc>
          <w:tcPr>
            <w:tcW w:w="106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960" w:type="dxa"/>
            <w:vAlign w:val="bottom"/>
            <w:gridSpan w:val="2"/>
          </w:tcPr>
          <w:p>
            <w:pPr>
              <w:ind w:left="240"/>
              <w:spacing w:after="0" w:line="158" w:lineRule="exact"/>
              <w:rPr>
                <w:sz w:val="20"/>
                <w:szCs w:val="20"/>
                <w:color w:val="auto"/>
              </w:rPr>
            </w:pPr>
            <w:r>
              <w:rPr>
                <w:rFonts w:ascii="Times New Roman" w:cs="Times New Roman" w:eastAsia="Times New Roman" w:hAnsi="Times New Roman"/>
                <w:sz w:val="14"/>
                <w:szCs w:val="14"/>
                <w:b w:val="1"/>
                <w:bCs w:val="1"/>
                <w:color w:val="auto"/>
              </w:rPr>
              <w:t>No. of</w:t>
            </w:r>
          </w:p>
        </w:tc>
        <w:tc>
          <w:tcPr>
            <w:tcW w:w="200" w:type="dxa"/>
            <w:vAlign w:val="bottom"/>
          </w:tcPr>
          <w:p>
            <w:pPr>
              <w:spacing w:after="0"/>
              <w:rPr>
                <w:sz w:val="13"/>
                <w:szCs w:val="13"/>
                <w:color w:val="auto"/>
              </w:rPr>
            </w:pPr>
          </w:p>
        </w:tc>
        <w:tc>
          <w:tcPr>
            <w:tcW w:w="1120" w:type="dxa"/>
            <w:vAlign w:val="bottom"/>
            <w:gridSpan w:val="2"/>
          </w:tcPr>
          <w:p>
            <w:pPr>
              <w:ind w:left="80"/>
              <w:spacing w:after="0" w:line="158" w:lineRule="exact"/>
              <w:rPr>
                <w:sz w:val="20"/>
                <w:szCs w:val="20"/>
                <w:color w:val="auto"/>
              </w:rPr>
            </w:pPr>
            <w:r>
              <w:rPr>
                <w:rFonts w:ascii="Times New Roman" w:cs="Times New Roman" w:eastAsia="Times New Roman" w:hAnsi="Times New Roman"/>
                <w:sz w:val="14"/>
                <w:szCs w:val="14"/>
                <w:b w:val="1"/>
                <w:bCs w:val="1"/>
                <w:color w:val="auto"/>
              </w:rPr>
              <w:t>Estimated</w:t>
            </w:r>
          </w:p>
        </w:tc>
        <w:tc>
          <w:tcPr>
            <w:tcW w:w="1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0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Category</w:t>
            </w:r>
          </w:p>
        </w:tc>
        <w:tc>
          <w:tcPr>
            <w:tcW w:w="100" w:type="dxa"/>
            <w:vAlign w:val="bottom"/>
            <w:vMerge w:val="restart"/>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Fair</w:t>
            </w:r>
          </w:p>
        </w:tc>
        <w:tc>
          <w:tcPr>
            <w:tcW w:w="140" w:type="dxa"/>
            <w:vAlign w:val="bottom"/>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9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Positions</w:t>
            </w:r>
          </w:p>
        </w:tc>
        <w:tc>
          <w:tcPr>
            <w:tcW w:w="180" w:type="dxa"/>
            <w:vAlign w:val="bottom"/>
          </w:tcPr>
          <w:p>
            <w:pPr>
              <w:spacing w:after="0"/>
              <w:rPr>
                <w:sz w:val="15"/>
                <w:szCs w:val="15"/>
                <w:color w:val="auto"/>
              </w:rPr>
            </w:pPr>
          </w:p>
        </w:tc>
        <w:tc>
          <w:tcPr>
            <w:tcW w:w="10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Fair</w:t>
            </w:r>
          </w:p>
        </w:tc>
        <w:tc>
          <w:tcPr>
            <w:tcW w:w="160" w:type="dxa"/>
            <w:vAlign w:val="bottom"/>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9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Positions</w:t>
            </w:r>
          </w:p>
        </w:tc>
        <w:tc>
          <w:tcPr>
            <w:tcW w:w="200" w:type="dxa"/>
            <w:vAlign w:val="bottom"/>
          </w:tcPr>
          <w:p>
            <w:pPr>
              <w:spacing w:after="0"/>
              <w:rPr>
                <w:sz w:val="15"/>
                <w:szCs w:val="15"/>
                <w:color w:val="auto"/>
              </w:rPr>
            </w:pPr>
          </w:p>
        </w:tc>
        <w:tc>
          <w:tcPr>
            <w:tcW w:w="11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Fair</w:t>
            </w:r>
          </w:p>
        </w:tc>
        <w:tc>
          <w:tcPr>
            <w:tcW w:w="160" w:type="dxa"/>
            <w:vAlign w:val="bottom"/>
          </w:tcPr>
          <w:p>
            <w:pPr>
              <w:spacing w:after="0"/>
              <w:rPr>
                <w:sz w:val="15"/>
                <w:szCs w:val="15"/>
                <w:color w:val="auto"/>
              </w:rPr>
            </w:pPr>
          </w:p>
        </w:tc>
        <w:tc>
          <w:tcPr>
            <w:tcW w:w="980" w:type="dxa"/>
            <w:vAlign w:val="bottom"/>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0" w:type="dxa"/>
            <w:vAlign w:val="bottom"/>
          </w:tcPr>
          <w:p>
            <w:pPr>
              <w:spacing w:after="0"/>
              <w:rPr>
                <w:sz w:val="1"/>
                <w:szCs w:val="1"/>
                <w:color w:val="auto"/>
              </w:rPr>
            </w:pPr>
          </w:p>
        </w:tc>
      </w:tr>
      <w:tr>
        <w:trPr>
          <w:trHeight w:val="196"/>
        </w:trPr>
        <w:tc>
          <w:tcPr>
            <w:tcW w:w="2080" w:type="dxa"/>
            <w:vAlign w:val="bottom"/>
            <w:tcBorders>
              <w:bottom w:val="single" w:sz="8" w:color="auto"/>
            </w:tcBorders>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00" w:type="dxa"/>
            <w:vAlign w:val="bottom"/>
          </w:tcPr>
          <w:p>
            <w:pPr>
              <w:spacing w:after="0"/>
              <w:rPr>
                <w:sz w:val="17"/>
                <w:szCs w:val="17"/>
                <w:color w:val="auto"/>
              </w:rPr>
            </w:pP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Held</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00" w:type="dxa"/>
            <w:vAlign w:val="bottom"/>
          </w:tcPr>
          <w:p>
            <w:pPr>
              <w:spacing w:after="0"/>
              <w:rPr>
                <w:sz w:val="17"/>
                <w:szCs w:val="17"/>
                <w:color w:val="auto"/>
              </w:rPr>
            </w:pP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Held</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rPr>
              <w:t>Value</w:t>
            </w:r>
          </w:p>
        </w:tc>
        <w:tc>
          <w:tcPr>
            <w:tcW w:w="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0" w:type="dxa"/>
            <w:vAlign w:val="bottom"/>
          </w:tcPr>
          <w:p>
            <w:pPr>
              <w:spacing w:after="0"/>
              <w:rPr>
                <w:sz w:val="1"/>
                <w:szCs w:val="1"/>
                <w:color w:val="auto"/>
              </w:rPr>
            </w:pPr>
          </w:p>
        </w:tc>
      </w:tr>
      <w:tr>
        <w:trPr>
          <w:trHeight w:val="449"/>
        </w:trPr>
        <w:tc>
          <w:tcPr>
            <w:tcW w:w="21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Available-for-Sale Securities:</w:t>
            </w: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21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2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U.S. Treasury securities and</w:t>
            </w: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obligations of U.S. government</w:t>
            </w: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1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corporations and agencies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70"/>
        </w:trPr>
        <w:tc>
          <w:tcPr>
            <w:tcW w:w="2180" w:type="dxa"/>
            <w:vAlign w:val="bottom"/>
            <w:gridSpan w:val="2"/>
          </w:tcPr>
          <w:p>
            <w:pPr>
              <w:spacing w:after="0"/>
              <w:rPr>
                <w:sz w:val="23"/>
                <w:szCs w:val="23"/>
                <w:color w:val="auto"/>
              </w:rPr>
            </w:pPr>
          </w:p>
        </w:tc>
        <w:tc>
          <w:tcPr>
            <w:tcW w:w="1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6"/>
        </w:trPr>
        <w:tc>
          <w:tcPr>
            <w:tcW w:w="2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Political subdivisions of States,</w:t>
            </w: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1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Territories and Possessions</w:t>
            </w:r>
          </w:p>
        </w:tc>
        <w:tc>
          <w:tcPr>
            <w:tcW w:w="14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7,705,370</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(73,589)</w:t>
            </w:r>
          </w:p>
        </w:tc>
        <w:tc>
          <w:tcPr>
            <w:tcW w:w="10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13,167,726</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(3,324,491)</w:t>
            </w:r>
          </w:p>
        </w:tc>
        <w:tc>
          <w:tcPr>
            <w:tcW w:w="10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20,873,096</w:t>
            </w: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(3,398,080)</w:t>
            </w:r>
          </w:p>
        </w:tc>
        <w:tc>
          <w:tcPr>
            <w:tcW w:w="0" w:type="dxa"/>
            <w:vAlign w:val="bottom"/>
          </w:tcPr>
          <w:p>
            <w:pPr>
              <w:spacing w:after="0"/>
              <w:rPr>
                <w:sz w:val="1"/>
                <w:szCs w:val="1"/>
                <w:color w:val="auto"/>
              </w:rPr>
            </w:pPr>
          </w:p>
        </w:tc>
      </w:tr>
      <w:tr>
        <w:trPr>
          <w:trHeight w:val="270"/>
        </w:trPr>
        <w:tc>
          <w:tcPr>
            <w:tcW w:w="2180" w:type="dxa"/>
            <w:vAlign w:val="bottom"/>
            <w:gridSpan w:val="2"/>
          </w:tcPr>
          <w:p>
            <w:pPr>
              <w:spacing w:after="0"/>
              <w:rPr>
                <w:sz w:val="23"/>
                <w:szCs w:val="23"/>
                <w:color w:val="auto"/>
              </w:rPr>
            </w:pPr>
          </w:p>
        </w:tc>
        <w:tc>
          <w:tcPr>
            <w:tcW w:w="1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6"/>
        </w:trPr>
        <w:tc>
          <w:tcPr>
            <w:tcW w:w="2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Corporate and other bonds</w:t>
            </w: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1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industrial and miscellaneous</w:t>
            </w:r>
          </w:p>
        </w:tc>
        <w:tc>
          <w:tcPr>
            <w:tcW w:w="14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51,411,296</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(1,024,461)</w:t>
            </w:r>
          </w:p>
        </w:tc>
        <w:tc>
          <w:tcPr>
            <w:tcW w:w="10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55,381,083</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(4,690,597)</w:t>
            </w:r>
          </w:p>
        </w:tc>
        <w:tc>
          <w:tcPr>
            <w:tcW w:w="10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106,792,379</w:t>
            </w: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(5,715,058)</w:t>
            </w:r>
          </w:p>
        </w:tc>
        <w:tc>
          <w:tcPr>
            <w:tcW w:w="0" w:type="dxa"/>
            <w:vAlign w:val="bottom"/>
          </w:tcPr>
          <w:p>
            <w:pPr>
              <w:spacing w:after="0"/>
              <w:rPr>
                <w:sz w:val="1"/>
                <w:szCs w:val="1"/>
                <w:color w:val="auto"/>
              </w:rPr>
            </w:pPr>
          </w:p>
        </w:tc>
      </w:tr>
      <w:tr>
        <w:trPr>
          <w:trHeight w:val="270"/>
        </w:trPr>
        <w:tc>
          <w:tcPr>
            <w:tcW w:w="2180" w:type="dxa"/>
            <w:vAlign w:val="bottom"/>
            <w:gridSpan w:val="2"/>
          </w:tcPr>
          <w:p>
            <w:pPr>
              <w:spacing w:after="0"/>
              <w:rPr>
                <w:sz w:val="23"/>
                <w:szCs w:val="23"/>
                <w:color w:val="auto"/>
              </w:rPr>
            </w:pPr>
          </w:p>
        </w:tc>
        <w:tc>
          <w:tcPr>
            <w:tcW w:w="1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6"/>
        </w:trPr>
        <w:tc>
          <w:tcPr>
            <w:tcW w:w="2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Residential mortgage and other</w:t>
            </w: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21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asset backed securities</w:t>
            </w:r>
          </w:p>
        </w:tc>
        <w:tc>
          <w:tcPr>
            <w:tcW w:w="14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19,315,521</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(209,890)</w:t>
            </w:r>
          </w:p>
        </w:tc>
        <w:tc>
          <w:tcPr>
            <w:tcW w:w="10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35,206,442</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(6,211,339)</w:t>
            </w:r>
          </w:p>
        </w:tc>
        <w:tc>
          <w:tcPr>
            <w:tcW w:w="10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54,521,963</w:t>
            </w: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(6,421,229)</w:t>
            </w:r>
          </w:p>
        </w:tc>
        <w:tc>
          <w:tcPr>
            <w:tcW w:w="0" w:type="dxa"/>
            <w:vAlign w:val="bottom"/>
          </w:tcPr>
          <w:p>
            <w:pPr>
              <w:spacing w:after="0"/>
              <w:rPr>
                <w:sz w:val="1"/>
                <w:szCs w:val="1"/>
                <w:color w:val="auto"/>
              </w:rPr>
            </w:pPr>
          </w:p>
        </w:tc>
      </w:tr>
      <w:tr>
        <w:trPr>
          <w:trHeight w:val="250"/>
        </w:trPr>
        <w:tc>
          <w:tcPr>
            <w:tcW w:w="2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21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fixed-maturity securities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78,432,187</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(1,307,940)</w:t>
            </w:r>
          </w:p>
        </w:tc>
        <w:tc>
          <w:tcPr>
            <w:tcW w:w="1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103,755,251</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(14,226,427)</w:t>
            </w:r>
          </w:p>
        </w:tc>
        <w:tc>
          <w:tcPr>
            <w:tcW w:w="1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182,187,438</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(15,534,367)</w:t>
            </w:r>
          </w:p>
        </w:tc>
        <w:tc>
          <w:tcPr>
            <w:tcW w:w="0" w:type="dxa"/>
            <w:vAlign w:val="bottom"/>
          </w:tcPr>
          <w:p>
            <w:pPr>
              <w:spacing w:after="0"/>
              <w:rPr>
                <w:sz w:val="1"/>
                <w:szCs w:val="1"/>
                <w:color w:val="auto"/>
              </w:rPr>
            </w:pPr>
          </w:p>
        </w:tc>
      </w:tr>
      <w:tr>
        <w:trPr>
          <w:trHeight w:val="20"/>
        </w:trPr>
        <w:tc>
          <w:tcPr>
            <w:tcW w:w="2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jc w:val="both"/>
        <w:ind w:firstLine="607"/>
        <w:spacing w:after="0" w:line="282" w:lineRule="auto"/>
        <w:rPr>
          <w:sz w:val="20"/>
          <w:szCs w:val="20"/>
          <w:color w:val="auto"/>
        </w:rPr>
      </w:pPr>
      <w:r>
        <w:rPr>
          <w:rFonts w:ascii="Times New Roman" w:cs="Times New Roman" w:eastAsia="Times New Roman" w:hAnsi="Times New Roman"/>
          <w:sz w:val="18"/>
          <w:szCs w:val="18"/>
          <w:color w:val="auto"/>
        </w:rPr>
        <w:t>There were 179 securities at March 31, 2025 that accounted for the gross unrealized loss of our fixed-maturity securities available-for-sale, none of which were deemed to be credit losses by us. There were 204 securities at</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December 31, 2024 that accounted for the gross unrealized loss of our fixed-maturity securities available-for-sale, none of which were deemed to be credit losses by us. Significant factors influencing our determination that unrealized losses were temporary included credit quality considerations, the magnitude of the unrealized losses in relation to each security’s cost, the nature of the investment and interest rate environment factors, management’s intent not to sell these securities and it being not more likely than not that we will be required to sell these investments before anticipated recovery of fair value to our cost basis.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primary sources of cash flow are from our insurance underwriting subsidiary, KICO, and include direct premiums written, ceding commissions from our quota share reinsurers, loss recovery payments from our reinsurers, investment income and proceeds from the sale or maturity of investments. Funds are used by KICO for ceded premium payments to reinsurers, which are paid on a net basis after subtracting losses paid on reinsured claims and reinsurance commissions. KICO also uses funds for loss payments and loss adjustment expenses on our net business, commissions to producers, salaries and other underwriting expenses as well as to purchase investments and fixed assets.</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primary source of cash flow for our holding company are dividends and distributions received from KICO, which are subject to statutory restrictions. For the three months ended March 31, 2025, KICO did not pay any dividends to us. As of March 31, 2025, KICO had eligible unassigned surplus of $12,523,637 and was able to pay dividends; however, KICO has an agreement with the New York State Department of Financial Services pursuant to which KICO may only pay dividends to us for purposes of paying operating expenses and debt obligations.</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KICO is a member of the FHLBNY, which provides additional access to liquidity. Members have access to a variety of flexible, low-cost funding through FHLBNY’s credit products, enabling members to customize advances. Advances are to be fully collateralized; eligible collateral to pledge to FHLBNY includes residential and commercial mortgage-backed securities, along with U.S. Treasury and agency securities. See Note 3 – Investments to our condensed consolidated financial statements for eligible collateral held in a designated custodian account available for future advances. Advances are limited to 5% of KICO’s net admitted assets as of the end of the previous quarter, which is December 31, 2024. On July 6, 2023, A.M. Best withdrew KICO’s ratings as KICO requested to no longer participate in A.M. Best’s interactive rating process. As a result of the withdrawal of A.M. Best ratings, KICO is currently only able to borrow on an overnight basis. The maximum allowable advance as of March 31, 2025, based on the net admitted assets as of December 31, 2024, was approximately $14,861,000. Available collateral as of March 31, 2025 was approximately $10,102,000. Advances are limited to 85% of the amount of available collateral. There were no borrowings under this facility during Three Months 2025.</w:t>
      </w:r>
    </w:p>
    <w:p>
      <w:pPr>
        <w:spacing w:after="0" w:line="18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April 5, 2024, we filed a shelf registration (the “Shelf Registration”) statement on Form S-3 with the SEC under the Securities Act of 1933, as amended, with regard to the registration of $50,000,000 of our equity and debt securities (the “Shelf Registration Statement”). The Shelf Registration Statement was declared effective by the SEC on April 22, 2024. Any offering made pursuant to the Shelf Registration Statement may only be made by means of a prospectus, including a prospectus supplement, forming a part of the effective Shelf Registration Statement, relating to the offering.</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May 2024, we entered into a Sales Agreement with Janney Montgomery Scott LLC (the “Sales Agent”) under which we initially had the ability to issue and sell shares of our Common Stock, from time to time, through the Sales Agent, pursuant to the Shelf Registration Statement, up to an aggregate offering price of approximately $16,400,000 in what is commonly referred to as an “at-the-market” (“ATM”) program. On January 7, 2025, we filed a prospectus supplement providing for a going forward aggregate offering price for the ATM program of $25,000,000. During the three months ended March 31, 2025, we sold 612,999 shares of our Common Stock at a weighted average price of $16.00 per share and raised $9,545,692 in net proceeds under the ATM program. As of March 31, 2025, we had remaining capacity to sell up to an additional $15,945,937 of our Common Stock under the ATM program.</w:t>
      </w:r>
    </w:p>
    <w:p>
      <w:pPr>
        <w:spacing w:after="0" w:line="200" w:lineRule="exact"/>
        <w:rPr>
          <w:sz w:val="20"/>
          <w:szCs w:val="20"/>
          <w:color w:val="auto"/>
        </w:rPr>
      </w:pPr>
    </w:p>
    <w:p>
      <w:pPr>
        <w:spacing w:after="0" w:line="20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September 12, 2024, we issued the 2024 Notes in the aggregate principal amount of $14,950,000 pursuant to the 2024 Exchange Agreement. Beginning in the third quarter of 2024 through Three Months 2025, we paid optional principal amounts, reducing the balance of the 2024 Notes, and completely satisfying the obligation on February 24,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If the aforementioned sources of cash flow currently available are insufficient to cover our holding company cash requirements, we will seek to obtain additional financing.</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Cash flow and liquidity are categorized into three sources: (1) operating activities; (2) investing activities; and (3) financing activities, which are shown in the following table:</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Three Months ended March 31,</w:t>
            </w:r>
          </w:p>
        </w:tc>
        <w:tc>
          <w:tcPr>
            <w:tcW w:w="10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506"/>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Cash flows provided by (used in):</w:t>
            </w: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63"/>
        </w:trPr>
        <w:tc>
          <w:tcPr>
            <w:tcW w:w="81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Operating activities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17,857,307</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6,098,220</w:t>
            </w:r>
          </w:p>
        </w:tc>
      </w:tr>
      <w:tr>
        <w:trPr>
          <w:trHeight w:val="250"/>
        </w:trPr>
        <w:tc>
          <w:tcPr>
            <w:tcW w:w="81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Investing activities</w:t>
            </w: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(11,844,067)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(11,587,350)</w:t>
            </w:r>
          </w:p>
        </w:tc>
      </w:tr>
      <w:tr>
        <w:trPr>
          <w:trHeight w:val="263"/>
        </w:trPr>
        <w:tc>
          <w:tcPr>
            <w:tcW w:w="81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Financing activities</w:t>
            </w:r>
          </w:p>
        </w:tc>
        <w:tc>
          <w:tcPr>
            <w:tcW w:w="32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2,807,501</w:t>
            </w:r>
          </w:p>
        </w:tc>
        <w:tc>
          <w:tcPr>
            <w:tcW w:w="10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(288,568)</w:t>
            </w:r>
          </w:p>
        </w:tc>
      </w:tr>
      <w:tr>
        <w:trPr>
          <w:trHeight w:val="243"/>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Net increase (decrease) in cash and cash equivalents</w:t>
            </w: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8,820,741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(5,777,698)</w:t>
            </w:r>
          </w:p>
        </w:tc>
      </w:tr>
      <w:tr>
        <w:trPr>
          <w:trHeight w:val="263"/>
        </w:trPr>
        <w:tc>
          <w:tcPr>
            <w:tcW w:w="8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 beginning of period</w:t>
            </w:r>
          </w:p>
        </w:tc>
        <w:tc>
          <w:tcPr>
            <w:tcW w:w="32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28,669,441</w:t>
            </w:r>
          </w:p>
        </w:tc>
        <w:tc>
          <w:tcPr>
            <w:tcW w:w="10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8,976,998</w:t>
            </w:r>
          </w:p>
        </w:tc>
      </w:tr>
      <w:tr>
        <w:trPr>
          <w:trHeight w:val="243"/>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Cash and cash equivalents, end of period</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37,490,182</w:t>
            </w:r>
          </w:p>
        </w:tc>
        <w:tc>
          <w:tcPr>
            <w:tcW w:w="100" w:type="dxa"/>
            <w:vAlign w:val="bottom"/>
          </w:tcPr>
          <w:p>
            <w:pPr>
              <w:spacing w:after="0"/>
              <w:rPr>
                <w:sz w:val="21"/>
                <w:szCs w:val="21"/>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3,199,300</w:t>
            </w:r>
          </w:p>
        </w:tc>
      </w:tr>
      <w:tr>
        <w:trPr>
          <w:trHeight w:val="27"/>
        </w:trPr>
        <w:tc>
          <w:tcPr>
            <w:tcW w:w="8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bl>
    <w:p>
      <w:pPr>
        <w:spacing w:after="0" w:line="29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Net cash provided by operating activities was $17,857,000 in Three Months 2025 as compared to $6,098,000 provided by operating activities in Three Months 2024. The $11,759,000 increase in cash flows provided by operating activities in Three Months 2025 as compared to Three Months 2024 was primarily the result of an increase in net income (adjusted for non-cash items) of $992,000 and cash provided from net fluctuations in operating assets and liabilities. The net fluctuations in assets and liabilities are related to operating activities of KICO as affected by growth or declines in its operations, payments on claims and other changes, which are described above.</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Net cash used in investing activities was $11,844,000 in Three Months 2025 compared to $11,587,000 used in investing activities in Three Months 2024 resulting in a $257,000 increase in net cash used in investing activities. In Three Months 2025, we had net cash used by our investment portfolio of $14,581,000, compared to $11,046,000 used in Three Months 2024. In Three Months 2025 one of our subsidiaries received gross proceeds of $3,600,000 from the sale of real estate that was used as our headquarters building.</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Net cash provided by financing activities was $2,808,000 in Three Months 2025 compared to $289,000 used in Three Months 2024. During Three Months 2025, we received net proceeds of $9,545,000 from our ATM offering. This amount was offset primarily by principal payments of $5,950,000 on our 2024 Notes, $299,000 on our equipment financing debt in connection with KICO’s sale-leaseback transaction and $531,000 for withholding taxes paid on vested restricted stock awards and the exercise of stock options. The principal payments on the 2024 Notes were made by using a portion of the net proceeds from our ATM offering. Net cash used in financing activities in Three Months 2024 was primarily principal payments on our equipment financing debt.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Reinsurance</w:t>
      </w:r>
    </w:p>
    <w:p>
      <w:pPr>
        <w:spacing w:after="0" w:line="229" w:lineRule="exact"/>
        <w:rPr>
          <w:sz w:val="20"/>
          <w:szCs w:val="20"/>
          <w:color w:val="auto"/>
        </w:rPr>
      </w:pPr>
    </w:p>
    <w:p>
      <w:pPr>
        <w:jc w:val="both"/>
        <w:ind w:firstLine="607"/>
        <w:spacing w:after="0" w:line="261" w:lineRule="auto"/>
        <w:rPr>
          <w:sz w:val="20"/>
          <w:szCs w:val="20"/>
          <w:color w:val="auto"/>
        </w:rPr>
      </w:pPr>
      <w:r>
        <w:rPr>
          <w:rFonts w:ascii="Times New Roman" w:cs="Times New Roman" w:eastAsia="Times New Roman" w:hAnsi="Times New Roman"/>
          <w:sz w:val="18"/>
          <w:szCs w:val="18"/>
          <w:color w:val="auto"/>
        </w:rPr>
        <w:t>On January 1, 2024, we entered into a 27% quota share reinsurance treaty for our personal lines business, which primarily consists of homeowners’ and dwelling fire policies, covering the period from January 1, 2024 through January 1, 2025 (“2024/2025 Treaty”). Upon the expiration of the 2024/2025 Treaty on January 1, 2025, we entered into a new 16% quota share reinsurance treaty for our personal lines business, covering the period from January 1, 2025 through January 1, 2026 (“2025/2026 Treaty”).</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Our excess of loss and catastrophe reinsurance treaties expired on June 30, 2024 and we entered into new excess of loss and catastrophe reinsurance treaties effective July 1, 2024 (as discussed below). Effective January 1, 2024, we renewed an underlying excess of loss treaty ("Underlying XOL Treaty") covering the period from January 1, 2024 through January 1, 2025. The treaty provided 50% reinsurance coverage for losses of $400,000 in excess of $600,000. Losses from named storms are excluded from the treaty. Effective January 1, 2025, the Underlying XOL Treaty was renewed covering the period from January 1, 2025 through June 30, 2025. For the period October 1, 2024 through April 30, 2025, we purchased catastrophe reinsurance which provides coverage for winter storm losses to the extent of 71% of $4,500,000 in excess of $5,500,000. Effective July 1, 2024, we purchased $275,000,000 of catastrophe reinsurance in excess of $5,000,000, compared to $315,000,000 of catastrophe reinsurance in excess of $10,000,000 in the expiring treaty. Our ability to reduce the top limit of our catastrophe reinsurance was due to our tightened underwriting as discussed above and</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curtailing new business growth through June 30, 2024, which reduced our probable maximum loss. Material terms for our reinsurance treaties in effect for the treaty years shown below are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820" w:type="dxa"/>
            <w:vAlign w:val="bottom"/>
            <w:tcBorders>
              <w:bottom w:val="single" w:sz="8" w:color="auto"/>
            </w:tcBorders>
            <w:gridSpan w:val="5"/>
          </w:tcPr>
          <w:p>
            <w:pPr>
              <w:ind w:left="860"/>
              <w:spacing w:after="0"/>
              <w:rPr>
                <w:sz w:val="20"/>
                <w:szCs w:val="20"/>
                <w:color w:val="auto"/>
              </w:rPr>
            </w:pPr>
            <w:r>
              <w:rPr>
                <w:rFonts w:ascii="Times New Roman" w:cs="Times New Roman" w:eastAsia="Times New Roman" w:hAnsi="Times New Roman"/>
                <w:sz w:val="18"/>
                <w:szCs w:val="18"/>
                <w:b w:val="1"/>
                <w:bCs w:val="1"/>
                <w:color w:val="auto"/>
              </w:rPr>
              <w:t>Treaty Period</w:t>
            </w:r>
          </w:p>
        </w:tc>
        <w:tc>
          <w:tcPr>
            <w:tcW w:w="12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r>
      <w:tr>
        <w:trPr>
          <w:trHeight w:val="229"/>
        </w:trPr>
        <w:tc>
          <w:tcPr>
            <w:tcW w:w="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620" w:type="dxa"/>
            <w:vAlign w:val="bottom"/>
            <w:tcBorders>
              <w:bottom w:val="single" w:sz="8" w:color="auto"/>
            </w:tcBorders>
            <w:gridSpan w:val="4"/>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2025/2026 Treaty</w:t>
            </w: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780" w:type="dxa"/>
            <w:vAlign w:val="bottom"/>
            <w:tcBorders>
              <w:bottom w:val="single" w:sz="8" w:color="auto"/>
            </w:tcBorders>
            <w:gridSpan w:val="4"/>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2024/2025 Treaty</w:t>
            </w:r>
          </w:p>
        </w:tc>
        <w:tc>
          <w:tcPr>
            <w:tcW w:w="80" w:type="dxa"/>
            <w:vAlign w:val="bottom"/>
          </w:tcPr>
          <w:p>
            <w:pPr>
              <w:spacing w:after="0"/>
              <w:rPr>
                <w:sz w:val="19"/>
                <w:szCs w:val="19"/>
                <w:color w:val="auto"/>
              </w:rPr>
            </w:pPr>
          </w:p>
        </w:tc>
      </w:tr>
      <w:tr>
        <w:trPr>
          <w:trHeight w:val="201"/>
        </w:trPr>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gridSpan w:val="2"/>
          </w:tcPr>
          <w:p>
            <w:pPr>
              <w:jc w:val="center"/>
              <w:ind w:right="320"/>
              <w:spacing w:after="0" w:line="201" w:lineRule="exact"/>
              <w:rPr>
                <w:sz w:val="20"/>
                <w:szCs w:val="20"/>
                <w:color w:val="auto"/>
              </w:rPr>
            </w:pPr>
            <w:r>
              <w:rPr>
                <w:rFonts w:ascii="Times New Roman" w:cs="Times New Roman" w:eastAsia="Times New Roman" w:hAnsi="Times New Roman"/>
                <w:sz w:val="18"/>
                <w:szCs w:val="18"/>
                <w:b w:val="1"/>
                <w:bCs w:val="1"/>
                <w:color w:val="auto"/>
              </w:rPr>
              <w:t>July 1,</w:t>
            </w:r>
          </w:p>
        </w:tc>
        <w:tc>
          <w:tcPr>
            <w:tcW w:w="120" w:type="dxa"/>
            <w:vAlign w:val="bottom"/>
          </w:tcPr>
          <w:p>
            <w:pPr>
              <w:spacing w:after="0"/>
              <w:rPr>
                <w:sz w:val="17"/>
                <w:szCs w:val="17"/>
                <w:color w:val="auto"/>
              </w:rPr>
            </w:pPr>
          </w:p>
        </w:tc>
        <w:tc>
          <w:tcPr>
            <w:tcW w:w="1360" w:type="dxa"/>
            <w:vAlign w:val="bottom"/>
            <w:gridSpan w:val="2"/>
          </w:tcPr>
          <w:p>
            <w:pPr>
              <w:jc w:val="center"/>
              <w:ind w:right="260"/>
              <w:spacing w:after="0" w:line="201" w:lineRule="exact"/>
              <w:rPr>
                <w:sz w:val="20"/>
                <w:szCs w:val="20"/>
                <w:color w:val="auto"/>
              </w:rPr>
            </w:pPr>
            <w:r>
              <w:rPr>
                <w:rFonts w:ascii="Times New Roman" w:cs="Times New Roman" w:eastAsia="Times New Roman" w:hAnsi="Times New Roman"/>
                <w:sz w:val="18"/>
                <w:szCs w:val="18"/>
                <w:b w:val="1"/>
                <w:bCs w:val="1"/>
                <w:color w:val="auto"/>
                <w:w w:val="99"/>
              </w:rPr>
              <w:t>January 1,</w:t>
            </w:r>
          </w:p>
        </w:tc>
        <w:tc>
          <w:tcPr>
            <w:tcW w:w="100" w:type="dxa"/>
            <w:vAlign w:val="bottom"/>
          </w:tcPr>
          <w:p>
            <w:pPr>
              <w:spacing w:after="0"/>
              <w:rPr>
                <w:sz w:val="17"/>
                <w:szCs w:val="17"/>
                <w:color w:val="auto"/>
              </w:rPr>
            </w:pPr>
          </w:p>
        </w:tc>
        <w:tc>
          <w:tcPr>
            <w:tcW w:w="1360" w:type="dxa"/>
            <w:vAlign w:val="bottom"/>
            <w:gridSpan w:val="2"/>
          </w:tcPr>
          <w:p>
            <w:pPr>
              <w:jc w:val="center"/>
              <w:ind w:right="240"/>
              <w:spacing w:after="0" w:line="201" w:lineRule="exact"/>
              <w:rPr>
                <w:sz w:val="20"/>
                <w:szCs w:val="20"/>
                <w:color w:val="auto"/>
              </w:rPr>
            </w:pPr>
            <w:r>
              <w:rPr>
                <w:rFonts w:ascii="Times New Roman" w:cs="Times New Roman" w:eastAsia="Times New Roman" w:hAnsi="Times New Roman"/>
                <w:sz w:val="18"/>
                <w:szCs w:val="18"/>
                <w:b w:val="1"/>
                <w:bCs w:val="1"/>
                <w:color w:val="auto"/>
              </w:rPr>
              <w:t>July 1,</w:t>
            </w:r>
          </w:p>
        </w:tc>
        <w:tc>
          <w:tcPr>
            <w:tcW w:w="120" w:type="dxa"/>
            <w:vAlign w:val="bottom"/>
          </w:tcPr>
          <w:p>
            <w:pPr>
              <w:spacing w:after="0"/>
              <w:rPr>
                <w:sz w:val="17"/>
                <w:szCs w:val="17"/>
                <w:color w:val="auto"/>
              </w:rPr>
            </w:pPr>
          </w:p>
        </w:tc>
        <w:tc>
          <w:tcPr>
            <w:tcW w:w="1380" w:type="dxa"/>
            <w:vAlign w:val="bottom"/>
            <w:gridSpan w:val="2"/>
          </w:tcPr>
          <w:p>
            <w:pPr>
              <w:jc w:val="center"/>
              <w:ind w:right="240"/>
              <w:spacing w:after="0" w:line="201" w:lineRule="exact"/>
              <w:rPr>
                <w:sz w:val="20"/>
                <w:szCs w:val="20"/>
                <w:color w:val="auto"/>
              </w:rPr>
            </w:pPr>
            <w:r>
              <w:rPr>
                <w:rFonts w:ascii="Times New Roman" w:cs="Times New Roman" w:eastAsia="Times New Roman" w:hAnsi="Times New Roman"/>
                <w:sz w:val="18"/>
                <w:szCs w:val="18"/>
                <w:b w:val="1"/>
                <w:bCs w:val="1"/>
                <w:color w:val="auto"/>
                <w:w w:val="99"/>
              </w:rPr>
              <w:t>January 1,</w:t>
            </w:r>
          </w:p>
        </w:tc>
      </w:tr>
      <w:tr>
        <w:trPr>
          <w:trHeight w:val="203"/>
        </w:trPr>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jc w:val="center"/>
              <w:ind w:right="130"/>
              <w:spacing w:after="0" w:line="202" w:lineRule="exact"/>
              <w:rPr>
                <w:sz w:val="20"/>
                <w:szCs w:val="20"/>
                <w:color w:val="auto"/>
              </w:rPr>
            </w:pPr>
            <w:r>
              <w:rPr>
                <w:rFonts w:ascii="Times New Roman" w:cs="Times New Roman" w:eastAsia="Times New Roman" w:hAnsi="Times New Roman"/>
                <w:sz w:val="18"/>
                <w:szCs w:val="18"/>
                <w:b w:val="1"/>
                <w:bCs w:val="1"/>
                <w:color w:val="auto"/>
                <w:w w:val="99"/>
              </w:rPr>
              <w:t>2025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jc w:val="right"/>
              <w:ind w:right="410"/>
              <w:spacing w:after="0" w:line="202" w:lineRule="exact"/>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jc w:val="center"/>
              <w:ind w:right="70"/>
              <w:spacing w:after="0" w:line="202" w:lineRule="exact"/>
              <w:rPr>
                <w:sz w:val="20"/>
                <w:szCs w:val="20"/>
                <w:color w:val="auto"/>
              </w:rPr>
            </w:pPr>
            <w:r>
              <w:rPr>
                <w:rFonts w:ascii="Times New Roman" w:cs="Times New Roman" w:eastAsia="Times New Roman" w:hAnsi="Times New Roman"/>
                <w:sz w:val="18"/>
                <w:szCs w:val="18"/>
                <w:b w:val="1"/>
                <w:bCs w:val="1"/>
                <w:color w:val="auto"/>
                <w:w w:val="99"/>
              </w:rPr>
              <w:t>2024</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jc w:val="center"/>
              <w:ind w:right="50"/>
              <w:spacing w:after="0" w:line="202" w:lineRule="exact"/>
              <w:rPr>
                <w:sz w:val="20"/>
                <w:szCs w:val="20"/>
                <w:color w:val="auto"/>
              </w:rPr>
            </w:pPr>
            <w:r>
              <w:rPr>
                <w:rFonts w:ascii="Times New Roman" w:cs="Times New Roman" w:eastAsia="Times New Roman" w:hAnsi="Times New Roman"/>
                <w:sz w:val="18"/>
                <w:szCs w:val="18"/>
                <w:b w:val="1"/>
                <w:bCs w:val="1"/>
                <w:color w:val="auto"/>
                <w:w w:val="99"/>
              </w:rPr>
              <w:t>2024</w:t>
            </w:r>
          </w:p>
        </w:tc>
        <w:tc>
          <w:tcPr>
            <w:tcW w:w="8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to</w:t>
            </w:r>
          </w:p>
        </w:tc>
        <w:tc>
          <w:tcPr>
            <w:tcW w:w="120" w:type="dxa"/>
            <w:vAlign w:val="bottom"/>
          </w:tcPr>
          <w:p>
            <w:pPr>
              <w:spacing w:after="0"/>
              <w:rPr>
                <w:sz w:val="18"/>
                <w:szCs w:val="18"/>
                <w:color w:val="auto"/>
              </w:rPr>
            </w:pPr>
          </w:p>
        </w:tc>
        <w:tc>
          <w:tcPr>
            <w:tcW w:w="13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3"/>
              </w:rPr>
              <w:t>to</w:t>
            </w:r>
          </w:p>
        </w:tc>
        <w:tc>
          <w:tcPr>
            <w:tcW w:w="100" w:type="dxa"/>
            <w:vAlign w:val="bottom"/>
          </w:tcPr>
          <w:p>
            <w:pPr>
              <w:spacing w:after="0"/>
              <w:rPr>
                <w:sz w:val="18"/>
                <w:szCs w:val="18"/>
                <w:color w:val="auto"/>
              </w:rPr>
            </w:pP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to</w:t>
            </w:r>
          </w:p>
        </w:tc>
        <w:tc>
          <w:tcPr>
            <w:tcW w:w="120" w:type="dxa"/>
            <w:vAlign w:val="bottom"/>
          </w:tcPr>
          <w:p>
            <w:pPr>
              <w:spacing w:after="0"/>
              <w:rPr>
                <w:sz w:val="18"/>
                <w:szCs w:val="18"/>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3"/>
              </w:rPr>
              <w:t>to</w:t>
            </w:r>
          </w:p>
        </w:tc>
      </w:tr>
      <w:tr>
        <w:trPr>
          <w:trHeight w:val="203"/>
        </w:trPr>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gridSpan w:val="2"/>
          </w:tcPr>
          <w:p>
            <w:pPr>
              <w:jc w:val="center"/>
              <w:ind w:right="260"/>
              <w:spacing w:after="0" w:line="202" w:lineRule="exact"/>
              <w:rPr>
                <w:sz w:val="20"/>
                <w:szCs w:val="20"/>
                <w:color w:val="auto"/>
              </w:rPr>
            </w:pPr>
            <w:r>
              <w:rPr>
                <w:rFonts w:ascii="Times New Roman" w:cs="Times New Roman" w:eastAsia="Times New Roman" w:hAnsi="Times New Roman"/>
                <w:sz w:val="18"/>
                <w:szCs w:val="18"/>
                <w:b w:val="1"/>
                <w:bCs w:val="1"/>
                <w:color w:val="auto"/>
                <w:w w:val="99"/>
              </w:rPr>
              <w:t>January 1,</w:t>
            </w:r>
          </w:p>
        </w:tc>
        <w:tc>
          <w:tcPr>
            <w:tcW w:w="120" w:type="dxa"/>
            <w:vAlign w:val="bottom"/>
          </w:tcPr>
          <w:p>
            <w:pPr>
              <w:spacing w:after="0"/>
              <w:rPr>
                <w:sz w:val="17"/>
                <w:szCs w:val="17"/>
                <w:color w:val="auto"/>
              </w:rPr>
            </w:pPr>
          </w:p>
        </w:tc>
        <w:tc>
          <w:tcPr>
            <w:tcW w:w="1360" w:type="dxa"/>
            <w:vAlign w:val="bottom"/>
            <w:gridSpan w:val="2"/>
          </w:tcPr>
          <w:p>
            <w:pPr>
              <w:jc w:val="center"/>
              <w:ind w:right="280"/>
              <w:spacing w:after="0" w:line="202" w:lineRule="exact"/>
              <w:rPr>
                <w:sz w:val="20"/>
                <w:szCs w:val="20"/>
                <w:color w:val="auto"/>
              </w:rPr>
            </w:pPr>
            <w:r>
              <w:rPr>
                <w:rFonts w:ascii="Times New Roman" w:cs="Times New Roman" w:eastAsia="Times New Roman" w:hAnsi="Times New Roman"/>
                <w:sz w:val="18"/>
                <w:szCs w:val="18"/>
                <w:b w:val="1"/>
                <w:bCs w:val="1"/>
                <w:color w:val="auto"/>
                <w:w w:val="99"/>
              </w:rPr>
              <w:t>June 30,</w:t>
            </w:r>
          </w:p>
        </w:tc>
        <w:tc>
          <w:tcPr>
            <w:tcW w:w="100" w:type="dxa"/>
            <w:vAlign w:val="bottom"/>
          </w:tcPr>
          <w:p>
            <w:pPr>
              <w:spacing w:after="0"/>
              <w:rPr>
                <w:sz w:val="17"/>
                <w:szCs w:val="17"/>
                <w:color w:val="auto"/>
              </w:rPr>
            </w:pPr>
          </w:p>
        </w:tc>
        <w:tc>
          <w:tcPr>
            <w:tcW w:w="1360" w:type="dxa"/>
            <w:vAlign w:val="bottom"/>
            <w:gridSpan w:val="2"/>
          </w:tcPr>
          <w:p>
            <w:pPr>
              <w:jc w:val="center"/>
              <w:ind w:right="180"/>
              <w:spacing w:after="0" w:line="202" w:lineRule="exact"/>
              <w:rPr>
                <w:sz w:val="20"/>
                <w:szCs w:val="20"/>
                <w:color w:val="auto"/>
              </w:rPr>
            </w:pPr>
            <w:r>
              <w:rPr>
                <w:rFonts w:ascii="Times New Roman" w:cs="Times New Roman" w:eastAsia="Times New Roman" w:hAnsi="Times New Roman"/>
                <w:sz w:val="18"/>
                <w:szCs w:val="18"/>
                <w:b w:val="1"/>
                <w:bCs w:val="1"/>
                <w:color w:val="auto"/>
                <w:w w:val="99"/>
              </w:rPr>
              <w:t>January 1,</w:t>
            </w:r>
          </w:p>
        </w:tc>
        <w:tc>
          <w:tcPr>
            <w:tcW w:w="120" w:type="dxa"/>
            <w:vAlign w:val="bottom"/>
          </w:tcPr>
          <w:p>
            <w:pPr>
              <w:spacing w:after="0"/>
              <w:rPr>
                <w:sz w:val="17"/>
                <w:szCs w:val="17"/>
                <w:color w:val="auto"/>
              </w:rPr>
            </w:pPr>
          </w:p>
        </w:tc>
        <w:tc>
          <w:tcPr>
            <w:tcW w:w="1380" w:type="dxa"/>
            <w:vAlign w:val="bottom"/>
            <w:gridSpan w:val="2"/>
          </w:tcPr>
          <w:p>
            <w:pPr>
              <w:jc w:val="center"/>
              <w:ind w:right="260"/>
              <w:spacing w:after="0" w:line="202" w:lineRule="exact"/>
              <w:rPr>
                <w:sz w:val="20"/>
                <w:szCs w:val="20"/>
                <w:color w:val="auto"/>
              </w:rPr>
            </w:pPr>
            <w:r>
              <w:rPr>
                <w:rFonts w:ascii="Times New Roman" w:cs="Times New Roman" w:eastAsia="Times New Roman" w:hAnsi="Times New Roman"/>
                <w:sz w:val="18"/>
                <w:szCs w:val="18"/>
                <w:b w:val="1"/>
                <w:bCs w:val="1"/>
                <w:color w:val="auto"/>
                <w:w w:val="99"/>
              </w:rPr>
              <w:t>June 30,</w:t>
            </w:r>
          </w:p>
        </w:tc>
      </w:tr>
      <w:tr>
        <w:trPr>
          <w:trHeight w:val="245"/>
        </w:trPr>
        <w:tc>
          <w:tcPr>
            <w:tcW w:w="20" w:type="dxa"/>
            <w:vAlign w:val="bottom"/>
            <w:tcBorders>
              <w:bottom w:val="single" w:sz="8" w:color="auto"/>
            </w:tcBorders>
          </w:tcPr>
          <w:p>
            <w:pPr>
              <w:spacing w:after="0"/>
              <w:rPr>
                <w:sz w:val="21"/>
                <w:szCs w:val="21"/>
                <w:color w:val="auto"/>
              </w:rPr>
            </w:pPr>
          </w:p>
        </w:tc>
        <w:tc>
          <w:tcPr>
            <w:tcW w:w="242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Line of Business</w:t>
            </w:r>
          </w:p>
        </w:tc>
        <w:tc>
          <w:tcPr>
            <w:tcW w:w="1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2026</w:t>
            </w:r>
          </w:p>
        </w:tc>
        <w:tc>
          <w:tcPr>
            <w:tcW w:w="1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80" w:type="dxa"/>
            <w:vAlign w:val="bottom"/>
          </w:tcPr>
          <w:p>
            <w:pPr>
              <w:spacing w:after="0"/>
              <w:rPr>
                <w:sz w:val="21"/>
                <w:szCs w:val="21"/>
                <w:color w:val="auto"/>
              </w:rPr>
            </w:pPr>
          </w:p>
        </w:tc>
      </w:tr>
      <w:tr>
        <w:trPr>
          <w:trHeight w:val="459"/>
        </w:trPr>
        <w:tc>
          <w:tcPr>
            <w:tcW w:w="20" w:type="dxa"/>
            <w:vAlign w:val="bottom"/>
          </w:tcPr>
          <w:p>
            <w:pPr>
              <w:spacing w:after="0"/>
              <w:rPr>
                <w:sz w:val="24"/>
                <w:szCs w:val="24"/>
                <w:color w:val="auto"/>
              </w:rPr>
            </w:pPr>
          </w:p>
        </w:tc>
        <w:tc>
          <w:tcPr>
            <w:tcW w:w="25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Personal Lines:</w:t>
            </w: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45"/>
        </w:trPr>
        <w:tc>
          <w:tcPr>
            <w:tcW w:w="20" w:type="dxa"/>
            <w:vAlign w:val="bottom"/>
          </w:tcPr>
          <w:p>
            <w:pPr>
              <w:spacing w:after="0"/>
              <w:rPr>
                <w:sz w:val="21"/>
                <w:szCs w:val="21"/>
                <w:color w:val="auto"/>
              </w:rPr>
            </w:pPr>
          </w:p>
        </w:tc>
        <w:tc>
          <w:tcPr>
            <w:tcW w:w="25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Homeowners, dwelling fire and</w:t>
            </w:r>
          </w:p>
        </w:tc>
        <w:tc>
          <w:tcPr>
            <w:tcW w:w="1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34"/>
        </w:trPr>
        <w:tc>
          <w:tcPr>
            <w:tcW w:w="20" w:type="dxa"/>
            <w:vAlign w:val="bottom"/>
          </w:tcPr>
          <w:p>
            <w:pPr>
              <w:spacing w:after="0"/>
              <w:rPr>
                <w:sz w:val="20"/>
                <w:szCs w:val="20"/>
                <w:color w:val="auto"/>
              </w:rPr>
            </w:pPr>
          </w:p>
        </w:tc>
        <w:tc>
          <w:tcPr>
            <w:tcW w:w="25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canine legal liability</w:t>
            </w:r>
          </w:p>
        </w:tc>
        <w:tc>
          <w:tcPr>
            <w:tcW w:w="1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63"/>
        </w:trPr>
        <w:tc>
          <w:tcPr>
            <w:tcW w:w="20" w:type="dxa"/>
            <w:vAlign w:val="bottom"/>
          </w:tcPr>
          <w:p>
            <w:pPr>
              <w:spacing w:after="0"/>
              <w:rPr>
                <w:sz w:val="22"/>
                <w:szCs w:val="22"/>
                <w:color w:val="auto"/>
              </w:rPr>
            </w:pPr>
          </w:p>
        </w:tc>
        <w:tc>
          <w:tcPr>
            <w:tcW w:w="2520" w:type="dxa"/>
            <w:vAlign w:val="bottom"/>
            <w:gridSpan w:val="4"/>
          </w:tcPr>
          <w:p>
            <w:pPr>
              <w:ind w:left="140"/>
              <w:spacing w:after="0"/>
              <w:rPr>
                <w:sz w:val="20"/>
                <w:szCs w:val="20"/>
                <w:color w:val="auto"/>
              </w:rPr>
            </w:pPr>
            <w:r>
              <w:rPr>
                <w:rFonts w:ascii="Times New Roman" w:cs="Times New Roman" w:eastAsia="Times New Roman" w:hAnsi="Times New Roman"/>
                <w:sz w:val="18"/>
                <w:szCs w:val="18"/>
                <w:color w:val="auto"/>
              </w:rPr>
              <w:t>Quota share treaty:</w:t>
            </w:r>
          </w:p>
        </w:tc>
        <w:tc>
          <w:tcPr>
            <w:tcW w:w="1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263"/>
        </w:trPr>
        <w:tc>
          <w:tcPr>
            <w:tcW w:w="20" w:type="dxa"/>
            <w:vAlign w:val="bottom"/>
            <w:shd w:val="clear" w:color="auto" w:fill="CCEEFF"/>
          </w:tcPr>
          <w:p>
            <w:pPr>
              <w:spacing w:after="0"/>
              <w:rPr>
                <w:sz w:val="22"/>
                <w:szCs w:val="22"/>
                <w:color w:val="auto"/>
              </w:rPr>
            </w:pPr>
          </w:p>
        </w:tc>
        <w:tc>
          <w:tcPr>
            <w:tcW w:w="2520" w:type="dxa"/>
            <w:vAlign w:val="bottom"/>
            <w:gridSpan w:val="4"/>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Percent ceded (7)</w:t>
            </w:r>
          </w:p>
        </w:tc>
        <w:tc>
          <w:tcPr>
            <w:tcW w:w="18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27 %</w:t>
            </w: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27 %</w:t>
            </w:r>
          </w:p>
        </w:tc>
        <w:tc>
          <w:tcPr>
            <w:tcW w:w="80" w:type="dxa"/>
            <w:vAlign w:val="bottom"/>
            <w:shd w:val="clear" w:color="auto" w:fill="CCEEFF"/>
          </w:tcPr>
          <w:p>
            <w:pPr>
              <w:spacing w:after="0"/>
              <w:rPr>
                <w:sz w:val="22"/>
                <w:szCs w:val="22"/>
                <w:color w:val="auto"/>
              </w:rPr>
            </w:pPr>
          </w:p>
        </w:tc>
      </w:tr>
      <w:tr>
        <w:trPr>
          <w:trHeight w:val="250"/>
        </w:trPr>
        <w:tc>
          <w:tcPr>
            <w:tcW w:w="20" w:type="dxa"/>
            <w:vAlign w:val="bottom"/>
          </w:tcPr>
          <w:p>
            <w:pPr>
              <w:spacing w:after="0"/>
              <w:rPr>
                <w:sz w:val="21"/>
                <w:szCs w:val="21"/>
                <w:color w:val="auto"/>
              </w:rPr>
            </w:pPr>
          </w:p>
        </w:tc>
        <w:tc>
          <w:tcPr>
            <w:tcW w:w="2520" w:type="dxa"/>
            <w:vAlign w:val="bottom"/>
            <w:gridSpan w:val="4"/>
          </w:tcPr>
          <w:p>
            <w:pPr>
              <w:ind w:left="140"/>
              <w:spacing w:after="0"/>
              <w:rPr>
                <w:sz w:val="20"/>
                <w:szCs w:val="20"/>
                <w:color w:val="auto"/>
              </w:rPr>
            </w:pPr>
            <w:r>
              <w:rPr>
                <w:rFonts w:ascii="Times New Roman" w:cs="Times New Roman" w:eastAsia="Times New Roman" w:hAnsi="Times New Roman"/>
                <w:sz w:val="18"/>
                <w:szCs w:val="18"/>
                <w:color w:val="auto"/>
              </w:rPr>
              <w:t>Risk retained on initial</w:t>
            </w:r>
          </w:p>
        </w:tc>
        <w:tc>
          <w:tcPr>
            <w:tcW w:w="1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18"/>
        </w:trPr>
        <w:tc>
          <w:tcPr>
            <w:tcW w:w="20" w:type="dxa"/>
            <w:vAlign w:val="bottom"/>
            <w:shd w:val="clear" w:color="auto" w:fill="CCEEFF"/>
          </w:tcPr>
          <w:p>
            <w:pPr>
              <w:spacing w:after="0"/>
              <w:rPr>
                <w:sz w:val="18"/>
                <w:szCs w:val="18"/>
                <w:color w:val="auto"/>
              </w:rPr>
            </w:pPr>
          </w:p>
        </w:tc>
        <w:tc>
          <w:tcPr>
            <w:tcW w:w="2520" w:type="dxa"/>
            <w:vAlign w:val="bottom"/>
            <w:gridSpan w:val="4"/>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$1,000,000 of losses (5) (6)</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48"/>
        </w:trPr>
        <w:tc>
          <w:tcPr>
            <w:tcW w:w="1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(7)</w:t>
            </w:r>
          </w:p>
        </w:tc>
        <w:tc>
          <w:tcPr>
            <w:tcW w:w="72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840,000</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840,000</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730,000</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730,000</w:t>
            </w:r>
          </w:p>
        </w:tc>
        <w:tc>
          <w:tcPr>
            <w:tcW w:w="80" w:type="dxa"/>
            <w:vAlign w:val="bottom"/>
            <w:shd w:val="clear" w:color="auto" w:fill="CCEEFF"/>
          </w:tcPr>
          <w:p>
            <w:pPr>
              <w:spacing w:after="0"/>
              <w:rPr>
                <w:sz w:val="21"/>
                <w:szCs w:val="21"/>
                <w:color w:val="auto"/>
              </w:rPr>
            </w:pPr>
          </w:p>
        </w:tc>
      </w:tr>
      <w:tr>
        <w:trPr>
          <w:trHeight w:val="250"/>
        </w:trPr>
        <w:tc>
          <w:tcPr>
            <w:tcW w:w="20" w:type="dxa"/>
            <w:vAlign w:val="bottom"/>
          </w:tcPr>
          <w:p>
            <w:pPr>
              <w:spacing w:after="0"/>
              <w:rPr>
                <w:sz w:val="21"/>
                <w:szCs w:val="21"/>
                <w:color w:val="auto"/>
              </w:rPr>
            </w:pPr>
          </w:p>
        </w:tc>
        <w:tc>
          <w:tcPr>
            <w:tcW w:w="2520" w:type="dxa"/>
            <w:vAlign w:val="bottom"/>
            <w:gridSpan w:val="4"/>
          </w:tcPr>
          <w:p>
            <w:pPr>
              <w:ind w:left="140"/>
              <w:spacing w:after="0"/>
              <w:rPr>
                <w:sz w:val="20"/>
                <w:szCs w:val="20"/>
                <w:color w:val="auto"/>
              </w:rPr>
            </w:pPr>
            <w:r>
              <w:rPr>
                <w:rFonts w:ascii="Times New Roman" w:cs="Times New Roman" w:eastAsia="Times New Roman" w:hAnsi="Times New Roman"/>
                <w:sz w:val="18"/>
                <w:szCs w:val="18"/>
                <w:color w:val="auto"/>
              </w:rPr>
              <w:t>Losses per occurrence</w:t>
            </w:r>
          </w:p>
        </w:tc>
        <w:tc>
          <w:tcPr>
            <w:tcW w:w="1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63"/>
        </w:trPr>
        <w:tc>
          <w:tcPr>
            <w:tcW w:w="20" w:type="dxa"/>
            <w:vAlign w:val="bottom"/>
            <w:shd w:val="clear" w:color="auto" w:fill="CCEEFF"/>
          </w:tcPr>
          <w:p>
            <w:pPr>
              <w:spacing w:after="0"/>
              <w:rPr>
                <w:sz w:val="22"/>
                <w:szCs w:val="22"/>
                <w:color w:val="auto"/>
              </w:rPr>
            </w:pPr>
          </w:p>
        </w:tc>
        <w:tc>
          <w:tcPr>
            <w:tcW w:w="2520" w:type="dxa"/>
            <w:vAlign w:val="bottom"/>
            <w:gridSpan w:val="4"/>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subject to quota share</w:t>
            </w:r>
          </w:p>
        </w:tc>
        <w:tc>
          <w:tcPr>
            <w:tcW w:w="18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r>
      <w:tr>
        <w:trPr>
          <w:trHeight w:val="250"/>
        </w:trPr>
        <w:tc>
          <w:tcPr>
            <w:tcW w:w="20" w:type="dxa"/>
            <w:vAlign w:val="bottom"/>
          </w:tcPr>
          <w:p>
            <w:pPr>
              <w:spacing w:after="0"/>
              <w:rPr>
                <w:sz w:val="21"/>
                <w:szCs w:val="21"/>
                <w:color w:val="auto"/>
              </w:rPr>
            </w:pPr>
          </w:p>
        </w:tc>
        <w:tc>
          <w:tcPr>
            <w:tcW w:w="2520" w:type="dxa"/>
            <w:vAlign w:val="bottom"/>
            <w:gridSpan w:val="4"/>
          </w:tcPr>
          <w:p>
            <w:pPr>
              <w:ind w:left="300"/>
              <w:spacing w:after="0"/>
              <w:rPr>
                <w:sz w:val="20"/>
                <w:szCs w:val="20"/>
                <w:color w:val="auto"/>
              </w:rPr>
            </w:pPr>
            <w:r>
              <w:rPr>
                <w:rFonts w:ascii="Times New Roman" w:cs="Times New Roman" w:eastAsia="Times New Roman" w:hAnsi="Times New Roman"/>
                <w:sz w:val="18"/>
                <w:szCs w:val="18"/>
                <w:color w:val="auto"/>
              </w:rPr>
              <w:t>reinsurance coverage</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1,000,000</w:t>
            </w:r>
          </w:p>
        </w:tc>
        <w:tc>
          <w:tcPr>
            <w:tcW w:w="100" w:type="dxa"/>
            <w:vAlign w:val="bottom"/>
          </w:tcPr>
          <w:p>
            <w:pPr>
              <w:spacing w:after="0"/>
              <w:rPr>
                <w:sz w:val="21"/>
                <w:szCs w:val="21"/>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1,000,000</w:t>
            </w:r>
          </w:p>
        </w:tc>
        <w:tc>
          <w:tcPr>
            <w:tcW w:w="100" w:type="dxa"/>
            <w:vAlign w:val="bottom"/>
          </w:tcPr>
          <w:p>
            <w:pPr>
              <w:spacing w:after="0"/>
              <w:rPr>
                <w:sz w:val="21"/>
                <w:szCs w:val="21"/>
                <w:color w:val="auto"/>
              </w:rPr>
            </w:pPr>
          </w:p>
        </w:tc>
        <w:tc>
          <w:tcPr>
            <w:tcW w:w="100" w:type="dxa"/>
            <w:vAlign w:val="bottom"/>
          </w:tcPr>
          <w:p>
            <w:pPr>
              <w:ind w:left="20"/>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1,000,000</w:t>
            </w:r>
          </w:p>
        </w:tc>
        <w:tc>
          <w:tcPr>
            <w:tcW w:w="80" w:type="dxa"/>
            <w:vAlign w:val="bottom"/>
          </w:tcPr>
          <w:p>
            <w:pPr>
              <w:spacing w:after="0"/>
              <w:rPr>
                <w:sz w:val="21"/>
                <w:szCs w:val="21"/>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1,000,000</w:t>
            </w:r>
          </w:p>
        </w:tc>
        <w:tc>
          <w:tcPr>
            <w:tcW w:w="80" w:type="dxa"/>
            <w:vAlign w:val="bottom"/>
          </w:tcPr>
          <w:p>
            <w:pPr>
              <w:spacing w:after="0"/>
              <w:rPr>
                <w:sz w:val="21"/>
                <w:szCs w:val="21"/>
                <w:color w:val="auto"/>
              </w:rPr>
            </w:pPr>
          </w:p>
        </w:tc>
      </w:tr>
      <w:tr>
        <w:trPr>
          <w:trHeight w:val="263"/>
        </w:trPr>
        <w:tc>
          <w:tcPr>
            <w:tcW w:w="20" w:type="dxa"/>
            <w:vAlign w:val="bottom"/>
            <w:shd w:val="clear" w:color="auto" w:fill="CCEEFF"/>
          </w:tcPr>
          <w:p>
            <w:pPr>
              <w:spacing w:after="0"/>
              <w:rPr>
                <w:sz w:val="22"/>
                <w:szCs w:val="22"/>
                <w:color w:val="auto"/>
              </w:rPr>
            </w:pPr>
          </w:p>
        </w:tc>
        <w:tc>
          <w:tcPr>
            <w:tcW w:w="2520" w:type="dxa"/>
            <w:vAlign w:val="bottom"/>
            <w:gridSpan w:val="4"/>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Expiration date</w:t>
            </w:r>
          </w:p>
        </w:tc>
        <w:tc>
          <w:tcPr>
            <w:tcW w:w="142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January 1, 2026</w:t>
            </w:r>
          </w:p>
        </w:tc>
        <w:tc>
          <w:tcPr>
            <w:tcW w:w="120" w:type="dxa"/>
            <w:vAlign w:val="bottom"/>
            <w:shd w:val="clear" w:color="auto" w:fill="CCEEFF"/>
          </w:tcPr>
          <w:p>
            <w:pPr>
              <w:spacing w:after="0"/>
              <w:rPr>
                <w:sz w:val="22"/>
                <w:szCs w:val="22"/>
                <w:color w:val="auto"/>
              </w:rPr>
            </w:pPr>
          </w:p>
        </w:tc>
        <w:tc>
          <w:tcPr>
            <w:tcW w:w="1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January 1, 2026</w:t>
            </w:r>
          </w:p>
        </w:tc>
        <w:tc>
          <w:tcPr>
            <w:tcW w:w="100" w:type="dxa"/>
            <w:vAlign w:val="bottom"/>
            <w:shd w:val="clear" w:color="auto" w:fill="CCEEFF"/>
          </w:tcPr>
          <w:p>
            <w:pPr>
              <w:spacing w:after="0"/>
              <w:rPr>
                <w:sz w:val="22"/>
                <w:szCs w:val="22"/>
                <w:color w:val="auto"/>
              </w:rPr>
            </w:pPr>
          </w:p>
        </w:tc>
        <w:tc>
          <w:tcPr>
            <w:tcW w:w="1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January 1, 2025</w:t>
            </w:r>
          </w:p>
        </w:tc>
        <w:tc>
          <w:tcPr>
            <w:tcW w:w="120" w:type="dxa"/>
            <w:vAlign w:val="bottom"/>
            <w:shd w:val="clear" w:color="auto" w:fill="CCEEFF"/>
          </w:tcPr>
          <w:p>
            <w:pPr>
              <w:spacing w:after="0"/>
              <w:rPr>
                <w:sz w:val="22"/>
                <w:szCs w:val="22"/>
                <w:color w:val="auto"/>
              </w:rPr>
            </w:pPr>
          </w:p>
        </w:tc>
        <w:tc>
          <w:tcPr>
            <w:tcW w:w="1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January 1, 2025</w:t>
            </w:r>
          </w:p>
        </w:tc>
      </w:tr>
      <w:tr>
        <w:trPr>
          <w:trHeight w:val="250"/>
        </w:trPr>
        <w:tc>
          <w:tcPr>
            <w:tcW w:w="20" w:type="dxa"/>
            <w:vAlign w:val="bottom"/>
          </w:tcPr>
          <w:p>
            <w:pPr>
              <w:spacing w:after="0"/>
              <w:rPr>
                <w:sz w:val="21"/>
                <w:szCs w:val="21"/>
                <w:color w:val="auto"/>
              </w:rPr>
            </w:pPr>
          </w:p>
        </w:tc>
        <w:tc>
          <w:tcPr>
            <w:tcW w:w="2520" w:type="dxa"/>
            <w:vAlign w:val="bottom"/>
            <w:gridSpan w:val="4"/>
          </w:tcPr>
          <w:p>
            <w:pPr>
              <w:ind w:left="140"/>
              <w:spacing w:after="0"/>
              <w:rPr>
                <w:sz w:val="20"/>
                <w:szCs w:val="20"/>
                <w:color w:val="auto"/>
              </w:rPr>
            </w:pPr>
            <w:r>
              <w:rPr>
                <w:rFonts w:ascii="Times New Roman" w:cs="Times New Roman" w:eastAsia="Times New Roman" w:hAnsi="Times New Roman"/>
                <w:sz w:val="18"/>
                <w:szCs w:val="18"/>
                <w:color w:val="auto"/>
              </w:rPr>
              <w:t>Excess of loss coverage and</w:t>
            </w:r>
          </w:p>
        </w:tc>
        <w:tc>
          <w:tcPr>
            <w:tcW w:w="1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63"/>
        </w:trPr>
        <w:tc>
          <w:tcPr>
            <w:tcW w:w="20" w:type="dxa"/>
            <w:vAlign w:val="bottom"/>
            <w:shd w:val="clear" w:color="auto" w:fill="CCEEFF"/>
          </w:tcPr>
          <w:p>
            <w:pPr>
              <w:spacing w:after="0"/>
              <w:rPr>
                <w:sz w:val="22"/>
                <w:szCs w:val="22"/>
                <w:color w:val="auto"/>
              </w:rPr>
            </w:pPr>
          </w:p>
        </w:tc>
        <w:tc>
          <w:tcPr>
            <w:tcW w:w="2520" w:type="dxa"/>
            <w:vAlign w:val="bottom"/>
            <w:gridSpan w:val="4"/>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facultative facility</w:t>
            </w:r>
          </w:p>
        </w:tc>
        <w:tc>
          <w:tcPr>
            <w:tcW w:w="18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r>
      <w:tr>
        <w:trPr>
          <w:trHeight w:val="250"/>
        </w:trPr>
        <w:tc>
          <w:tcPr>
            <w:tcW w:w="20" w:type="dxa"/>
            <w:vAlign w:val="bottom"/>
          </w:tcPr>
          <w:p>
            <w:pPr>
              <w:spacing w:after="0"/>
              <w:rPr>
                <w:sz w:val="21"/>
                <w:szCs w:val="21"/>
                <w:color w:val="auto"/>
              </w:rPr>
            </w:pPr>
          </w:p>
        </w:tc>
        <w:tc>
          <w:tcPr>
            <w:tcW w:w="2520" w:type="dxa"/>
            <w:vAlign w:val="bottom"/>
            <w:gridSpan w:val="4"/>
          </w:tcPr>
          <w:p>
            <w:pPr>
              <w:ind w:left="300"/>
              <w:spacing w:after="0"/>
              <w:rPr>
                <w:sz w:val="20"/>
                <w:szCs w:val="20"/>
                <w:color w:val="auto"/>
              </w:rPr>
            </w:pPr>
            <w:r>
              <w:rPr>
                <w:rFonts w:ascii="Times New Roman" w:cs="Times New Roman" w:eastAsia="Times New Roman" w:hAnsi="Times New Roman"/>
                <w:sz w:val="18"/>
                <w:szCs w:val="18"/>
                <w:color w:val="auto"/>
              </w:rPr>
              <w:t>coverage (1) (5) (6)</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21"/>
                <w:szCs w:val="21"/>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8,400,000</w:t>
            </w:r>
          </w:p>
        </w:tc>
        <w:tc>
          <w:tcPr>
            <w:tcW w:w="100" w:type="dxa"/>
            <w:vAlign w:val="bottom"/>
          </w:tcPr>
          <w:p>
            <w:pPr>
              <w:spacing w:after="0"/>
              <w:rPr>
                <w:sz w:val="21"/>
                <w:szCs w:val="21"/>
                <w:color w:val="auto"/>
              </w:rPr>
            </w:pPr>
          </w:p>
        </w:tc>
        <w:tc>
          <w:tcPr>
            <w:tcW w:w="100" w:type="dxa"/>
            <w:vAlign w:val="bottom"/>
          </w:tcPr>
          <w:p>
            <w:pPr>
              <w:ind w:left="20"/>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8,400,000</w:t>
            </w:r>
          </w:p>
        </w:tc>
        <w:tc>
          <w:tcPr>
            <w:tcW w:w="80" w:type="dxa"/>
            <w:vAlign w:val="bottom"/>
          </w:tcPr>
          <w:p>
            <w:pPr>
              <w:spacing w:after="0"/>
              <w:rPr>
                <w:sz w:val="21"/>
                <w:szCs w:val="21"/>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8,400,000</w:t>
            </w:r>
          </w:p>
        </w:tc>
        <w:tc>
          <w:tcPr>
            <w:tcW w:w="80" w:type="dxa"/>
            <w:vAlign w:val="bottom"/>
          </w:tcPr>
          <w:p>
            <w:pPr>
              <w:spacing w:after="0"/>
              <w:rPr>
                <w:sz w:val="21"/>
                <w:szCs w:val="21"/>
                <w:color w:val="auto"/>
              </w:rPr>
            </w:pPr>
          </w:p>
        </w:tc>
      </w:tr>
      <w:tr>
        <w:trPr>
          <w:trHeight w:val="263"/>
        </w:trPr>
        <w:tc>
          <w:tcPr>
            <w:tcW w:w="2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 excess of</w:t>
            </w:r>
          </w:p>
        </w:tc>
        <w:tc>
          <w:tcPr>
            <w:tcW w:w="14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 excess of</w:t>
            </w:r>
          </w:p>
        </w:tc>
        <w:tc>
          <w:tcPr>
            <w:tcW w:w="15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 excess of</w:t>
            </w:r>
          </w:p>
        </w:tc>
      </w:tr>
      <w:tr>
        <w:trPr>
          <w:trHeight w:val="250"/>
        </w:trPr>
        <w:tc>
          <w:tcPr>
            <w:tcW w:w="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600,000</w:t>
            </w:r>
          </w:p>
        </w:tc>
        <w:tc>
          <w:tcPr>
            <w:tcW w:w="100" w:type="dxa"/>
            <w:vAlign w:val="bottom"/>
          </w:tcPr>
          <w:p>
            <w:pPr>
              <w:spacing w:after="0"/>
              <w:rPr>
                <w:sz w:val="21"/>
                <w:szCs w:val="21"/>
                <w:color w:val="auto"/>
              </w:rPr>
            </w:pPr>
          </w:p>
        </w:tc>
        <w:tc>
          <w:tcPr>
            <w:tcW w:w="100" w:type="dxa"/>
            <w:vAlign w:val="bottom"/>
          </w:tcPr>
          <w:p>
            <w:pPr>
              <w:ind w:left="20"/>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600,000</w:t>
            </w:r>
          </w:p>
        </w:tc>
        <w:tc>
          <w:tcPr>
            <w:tcW w:w="80" w:type="dxa"/>
            <w:vAlign w:val="bottom"/>
          </w:tcPr>
          <w:p>
            <w:pPr>
              <w:spacing w:after="0"/>
              <w:rPr>
                <w:sz w:val="21"/>
                <w:szCs w:val="21"/>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600,000</w:t>
            </w:r>
          </w:p>
        </w:tc>
        <w:tc>
          <w:tcPr>
            <w:tcW w:w="80" w:type="dxa"/>
            <w:vAlign w:val="bottom"/>
          </w:tcPr>
          <w:p>
            <w:pPr>
              <w:spacing w:after="0"/>
              <w:rPr>
                <w:sz w:val="21"/>
                <w:szCs w:val="21"/>
                <w:color w:val="auto"/>
              </w:rPr>
            </w:pPr>
          </w:p>
        </w:tc>
      </w:tr>
      <w:tr>
        <w:trPr>
          <w:trHeight w:val="263"/>
        </w:trPr>
        <w:tc>
          <w:tcPr>
            <w:tcW w:w="20" w:type="dxa"/>
            <w:vAlign w:val="bottom"/>
            <w:shd w:val="clear" w:color="auto" w:fill="CCEEFF"/>
          </w:tcPr>
          <w:p>
            <w:pPr>
              <w:spacing w:after="0"/>
              <w:rPr>
                <w:sz w:val="22"/>
                <w:szCs w:val="22"/>
                <w:color w:val="auto"/>
              </w:rPr>
            </w:pPr>
          </w:p>
        </w:tc>
        <w:tc>
          <w:tcPr>
            <w:tcW w:w="2520" w:type="dxa"/>
            <w:vAlign w:val="bottom"/>
            <w:gridSpan w:val="4"/>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reinsurance coverage</w:t>
            </w:r>
          </w:p>
        </w:tc>
        <w:tc>
          <w:tcPr>
            <w:tcW w:w="18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r>
      <w:tr>
        <w:trPr>
          <w:trHeight w:val="250"/>
        </w:trPr>
        <w:tc>
          <w:tcPr>
            <w:tcW w:w="20" w:type="dxa"/>
            <w:vAlign w:val="bottom"/>
          </w:tcPr>
          <w:p>
            <w:pPr>
              <w:spacing w:after="0"/>
              <w:rPr>
                <w:sz w:val="21"/>
                <w:szCs w:val="21"/>
                <w:color w:val="auto"/>
              </w:rPr>
            </w:pPr>
          </w:p>
        </w:tc>
        <w:tc>
          <w:tcPr>
            <w:tcW w:w="2520" w:type="dxa"/>
            <w:vAlign w:val="bottom"/>
            <w:gridSpan w:val="4"/>
          </w:tcPr>
          <w:p>
            <w:pPr>
              <w:ind w:left="300"/>
              <w:spacing w:after="0"/>
              <w:rPr>
                <w:sz w:val="20"/>
                <w:szCs w:val="20"/>
                <w:color w:val="auto"/>
              </w:rPr>
            </w:pPr>
            <w:r>
              <w:rPr>
                <w:rFonts w:ascii="Times New Roman" w:cs="Times New Roman" w:eastAsia="Times New Roman" w:hAnsi="Times New Roman"/>
                <w:sz w:val="18"/>
                <w:szCs w:val="18"/>
                <w:color w:val="auto"/>
              </w:rPr>
              <w:t>per occurrence (5) (6)</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160,000</w:t>
            </w:r>
          </w:p>
        </w:tc>
        <w:tc>
          <w:tcPr>
            <w:tcW w:w="100" w:type="dxa"/>
            <w:vAlign w:val="bottom"/>
          </w:tcPr>
          <w:p>
            <w:pPr>
              <w:spacing w:after="0"/>
              <w:rPr>
                <w:sz w:val="21"/>
                <w:szCs w:val="21"/>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8,360,000</w:t>
            </w:r>
          </w:p>
        </w:tc>
        <w:tc>
          <w:tcPr>
            <w:tcW w:w="100" w:type="dxa"/>
            <w:vAlign w:val="bottom"/>
          </w:tcPr>
          <w:p>
            <w:pPr>
              <w:spacing w:after="0"/>
              <w:rPr>
                <w:sz w:val="21"/>
                <w:szCs w:val="21"/>
                <w:color w:val="auto"/>
              </w:rPr>
            </w:pPr>
          </w:p>
        </w:tc>
        <w:tc>
          <w:tcPr>
            <w:tcW w:w="100" w:type="dxa"/>
            <w:vAlign w:val="bottom"/>
          </w:tcPr>
          <w:p>
            <w:pPr>
              <w:ind w:left="20"/>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8,470,000</w:t>
            </w:r>
          </w:p>
        </w:tc>
        <w:tc>
          <w:tcPr>
            <w:tcW w:w="80" w:type="dxa"/>
            <w:vAlign w:val="bottom"/>
          </w:tcPr>
          <w:p>
            <w:pPr>
              <w:spacing w:after="0"/>
              <w:rPr>
                <w:sz w:val="21"/>
                <w:szCs w:val="21"/>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8,470,000</w:t>
            </w:r>
          </w:p>
        </w:tc>
        <w:tc>
          <w:tcPr>
            <w:tcW w:w="80" w:type="dxa"/>
            <w:vAlign w:val="bottom"/>
          </w:tcPr>
          <w:p>
            <w:pPr>
              <w:spacing w:after="0"/>
              <w:rPr>
                <w:sz w:val="21"/>
                <w:szCs w:val="21"/>
                <w:color w:val="auto"/>
              </w:rPr>
            </w:pPr>
          </w:p>
        </w:tc>
      </w:tr>
      <w:tr>
        <w:trPr>
          <w:trHeight w:val="263"/>
        </w:trPr>
        <w:tc>
          <w:tcPr>
            <w:tcW w:w="20" w:type="dxa"/>
            <w:vAlign w:val="bottom"/>
            <w:shd w:val="clear" w:color="auto" w:fill="CCEEFF"/>
          </w:tcPr>
          <w:p>
            <w:pPr>
              <w:spacing w:after="0"/>
              <w:rPr>
                <w:sz w:val="22"/>
                <w:szCs w:val="22"/>
                <w:color w:val="auto"/>
              </w:rPr>
            </w:pPr>
          </w:p>
        </w:tc>
        <w:tc>
          <w:tcPr>
            <w:tcW w:w="2520" w:type="dxa"/>
            <w:vAlign w:val="bottom"/>
            <w:gridSpan w:val="4"/>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Losses per occurrence</w:t>
            </w:r>
          </w:p>
        </w:tc>
        <w:tc>
          <w:tcPr>
            <w:tcW w:w="18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r>
      <w:tr>
        <w:trPr>
          <w:trHeight w:val="250"/>
        </w:trPr>
        <w:tc>
          <w:tcPr>
            <w:tcW w:w="20" w:type="dxa"/>
            <w:vAlign w:val="bottom"/>
          </w:tcPr>
          <w:p>
            <w:pPr>
              <w:spacing w:after="0"/>
              <w:rPr>
                <w:sz w:val="21"/>
                <w:szCs w:val="21"/>
                <w:color w:val="auto"/>
              </w:rPr>
            </w:pPr>
          </w:p>
        </w:tc>
        <w:tc>
          <w:tcPr>
            <w:tcW w:w="2520" w:type="dxa"/>
            <w:vAlign w:val="bottom"/>
            <w:gridSpan w:val="4"/>
          </w:tcPr>
          <w:p>
            <w:pPr>
              <w:ind w:left="300"/>
              <w:spacing w:after="0"/>
              <w:rPr>
                <w:sz w:val="20"/>
                <w:szCs w:val="20"/>
                <w:color w:val="auto"/>
              </w:rPr>
            </w:pPr>
            <w:r>
              <w:rPr>
                <w:rFonts w:ascii="Times New Roman" w:cs="Times New Roman" w:eastAsia="Times New Roman" w:hAnsi="Times New Roman"/>
                <w:sz w:val="18"/>
                <w:szCs w:val="18"/>
                <w:color w:val="auto"/>
              </w:rPr>
              <w:t>subject to reinsurance</w:t>
            </w:r>
          </w:p>
        </w:tc>
        <w:tc>
          <w:tcPr>
            <w:tcW w:w="1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63"/>
        </w:trPr>
        <w:tc>
          <w:tcPr>
            <w:tcW w:w="20" w:type="dxa"/>
            <w:vAlign w:val="bottom"/>
            <w:shd w:val="clear" w:color="auto" w:fill="CCEEFF"/>
          </w:tcPr>
          <w:p>
            <w:pPr>
              <w:spacing w:after="0"/>
              <w:rPr>
                <w:sz w:val="22"/>
                <w:szCs w:val="22"/>
                <w:color w:val="auto"/>
              </w:rPr>
            </w:pPr>
          </w:p>
        </w:tc>
        <w:tc>
          <w:tcPr>
            <w:tcW w:w="2520" w:type="dxa"/>
            <w:vAlign w:val="bottom"/>
            <w:gridSpan w:val="4"/>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coverage (6)</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1,000,000</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9,000,000</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9,000,000</w:t>
            </w: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9,000,000</w:t>
            </w:r>
          </w:p>
        </w:tc>
        <w:tc>
          <w:tcPr>
            <w:tcW w:w="80" w:type="dxa"/>
            <w:vAlign w:val="bottom"/>
            <w:shd w:val="clear" w:color="auto" w:fill="CCEEFF"/>
          </w:tcPr>
          <w:p>
            <w:pPr>
              <w:spacing w:after="0"/>
              <w:rPr>
                <w:sz w:val="22"/>
                <w:szCs w:val="22"/>
                <w:color w:val="auto"/>
              </w:rPr>
            </w:pPr>
          </w:p>
        </w:tc>
      </w:tr>
      <w:tr>
        <w:trPr>
          <w:trHeight w:val="250"/>
        </w:trPr>
        <w:tc>
          <w:tcPr>
            <w:tcW w:w="20" w:type="dxa"/>
            <w:vAlign w:val="bottom"/>
          </w:tcPr>
          <w:p>
            <w:pPr>
              <w:spacing w:after="0"/>
              <w:rPr>
                <w:sz w:val="21"/>
                <w:szCs w:val="21"/>
                <w:color w:val="auto"/>
              </w:rPr>
            </w:pPr>
          </w:p>
        </w:tc>
        <w:tc>
          <w:tcPr>
            <w:tcW w:w="2520" w:type="dxa"/>
            <w:vAlign w:val="bottom"/>
            <w:gridSpan w:val="4"/>
          </w:tcPr>
          <w:p>
            <w:pPr>
              <w:ind w:left="140"/>
              <w:spacing w:after="0"/>
              <w:rPr>
                <w:sz w:val="20"/>
                <w:szCs w:val="20"/>
                <w:color w:val="auto"/>
              </w:rPr>
            </w:pPr>
            <w:r>
              <w:rPr>
                <w:rFonts w:ascii="Times New Roman" w:cs="Times New Roman" w:eastAsia="Times New Roman" w:hAnsi="Times New Roman"/>
                <w:sz w:val="18"/>
                <w:szCs w:val="18"/>
                <w:color w:val="auto"/>
              </w:rPr>
              <w:t>Expiration date</w:t>
            </w:r>
          </w:p>
        </w:tc>
        <w:tc>
          <w:tcPr>
            <w:tcW w:w="180" w:type="dxa"/>
            <w:vAlign w:val="bottom"/>
          </w:tcPr>
          <w:p>
            <w:pPr>
              <w:spacing w:after="0"/>
              <w:rPr>
                <w:sz w:val="21"/>
                <w:szCs w:val="21"/>
                <w:color w:val="auto"/>
              </w:rPr>
            </w:pPr>
          </w:p>
        </w:tc>
        <w:tc>
          <w:tcPr>
            <w:tcW w:w="11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June 30, 2025</w:t>
            </w:r>
          </w:p>
        </w:tc>
        <w:tc>
          <w:tcPr>
            <w:tcW w:w="100" w:type="dxa"/>
            <w:vAlign w:val="bottom"/>
          </w:tcPr>
          <w:p>
            <w:pPr>
              <w:spacing w:after="0"/>
              <w:rPr>
                <w:sz w:val="21"/>
                <w:szCs w:val="21"/>
                <w:color w:val="auto"/>
              </w:rPr>
            </w:pPr>
          </w:p>
        </w:tc>
        <w:tc>
          <w:tcPr>
            <w:tcW w:w="13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June 30, 2025</w:t>
            </w:r>
          </w:p>
        </w:tc>
        <w:tc>
          <w:tcPr>
            <w:tcW w:w="120" w:type="dxa"/>
            <w:vAlign w:val="bottom"/>
          </w:tcPr>
          <w:p>
            <w:pPr>
              <w:spacing w:after="0"/>
              <w:rPr>
                <w:sz w:val="21"/>
                <w:szCs w:val="21"/>
                <w:color w:val="auto"/>
              </w:rPr>
            </w:pPr>
          </w:p>
        </w:tc>
        <w:tc>
          <w:tcPr>
            <w:tcW w:w="13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June 30, 2024</w:t>
            </w:r>
          </w:p>
        </w:tc>
      </w:tr>
      <w:tr>
        <w:trPr>
          <w:trHeight w:val="277"/>
        </w:trPr>
        <w:tc>
          <w:tcPr>
            <w:tcW w:w="2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r>
      <w:tr>
        <w:trPr>
          <w:trHeight w:val="203"/>
        </w:trPr>
        <w:tc>
          <w:tcPr>
            <w:tcW w:w="20" w:type="dxa"/>
            <w:vAlign w:val="bottom"/>
          </w:tcPr>
          <w:p>
            <w:pPr>
              <w:spacing w:after="0"/>
              <w:rPr>
                <w:sz w:val="17"/>
                <w:szCs w:val="17"/>
                <w:color w:val="auto"/>
              </w:rPr>
            </w:pPr>
          </w:p>
        </w:tc>
        <w:tc>
          <w:tcPr>
            <w:tcW w:w="2520" w:type="dxa"/>
            <w:vAlign w:val="bottom"/>
            <w:gridSpan w:val="4"/>
          </w:tcPr>
          <w:p>
            <w:pPr>
              <w:spacing w:after="0" w:line="202" w:lineRule="exact"/>
              <w:rPr>
                <w:sz w:val="20"/>
                <w:szCs w:val="20"/>
                <w:color w:val="auto"/>
              </w:rPr>
            </w:pPr>
            <w:r>
              <w:rPr>
                <w:rFonts w:ascii="Times New Roman" w:cs="Times New Roman" w:eastAsia="Times New Roman" w:hAnsi="Times New Roman"/>
                <w:sz w:val="18"/>
                <w:szCs w:val="18"/>
                <w:color w:val="auto"/>
              </w:rPr>
              <w:t>Catastrophe Reinsurance:</w:t>
            </w: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34"/>
        </w:trPr>
        <w:tc>
          <w:tcPr>
            <w:tcW w:w="20" w:type="dxa"/>
            <w:vAlign w:val="bottom"/>
          </w:tcPr>
          <w:p>
            <w:pPr>
              <w:spacing w:after="0"/>
              <w:rPr>
                <w:sz w:val="2"/>
                <w:szCs w:val="2"/>
                <w:color w:val="auto"/>
              </w:rPr>
            </w:pPr>
          </w:p>
        </w:tc>
        <w:tc>
          <w:tcPr>
            <w:tcW w:w="1120" w:type="dxa"/>
            <w:vAlign w:val="bottom"/>
            <w:tcBorders>
              <w:top w:val="single" w:sz="8" w:color="auto"/>
            </w:tcBorders>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56"/>
        </w:trPr>
        <w:tc>
          <w:tcPr>
            <w:tcW w:w="20" w:type="dxa"/>
            <w:vAlign w:val="bottom"/>
            <w:shd w:val="clear" w:color="auto" w:fill="CCEEFF"/>
          </w:tcPr>
          <w:p>
            <w:pPr>
              <w:spacing w:after="0"/>
              <w:rPr>
                <w:sz w:val="22"/>
                <w:szCs w:val="22"/>
                <w:color w:val="auto"/>
              </w:rPr>
            </w:pPr>
          </w:p>
        </w:tc>
        <w:tc>
          <w:tcPr>
            <w:tcW w:w="2520" w:type="dxa"/>
            <w:vAlign w:val="bottom"/>
            <w:gridSpan w:val="4"/>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Initial loss subject to personal</w:t>
            </w:r>
          </w:p>
        </w:tc>
        <w:tc>
          <w:tcPr>
            <w:tcW w:w="18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r>
      <w:tr>
        <w:trPr>
          <w:trHeight w:val="250"/>
        </w:trPr>
        <w:tc>
          <w:tcPr>
            <w:tcW w:w="20" w:type="dxa"/>
            <w:vAlign w:val="bottom"/>
          </w:tcPr>
          <w:p>
            <w:pPr>
              <w:spacing w:after="0"/>
              <w:rPr>
                <w:sz w:val="21"/>
                <w:szCs w:val="21"/>
                <w:color w:val="auto"/>
              </w:rPr>
            </w:pPr>
          </w:p>
        </w:tc>
        <w:tc>
          <w:tcPr>
            <w:tcW w:w="2520" w:type="dxa"/>
            <w:vAlign w:val="bottom"/>
            <w:gridSpan w:val="4"/>
          </w:tcPr>
          <w:p>
            <w:pPr>
              <w:ind w:left="300"/>
              <w:spacing w:after="0"/>
              <w:rPr>
                <w:sz w:val="20"/>
                <w:szCs w:val="20"/>
                <w:color w:val="auto"/>
              </w:rPr>
            </w:pPr>
            <w:r>
              <w:rPr>
                <w:rFonts w:ascii="Times New Roman" w:cs="Times New Roman" w:eastAsia="Times New Roman" w:hAnsi="Times New Roman"/>
                <w:sz w:val="18"/>
                <w:szCs w:val="18"/>
                <w:color w:val="auto"/>
              </w:rPr>
              <w:t>lines quota share treaty (6)</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10,000,000</w:t>
            </w:r>
          </w:p>
        </w:tc>
        <w:tc>
          <w:tcPr>
            <w:tcW w:w="100" w:type="dxa"/>
            <w:vAlign w:val="bottom"/>
          </w:tcPr>
          <w:p>
            <w:pPr>
              <w:spacing w:after="0"/>
              <w:rPr>
                <w:sz w:val="21"/>
                <w:szCs w:val="21"/>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10,000,000</w:t>
            </w:r>
          </w:p>
        </w:tc>
        <w:tc>
          <w:tcPr>
            <w:tcW w:w="100" w:type="dxa"/>
            <w:vAlign w:val="bottom"/>
          </w:tcPr>
          <w:p>
            <w:pPr>
              <w:spacing w:after="0"/>
              <w:rPr>
                <w:sz w:val="21"/>
                <w:szCs w:val="21"/>
                <w:color w:val="auto"/>
              </w:rPr>
            </w:pPr>
          </w:p>
        </w:tc>
        <w:tc>
          <w:tcPr>
            <w:tcW w:w="100" w:type="dxa"/>
            <w:vAlign w:val="bottom"/>
          </w:tcPr>
          <w:p>
            <w:pPr>
              <w:ind w:left="20"/>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10,000,000</w:t>
            </w:r>
          </w:p>
        </w:tc>
        <w:tc>
          <w:tcPr>
            <w:tcW w:w="80" w:type="dxa"/>
            <w:vAlign w:val="bottom"/>
          </w:tcPr>
          <w:p>
            <w:pPr>
              <w:spacing w:after="0"/>
              <w:rPr>
                <w:sz w:val="21"/>
                <w:szCs w:val="21"/>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10,000,000</w:t>
            </w:r>
          </w:p>
        </w:tc>
        <w:tc>
          <w:tcPr>
            <w:tcW w:w="80" w:type="dxa"/>
            <w:vAlign w:val="bottom"/>
          </w:tcPr>
          <w:p>
            <w:pPr>
              <w:spacing w:after="0"/>
              <w:rPr>
                <w:sz w:val="21"/>
                <w:szCs w:val="21"/>
                <w:color w:val="auto"/>
              </w:rPr>
            </w:pPr>
          </w:p>
        </w:tc>
      </w:tr>
      <w:tr>
        <w:trPr>
          <w:trHeight w:val="263"/>
        </w:trPr>
        <w:tc>
          <w:tcPr>
            <w:tcW w:w="20" w:type="dxa"/>
            <w:vAlign w:val="bottom"/>
            <w:shd w:val="clear" w:color="auto" w:fill="CCEEFF"/>
          </w:tcPr>
          <w:p>
            <w:pPr>
              <w:spacing w:after="0"/>
              <w:rPr>
                <w:sz w:val="22"/>
                <w:szCs w:val="22"/>
                <w:color w:val="auto"/>
              </w:rPr>
            </w:pPr>
          </w:p>
        </w:tc>
        <w:tc>
          <w:tcPr>
            <w:tcW w:w="2520" w:type="dxa"/>
            <w:vAlign w:val="bottom"/>
            <w:gridSpan w:val="4"/>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Risk retained per catastrophe</w:t>
            </w:r>
          </w:p>
        </w:tc>
        <w:tc>
          <w:tcPr>
            <w:tcW w:w="18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r>
      <w:tr>
        <w:trPr>
          <w:trHeight w:val="250"/>
        </w:trPr>
        <w:tc>
          <w:tcPr>
            <w:tcW w:w="20" w:type="dxa"/>
            <w:vAlign w:val="bottom"/>
          </w:tcPr>
          <w:p>
            <w:pPr>
              <w:spacing w:after="0"/>
              <w:rPr>
                <w:sz w:val="21"/>
                <w:szCs w:val="21"/>
                <w:color w:val="auto"/>
              </w:rPr>
            </w:pPr>
          </w:p>
        </w:tc>
        <w:tc>
          <w:tcPr>
            <w:tcW w:w="2520" w:type="dxa"/>
            <w:vAlign w:val="bottom"/>
            <w:gridSpan w:val="4"/>
          </w:tcPr>
          <w:p>
            <w:pPr>
              <w:ind w:left="300"/>
              <w:spacing w:after="0"/>
              <w:rPr>
                <w:sz w:val="20"/>
                <w:szCs w:val="20"/>
                <w:color w:val="auto"/>
              </w:rPr>
            </w:pPr>
            <w:r>
              <w:rPr>
                <w:rFonts w:ascii="Times New Roman" w:cs="Times New Roman" w:eastAsia="Times New Roman" w:hAnsi="Times New Roman"/>
                <w:sz w:val="18"/>
                <w:szCs w:val="18"/>
                <w:color w:val="auto"/>
              </w:rPr>
              <w:t>occurrence (6) (7) (8) (9)</w:t>
            </w:r>
          </w:p>
        </w:tc>
        <w:tc>
          <w:tcPr>
            <w:tcW w:w="180" w:type="dxa"/>
            <w:vAlign w:val="bottom"/>
          </w:tcPr>
          <w:p>
            <w:pPr>
              <w:spacing w:after="0"/>
              <w:rPr>
                <w:sz w:val="21"/>
                <w:szCs w:val="21"/>
                <w:color w:val="auto"/>
              </w:rPr>
            </w:pPr>
          </w:p>
        </w:tc>
        <w:tc>
          <w:tcPr>
            <w:tcW w:w="11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21"/>
                <w:szCs w:val="21"/>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4,250,000</w:t>
            </w:r>
          </w:p>
        </w:tc>
        <w:tc>
          <w:tcPr>
            <w:tcW w:w="100" w:type="dxa"/>
            <w:vAlign w:val="bottom"/>
          </w:tcPr>
          <w:p>
            <w:pPr>
              <w:spacing w:after="0"/>
              <w:rPr>
                <w:sz w:val="21"/>
                <w:szCs w:val="21"/>
                <w:color w:val="auto"/>
              </w:rPr>
            </w:pPr>
          </w:p>
        </w:tc>
        <w:tc>
          <w:tcPr>
            <w:tcW w:w="100" w:type="dxa"/>
            <w:vAlign w:val="bottom"/>
          </w:tcPr>
          <w:p>
            <w:pPr>
              <w:ind w:left="20"/>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4,750,000</w:t>
            </w:r>
          </w:p>
        </w:tc>
        <w:tc>
          <w:tcPr>
            <w:tcW w:w="80" w:type="dxa"/>
            <w:vAlign w:val="bottom"/>
          </w:tcPr>
          <w:p>
            <w:pPr>
              <w:spacing w:after="0"/>
              <w:rPr>
                <w:sz w:val="21"/>
                <w:szCs w:val="21"/>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9,500,000</w:t>
            </w:r>
          </w:p>
        </w:tc>
        <w:tc>
          <w:tcPr>
            <w:tcW w:w="80" w:type="dxa"/>
            <w:vAlign w:val="bottom"/>
          </w:tcPr>
          <w:p>
            <w:pPr>
              <w:spacing w:after="0"/>
              <w:rPr>
                <w:sz w:val="21"/>
                <w:szCs w:val="21"/>
                <w:color w:val="auto"/>
              </w:rPr>
            </w:pPr>
          </w:p>
        </w:tc>
      </w:tr>
      <w:tr>
        <w:trPr>
          <w:trHeight w:val="263"/>
        </w:trPr>
        <w:tc>
          <w:tcPr>
            <w:tcW w:w="20" w:type="dxa"/>
            <w:vAlign w:val="bottom"/>
            <w:shd w:val="clear" w:color="auto" w:fill="CCEEFF"/>
          </w:tcPr>
          <w:p>
            <w:pPr>
              <w:spacing w:after="0"/>
              <w:rPr>
                <w:sz w:val="22"/>
                <w:szCs w:val="22"/>
                <w:color w:val="auto"/>
              </w:rPr>
            </w:pPr>
          </w:p>
        </w:tc>
        <w:tc>
          <w:tcPr>
            <w:tcW w:w="2520" w:type="dxa"/>
            <w:vAlign w:val="bottom"/>
            <w:gridSpan w:val="4"/>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Catastrophe loss coverage</w:t>
            </w:r>
          </w:p>
        </w:tc>
        <w:tc>
          <w:tcPr>
            <w:tcW w:w="18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r>
      <w:tr>
        <w:trPr>
          <w:trHeight w:val="250"/>
        </w:trPr>
        <w:tc>
          <w:tcPr>
            <w:tcW w:w="20" w:type="dxa"/>
            <w:vAlign w:val="bottom"/>
          </w:tcPr>
          <w:p>
            <w:pPr>
              <w:spacing w:after="0"/>
              <w:rPr>
                <w:sz w:val="21"/>
                <w:szCs w:val="21"/>
                <w:color w:val="auto"/>
              </w:rPr>
            </w:pPr>
          </w:p>
        </w:tc>
        <w:tc>
          <w:tcPr>
            <w:tcW w:w="2520" w:type="dxa"/>
            <w:vAlign w:val="bottom"/>
            <w:gridSpan w:val="4"/>
          </w:tcPr>
          <w:p>
            <w:pPr>
              <w:ind w:left="300"/>
              <w:spacing w:after="0"/>
              <w:rPr>
                <w:sz w:val="20"/>
                <w:szCs w:val="20"/>
                <w:color w:val="auto"/>
              </w:rPr>
            </w:pPr>
            <w:r>
              <w:rPr>
                <w:rFonts w:ascii="Times New Roman" w:cs="Times New Roman" w:eastAsia="Times New Roman" w:hAnsi="Times New Roman"/>
                <w:sz w:val="18"/>
                <w:szCs w:val="18"/>
                <w:color w:val="auto"/>
              </w:rPr>
              <w:t>in excess of quota share</w:t>
            </w:r>
          </w:p>
        </w:tc>
        <w:tc>
          <w:tcPr>
            <w:tcW w:w="1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63"/>
        </w:trPr>
        <w:tc>
          <w:tcPr>
            <w:tcW w:w="20" w:type="dxa"/>
            <w:vAlign w:val="bottom"/>
            <w:shd w:val="clear" w:color="auto" w:fill="CCEEFF"/>
          </w:tcPr>
          <w:p>
            <w:pPr>
              <w:spacing w:after="0"/>
              <w:rPr>
                <w:sz w:val="22"/>
                <w:szCs w:val="22"/>
                <w:color w:val="auto"/>
              </w:rPr>
            </w:pPr>
          </w:p>
        </w:tc>
        <w:tc>
          <w:tcPr>
            <w:tcW w:w="2520" w:type="dxa"/>
            <w:vAlign w:val="bottom"/>
            <w:gridSpan w:val="4"/>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coverage (2) (6)</w:t>
            </w:r>
          </w:p>
        </w:tc>
        <w:tc>
          <w:tcPr>
            <w:tcW w:w="18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275,000,000</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275,000,000</w:t>
            </w: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315,000,000</w:t>
            </w:r>
          </w:p>
        </w:tc>
        <w:tc>
          <w:tcPr>
            <w:tcW w:w="80" w:type="dxa"/>
            <w:vAlign w:val="bottom"/>
            <w:shd w:val="clear" w:color="auto" w:fill="CCEEFF"/>
          </w:tcPr>
          <w:p>
            <w:pPr>
              <w:spacing w:after="0"/>
              <w:rPr>
                <w:sz w:val="22"/>
                <w:szCs w:val="22"/>
                <w:color w:val="auto"/>
              </w:rPr>
            </w:pPr>
          </w:p>
        </w:tc>
      </w:tr>
      <w:tr>
        <w:trPr>
          <w:trHeight w:val="270"/>
        </w:trPr>
        <w:tc>
          <w:tcPr>
            <w:tcW w:w="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80" w:type="dxa"/>
            <w:vAlign w:val="bottom"/>
          </w:tcPr>
          <w:p>
            <w:pPr>
              <w:spacing w:after="0"/>
              <w:rPr>
                <w:sz w:val="23"/>
                <w:szCs w:val="23"/>
                <w:color w:val="auto"/>
              </w:rPr>
            </w:pPr>
          </w:p>
        </w:tc>
      </w:tr>
      <w:tr>
        <w:trPr>
          <w:trHeight w:val="256"/>
        </w:trPr>
        <w:tc>
          <w:tcPr>
            <w:tcW w:w="20" w:type="dxa"/>
            <w:vAlign w:val="bottom"/>
            <w:shd w:val="clear" w:color="auto" w:fill="CCEEFF"/>
          </w:tcPr>
          <w:p>
            <w:pPr>
              <w:spacing w:after="0"/>
              <w:rPr>
                <w:sz w:val="22"/>
                <w:szCs w:val="22"/>
                <w:color w:val="auto"/>
              </w:rPr>
            </w:pPr>
          </w:p>
        </w:tc>
        <w:tc>
          <w:tcPr>
            <w:tcW w:w="2520" w:type="dxa"/>
            <w:vAlign w:val="bottom"/>
            <w:gridSpan w:val="4"/>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Reinstatement premium</w:t>
            </w:r>
          </w:p>
        </w:tc>
        <w:tc>
          <w:tcPr>
            <w:tcW w:w="18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r>
      <w:tr>
        <w:trPr>
          <w:trHeight w:val="243"/>
        </w:trPr>
        <w:tc>
          <w:tcPr>
            <w:tcW w:w="20" w:type="dxa"/>
            <w:vAlign w:val="bottom"/>
          </w:tcPr>
          <w:p>
            <w:pPr>
              <w:spacing w:after="0"/>
              <w:rPr>
                <w:sz w:val="21"/>
                <w:szCs w:val="21"/>
                <w:color w:val="auto"/>
              </w:rPr>
            </w:pPr>
          </w:p>
        </w:tc>
        <w:tc>
          <w:tcPr>
            <w:tcW w:w="2520" w:type="dxa"/>
            <w:vAlign w:val="bottom"/>
            <w:gridSpan w:val="4"/>
          </w:tcPr>
          <w:p>
            <w:pPr>
              <w:ind w:left="300"/>
              <w:spacing w:after="0"/>
              <w:rPr>
                <w:sz w:val="20"/>
                <w:szCs w:val="20"/>
                <w:color w:val="auto"/>
              </w:rPr>
            </w:pPr>
            <w:r>
              <w:rPr>
                <w:rFonts w:ascii="Times New Roman" w:cs="Times New Roman" w:eastAsia="Times New Roman" w:hAnsi="Times New Roman"/>
                <w:sz w:val="18"/>
                <w:szCs w:val="18"/>
                <w:color w:val="auto"/>
              </w:rPr>
              <w:t>protection (3) (4)</w:t>
            </w:r>
          </w:p>
        </w:tc>
        <w:tc>
          <w:tcPr>
            <w:tcW w:w="180" w:type="dxa"/>
            <w:vAlign w:val="bottom"/>
          </w:tcPr>
          <w:p>
            <w:pPr>
              <w:spacing w:after="0"/>
              <w:rPr>
                <w:sz w:val="21"/>
                <w:szCs w:val="21"/>
                <w:color w:val="auto"/>
              </w:rPr>
            </w:pPr>
          </w:p>
        </w:tc>
        <w:tc>
          <w:tcPr>
            <w:tcW w:w="11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2"/>
              </w:rPr>
              <w:t>Yes</w:t>
            </w:r>
          </w:p>
        </w:tc>
        <w:tc>
          <w:tcPr>
            <w:tcW w:w="100" w:type="dxa"/>
            <w:vAlign w:val="bottom"/>
          </w:tcPr>
          <w:p>
            <w:pPr>
              <w:spacing w:after="0"/>
              <w:rPr>
                <w:sz w:val="21"/>
                <w:szCs w:val="21"/>
                <w:color w:val="auto"/>
              </w:rPr>
            </w:pPr>
          </w:p>
        </w:tc>
        <w:tc>
          <w:tcPr>
            <w:tcW w:w="13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2"/>
              </w:rPr>
              <w:t>Yes</w:t>
            </w:r>
          </w:p>
        </w:tc>
        <w:tc>
          <w:tcPr>
            <w:tcW w:w="120" w:type="dxa"/>
            <w:vAlign w:val="bottom"/>
          </w:tcPr>
          <w:p>
            <w:pPr>
              <w:spacing w:after="0"/>
              <w:rPr>
                <w:sz w:val="21"/>
                <w:szCs w:val="21"/>
                <w:color w:val="auto"/>
              </w:rPr>
            </w:pPr>
          </w:p>
        </w:tc>
        <w:tc>
          <w:tcPr>
            <w:tcW w:w="13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2"/>
              </w:rPr>
              <w:t>Yes</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19" w:right="1440"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900" w:hanging="892"/>
        <w:spacing w:after="0" w:line="261" w:lineRule="auto"/>
        <w:tabs>
          <w:tab w:leader="none" w:pos="894"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personal lines, includes the addition of an automatic facultative facility allowing KICO to obtain homeowners single risk coverage up to $9,000,000 in total insured value, which covers direct losses from $3,500,000 to $9,000,000 through June 30, 2025.</w:t>
      </w:r>
    </w:p>
    <w:p>
      <w:pPr>
        <w:jc w:val="both"/>
        <w:ind w:left="900" w:hanging="892"/>
        <w:spacing w:after="0" w:line="250" w:lineRule="auto"/>
        <w:tabs>
          <w:tab w:leader="none" w:pos="894"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Catastrophe coverage is limited on an annual basis to two times the per occurrence amounts, except for one occurrence on the first layer of $5,000,000 in excess of $5,000,000. Duration of 168 consecutive hours for a catastrophe occurrence from windstorm, hail, tornado, hurricane and cyclone.</w:t>
      </w:r>
    </w:p>
    <w:p>
      <w:pPr>
        <w:spacing w:after="0" w:line="1" w:lineRule="exact"/>
        <w:rPr>
          <w:rFonts w:ascii="Times New Roman" w:cs="Times New Roman" w:eastAsia="Times New Roman" w:hAnsi="Times New Roman"/>
          <w:sz w:val="18"/>
          <w:szCs w:val="18"/>
          <w:color w:val="auto"/>
        </w:rPr>
      </w:pPr>
    </w:p>
    <w:p>
      <w:pPr>
        <w:ind w:left="900" w:hanging="892"/>
        <w:spacing w:after="0" w:line="250" w:lineRule="auto"/>
        <w:tabs>
          <w:tab w:leader="none" w:pos="894"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period July 1, 2023 through June 30, 2024, reinstatement premium protection for $50,000,000 of catastrophe coverage in excess of $10,000,000.</w:t>
      </w:r>
    </w:p>
    <w:p>
      <w:pPr>
        <w:ind w:left="900" w:hanging="892"/>
        <w:spacing w:after="0" w:line="250" w:lineRule="auto"/>
        <w:tabs>
          <w:tab w:leader="none" w:pos="894"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period July 1, 2024 through June 30, 2025 (expiration date of the catastrophe reinsurance treaty), reinstatement premium protection for $50,000,000 of catastrophe coverage in excess of $10,000,000.</w:t>
      </w:r>
    </w:p>
    <w:p>
      <w:pPr>
        <w:jc w:val="both"/>
        <w:ind w:left="900" w:right="20" w:hanging="892"/>
        <w:spacing w:after="0" w:line="250" w:lineRule="auto"/>
        <w:tabs>
          <w:tab w:leader="none" w:pos="894"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period January 1, 2024 through June 30, 2025, Underlying XOL Treaty provides 50% reinsurance coverage for losses of $400,000 in excess of $600,000. Excludes losses from named storms. Reduces retention to $530,000 from $730,000 under the 2024/2025 Treaty. Retention increases to $640,000 from $530,000 under the 2025/2026 Treaty.</w:t>
      </w:r>
    </w:p>
    <w:p>
      <w:pPr>
        <w:spacing w:after="0" w:line="1" w:lineRule="exact"/>
        <w:rPr>
          <w:rFonts w:ascii="Times New Roman" w:cs="Times New Roman" w:eastAsia="Times New Roman" w:hAnsi="Times New Roman"/>
          <w:sz w:val="18"/>
          <w:szCs w:val="18"/>
          <w:color w:val="auto"/>
        </w:rPr>
      </w:pPr>
    </w:p>
    <w:p>
      <w:pPr>
        <w:jc w:val="both"/>
        <w:ind w:left="900" w:hanging="892"/>
        <w:spacing w:after="0" w:line="250" w:lineRule="auto"/>
        <w:tabs>
          <w:tab w:leader="none" w:pos="894"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Excess of loss coverage and facultative facility, Underlying XOL Treaty, and catastrophe reinsurance treaties will expire on June 30, 2025, with none of these coverages to be in effect during the period from July 1, 2025 through January 1, 2026. If and when these treaties are renewed on July 1, 2025, the excess of loss and facultative facility, Underlying XOL Treaty, and the catastrophe reinsurance treaty, will be as provided for therein. Reinsurance coverage in effect from July 1, 2025 through January 1, 2026 is currently only covered under the 2025/2026 Treaty. The 2025/2026 Treaty will expire on January 1, 2026.</w:t>
      </w:r>
    </w:p>
    <w:p>
      <w:pPr>
        <w:spacing w:after="0" w:line="1" w:lineRule="exact"/>
        <w:rPr>
          <w:rFonts w:ascii="Times New Roman" w:cs="Times New Roman" w:eastAsia="Times New Roman" w:hAnsi="Times New Roman"/>
          <w:sz w:val="18"/>
          <w:szCs w:val="18"/>
          <w:color w:val="auto"/>
        </w:rPr>
      </w:pPr>
    </w:p>
    <w:p>
      <w:pPr>
        <w:ind w:left="900" w:right="640" w:hanging="892"/>
        <w:spacing w:after="0" w:line="250" w:lineRule="auto"/>
        <w:tabs>
          <w:tab w:leader="none" w:pos="894"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2024/2025 Treaty, 22% of the 27% total of losses ceded under this treaty are excluded from a named catastrophe event. For the 2025/2026 Treaty, 6% of the 16% total of losses ceded under this treaty are excluded from a named catastrophe event.</w:t>
      </w:r>
    </w:p>
    <w:p>
      <w:pPr>
        <w:ind w:left="900" w:hanging="892"/>
        <w:spacing w:after="0"/>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Plus losses in excess of catastrophe coverage</w:t>
      </w:r>
    </w:p>
    <w:p>
      <w:pPr>
        <w:spacing w:after="0" w:line="9" w:lineRule="exact"/>
        <w:rPr>
          <w:rFonts w:ascii="Times New Roman" w:cs="Times New Roman" w:eastAsia="Times New Roman" w:hAnsi="Times New Roman"/>
          <w:sz w:val="18"/>
          <w:szCs w:val="18"/>
          <w:color w:val="auto"/>
        </w:rPr>
      </w:pPr>
    </w:p>
    <w:p>
      <w:pPr>
        <w:ind w:left="900" w:right="100" w:hanging="892"/>
        <w:spacing w:after="0" w:line="255" w:lineRule="auto"/>
        <w:tabs>
          <w:tab w:leader="none" w:pos="894"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period October 1, 2024 through April 30, 2025, additional catastrophe reinsurance treaty will provide coverage for winter storm losses to the extent of 71% of $4,500,000 in excess of $5,500,000. Retention for winter storms under this treaty is $4,800,000 under the 2024/2025 Treaty and $5,200,000 under the 2025/2026 Treaty.</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5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3120" w:type="dxa"/>
            <w:vAlign w:val="bottom"/>
            <w:tcBorders>
              <w:bottom w:val="single" w:sz="8" w:color="auto"/>
            </w:tcBorders>
            <w:gridSpan w:val="4"/>
          </w:tcPr>
          <w:p>
            <w:pPr>
              <w:jc w:val="right"/>
              <w:ind w:right="1090"/>
              <w:spacing w:after="0"/>
              <w:rPr>
                <w:sz w:val="20"/>
                <w:szCs w:val="20"/>
                <w:color w:val="auto"/>
              </w:rPr>
            </w:pPr>
            <w:r>
              <w:rPr>
                <w:rFonts w:ascii="Times New Roman" w:cs="Times New Roman" w:eastAsia="Times New Roman" w:hAnsi="Times New Roman"/>
                <w:sz w:val="18"/>
                <w:szCs w:val="18"/>
                <w:b w:val="1"/>
                <w:bCs w:val="1"/>
                <w:color w:val="auto"/>
              </w:rPr>
              <w:t>Treaty Year</w:t>
            </w:r>
          </w:p>
        </w:tc>
      </w:tr>
      <w:tr>
        <w:trPr>
          <w:trHeight w:val="207"/>
        </w:trPr>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July 1, 2024</w:t>
            </w:r>
          </w:p>
        </w:tc>
        <w:tc>
          <w:tcPr>
            <w:tcW w:w="200" w:type="dxa"/>
            <w:vAlign w:val="bottom"/>
          </w:tcPr>
          <w:p>
            <w:pPr>
              <w:spacing w:after="0"/>
              <w:rPr>
                <w:sz w:val="18"/>
                <w:szCs w:val="18"/>
                <w:color w:val="auto"/>
              </w:rPr>
            </w:pPr>
          </w:p>
        </w:tc>
        <w:tc>
          <w:tcPr>
            <w:tcW w:w="142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July 1, 2023</w:t>
            </w:r>
          </w:p>
        </w:tc>
      </w:tr>
      <w:tr>
        <w:trPr>
          <w:trHeight w:val="216"/>
        </w:trPr>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to</w:t>
            </w:r>
          </w:p>
        </w:tc>
        <w:tc>
          <w:tcPr>
            <w:tcW w:w="200" w:type="dxa"/>
            <w:vAlign w:val="bottom"/>
          </w:tcPr>
          <w:p>
            <w:pPr>
              <w:spacing w:after="0"/>
              <w:rPr>
                <w:sz w:val="18"/>
                <w:szCs w:val="18"/>
                <w:color w:val="auto"/>
              </w:rPr>
            </w:pPr>
          </w:p>
        </w:tc>
        <w:tc>
          <w:tcPr>
            <w:tcW w:w="142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to</w:t>
            </w:r>
          </w:p>
        </w:tc>
      </w:tr>
      <w:tr>
        <w:trPr>
          <w:trHeight w:val="245"/>
        </w:trPr>
        <w:tc>
          <w:tcPr>
            <w:tcW w:w="20" w:type="dxa"/>
            <w:vAlign w:val="bottom"/>
            <w:tcBorders>
              <w:bottom w:val="single" w:sz="8" w:color="auto"/>
            </w:tcBorders>
          </w:tcPr>
          <w:p>
            <w:pPr>
              <w:spacing w:after="0"/>
              <w:rPr>
                <w:sz w:val="21"/>
                <w:szCs w:val="21"/>
                <w:color w:val="auto"/>
              </w:rPr>
            </w:pPr>
          </w:p>
        </w:tc>
        <w:tc>
          <w:tcPr>
            <w:tcW w:w="62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Line of Business</w:t>
            </w:r>
          </w:p>
        </w:tc>
        <w:tc>
          <w:tcPr>
            <w:tcW w:w="1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June 30, 2025</w:t>
            </w:r>
          </w:p>
        </w:tc>
        <w:tc>
          <w:tcPr>
            <w:tcW w:w="8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June 30, 2024</w:t>
            </w:r>
          </w:p>
        </w:tc>
      </w:tr>
      <w:tr>
        <w:trPr>
          <w:trHeight w:val="459"/>
        </w:trPr>
        <w:tc>
          <w:tcPr>
            <w:tcW w:w="20" w:type="dxa"/>
            <w:vAlign w:val="bottom"/>
          </w:tcPr>
          <w:p>
            <w:pPr>
              <w:spacing w:after="0"/>
              <w:rPr>
                <w:sz w:val="24"/>
                <w:szCs w:val="24"/>
                <w:color w:val="auto"/>
              </w:rPr>
            </w:pPr>
          </w:p>
        </w:tc>
        <w:tc>
          <w:tcPr>
            <w:tcW w:w="6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Personal Lines:</w:t>
            </w:r>
          </w:p>
        </w:tc>
        <w:tc>
          <w:tcPr>
            <w:tcW w:w="2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52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277"/>
        </w:trPr>
        <w:tc>
          <w:tcPr>
            <w:tcW w:w="20" w:type="dxa"/>
            <w:vAlign w:val="bottom"/>
          </w:tcPr>
          <w:p>
            <w:pPr>
              <w:spacing w:after="0"/>
              <w:rPr>
                <w:sz w:val="24"/>
                <w:szCs w:val="24"/>
                <w:color w:val="auto"/>
              </w:rPr>
            </w:pPr>
          </w:p>
        </w:tc>
        <w:tc>
          <w:tcPr>
            <w:tcW w:w="6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Personal Umbrella</w:t>
            </w:r>
          </w:p>
        </w:tc>
        <w:tc>
          <w:tcPr>
            <w:tcW w:w="2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63"/>
        </w:trPr>
        <w:tc>
          <w:tcPr>
            <w:tcW w:w="20" w:type="dxa"/>
            <w:vAlign w:val="bottom"/>
          </w:tcPr>
          <w:p>
            <w:pPr>
              <w:spacing w:after="0"/>
              <w:rPr>
                <w:sz w:val="22"/>
                <w:szCs w:val="22"/>
                <w:color w:val="auto"/>
              </w:rPr>
            </w:pPr>
          </w:p>
        </w:tc>
        <w:tc>
          <w:tcPr>
            <w:tcW w:w="634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Quota share treaty:</w:t>
            </w:r>
          </w:p>
        </w:tc>
        <w:tc>
          <w:tcPr>
            <w:tcW w:w="20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20" w:type="dxa"/>
            <w:vAlign w:val="bottom"/>
          </w:tcPr>
          <w:p>
            <w:pPr>
              <w:spacing w:after="0"/>
              <w:rPr>
                <w:sz w:val="22"/>
                <w:szCs w:val="22"/>
                <w:color w:val="auto"/>
              </w:rPr>
            </w:pPr>
          </w:p>
        </w:tc>
      </w:tr>
      <w:tr>
        <w:trPr>
          <w:trHeight w:val="263"/>
        </w:trPr>
        <w:tc>
          <w:tcPr>
            <w:tcW w:w="20" w:type="dxa"/>
            <w:vAlign w:val="bottom"/>
            <w:shd w:val="clear" w:color="auto" w:fill="CCEEFF"/>
          </w:tcPr>
          <w:p>
            <w:pPr>
              <w:spacing w:after="0"/>
              <w:rPr>
                <w:sz w:val="22"/>
                <w:szCs w:val="22"/>
                <w:color w:val="auto"/>
              </w:rPr>
            </w:pPr>
          </w:p>
        </w:tc>
        <w:tc>
          <w:tcPr>
            <w:tcW w:w="6340" w:type="dxa"/>
            <w:vAlign w:val="bottom"/>
            <w:gridSpan w:val="3"/>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Percent ceded - first $1,000,000 of coverage</w:t>
            </w:r>
          </w:p>
        </w:tc>
        <w:tc>
          <w:tcPr>
            <w:tcW w:w="200" w:type="dxa"/>
            <w:vAlign w:val="bottom"/>
            <w:shd w:val="clear" w:color="auto" w:fill="CCEEFF"/>
          </w:tcPr>
          <w:p>
            <w:pPr>
              <w:spacing w:after="0"/>
              <w:rPr>
                <w:sz w:val="22"/>
                <w:szCs w:val="22"/>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90 %</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90 %</w:t>
            </w:r>
          </w:p>
        </w:tc>
      </w:tr>
      <w:tr>
        <w:trPr>
          <w:trHeight w:val="250"/>
        </w:trPr>
        <w:tc>
          <w:tcPr>
            <w:tcW w:w="20" w:type="dxa"/>
            <w:vAlign w:val="bottom"/>
          </w:tcPr>
          <w:p>
            <w:pPr>
              <w:spacing w:after="0"/>
              <w:rPr>
                <w:sz w:val="21"/>
                <w:szCs w:val="21"/>
                <w:color w:val="auto"/>
              </w:rPr>
            </w:pPr>
          </w:p>
        </w:tc>
        <w:tc>
          <w:tcPr>
            <w:tcW w:w="634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rPr>
              <w:t>Percent ceded - excess of $1,000,000 dollars of coverage</w:t>
            </w:r>
          </w:p>
        </w:tc>
        <w:tc>
          <w:tcPr>
            <w:tcW w:w="2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95 %</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95 %</w:t>
            </w:r>
          </w:p>
        </w:tc>
      </w:tr>
      <w:tr>
        <w:trPr>
          <w:trHeight w:val="263"/>
        </w:trPr>
        <w:tc>
          <w:tcPr>
            <w:tcW w:w="20" w:type="dxa"/>
            <w:vAlign w:val="bottom"/>
            <w:shd w:val="clear" w:color="auto" w:fill="CCEEFF"/>
          </w:tcPr>
          <w:p>
            <w:pPr>
              <w:spacing w:after="0"/>
              <w:rPr>
                <w:sz w:val="22"/>
                <w:szCs w:val="22"/>
                <w:color w:val="auto"/>
              </w:rPr>
            </w:pPr>
          </w:p>
        </w:tc>
        <w:tc>
          <w:tcPr>
            <w:tcW w:w="6340" w:type="dxa"/>
            <w:vAlign w:val="bottom"/>
            <w:gridSpan w:val="3"/>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Risk retained</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300,000</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300,000</w:t>
            </w:r>
          </w:p>
        </w:tc>
      </w:tr>
      <w:tr>
        <w:trPr>
          <w:trHeight w:val="250"/>
        </w:trPr>
        <w:tc>
          <w:tcPr>
            <w:tcW w:w="20" w:type="dxa"/>
            <w:vAlign w:val="bottom"/>
          </w:tcPr>
          <w:p>
            <w:pPr>
              <w:spacing w:after="0"/>
              <w:rPr>
                <w:sz w:val="21"/>
                <w:szCs w:val="21"/>
                <w:color w:val="auto"/>
              </w:rPr>
            </w:pPr>
          </w:p>
        </w:tc>
        <w:tc>
          <w:tcPr>
            <w:tcW w:w="634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rPr>
              <w:t>Total reinsurance coverage per occurrence</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4,700,000</w:t>
            </w:r>
          </w:p>
        </w:tc>
        <w:tc>
          <w:tcPr>
            <w:tcW w:w="8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4,700,000</w:t>
            </w:r>
          </w:p>
        </w:tc>
      </w:tr>
      <w:tr>
        <w:trPr>
          <w:trHeight w:val="263"/>
        </w:trPr>
        <w:tc>
          <w:tcPr>
            <w:tcW w:w="20" w:type="dxa"/>
            <w:vAlign w:val="bottom"/>
            <w:shd w:val="clear" w:color="auto" w:fill="CCEEFF"/>
          </w:tcPr>
          <w:p>
            <w:pPr>
              <w:spacing w:after="0"/>
              <w:rPr>
                <w:sz w:val="22"/>
                <w:szCs w:val="22"/>
                <w:color w:val="auto"/>
              </w:rPr>
            </w:pPr>
          </w:p>
        </w:tc>
        <w:tc>
          <w:tcPr>
            <w:tcW w:w="6340" w:type="dxa"/>
            <w:vAlign w:val="bottom"/>
            <w:gridSpan w:val="3"/>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Losses per occurrence subject to quota share reinsurance coverage</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5,000,000</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5,000,000</w:t>
            </w:r>
          </w:p>
        </w:tc>
      </w:tr>
      <w:tr>
        <w:trPr>
          <w:trHeight w:val="250"/>
        </w:trPr>
        <w:tc>
          <w:tcPr>
            <w:tcW w:w="20" w:type="dxa"/>
            <w:vAlign w:val="bottom"/>
          </w:tcPr>
          <w:p>
            <w:pPr>
              <w:spacing w:after="0"/>
              <w:rPr>
                <w:sz w:val="21"/>
                <w:szCs w:val="21"/>
                <w:color w:val="auto"/>
              </w:rPr>
            </w:pPr>
          </w:p>
        </w:tc>
        <w:tc>
          <w:tcPr>
            <w:tcW w:w="634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Expiration date</w:t>
            </w:r>
          </w:p>
        </w:tc>
        <w:tc>
          <w:tcPr>
            <w:tcW w:w="200" w:type="dxa"/>
            <w:vAlign w:val="bottom"/>
          </w:tcPr>
          <w:p>
            <w:pPr>
              <w:spacing w:after="0"/>
              <w:rPr>
                <w:sz w:val="21"/>
                <w:szCs w:val="21"/>
                <w:color w:val="auto"/>
              </w:rPr>
            </w:pPr>
          </w:p>
        </w:tc>
        <w:tc>
          <w:tcPr>
            <w:tcW w:w="15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9"/>
              </w:rPr>
              <w:t>June 30, 2025</w:t>
            </w:r>
          </w:p>
        </w:tc>
        <w:tc>
          <w:tcPr>
            <w:tcW w:w="200" w:type="dxa"/>
            <w:vAlign w:val="bottom"/>
          </w:tcPr>
          <w:p>
            <w:pPr>
              <w:spacing w:after="0"/>
              <w:rPr>
                <w:sz w:val="21"/>
                <w:szCs w:val="21"/>
                <w:color w:val="auto"/>
              </w:rPr>
            </w:pPr>
          </w:p>
        </w:tc>
        <w:tc>
          <w:tcPr>
            <w:tcW w:w="142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June 30, 2024</w:t>
            </w:r>
          </w:p>
        </w:tc>
      </w:tr>
      <w:tr>
        <w:trPr>
          <w:trHeight w:val="277"/>
        </w:trPr>
        <w:tc>
          <w:tcPr>
            <w:tcW w:w="2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5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r>
    </w:tbl>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auto"/>
        </w:rPr>
        <w:t>Commercial Lines (1)</w:t>
      </w:r>
    </w:p>
    <w:p>
      <w:pPr>
        <w:spacing w:after="0" w:line="252" w:lineRule="exact"/>
        <w:rPr>
          <w:sz w:val="20"/>
          <w:szCs w:val="20"/>
          <w:color w:val="auto"/>
        </w:rPr>
      </w:pPr>
    </w:p>
    <w:p>
      <w:pPr>
        <w:ind w:left="2040" w:hanging="979"/>
        <w:spacing w:after="0" w:line="282" w:lineRule="auto"/>
        <w:tabs>
          <w:tab w:leader="none" w:pos="2034"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Coverage on all commercial lines policies expired in September 2020; reinsurance coverage is based on treaties in effect on the date of loss.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Inflation</w:t>
      </w:r>
    </w:p>
    <w:p>
      <w:pPr>
        <w:spacing w:after="0" w:line="229" w:lineRule="exact"/>
        <w:rPr>
          <w:sz w:val="20"/>
          <w:szCs w:val="20"/>
          <w:color w:val="auto"/>
        </w:rPr>
      </w:pPr>
    </w:p>
    <w:p>
      <w:pPr>
        <w:jc w:val="both"/>
        <w:ind w:firstLine="607"/>
        <w:spacing w:after="0" w:line="266" w:lineRule="auto"/>
        <w:rPr>
          <w:sz w:val="20"/>
          <w:szCs w:val="20"/>
          <w:color w:val="auto"/>
        </w:rPr>
      </w:pPr>
      <w:r>
        <w:rPr>
          <w:rFonts w:ascii="Times New Roman" w:cs="Times New Roman" w:eastAsia="Times New Roman" w:hAnsi="Times New Roman"/>
          <w:sz w:val="18"/>
          <w:szCs w:val="18"/>
          <w:color w:val="auto"/>
        </w:rPr>
        <w:t>Premiums are established before we know the amount of losses and loss adjustment expenses or the extent to which inflation may affect such amounts. We attempt to anticipate the potential impact of inflation in establishing our reserves, especially as it relates to medical and hospital rates where historical inflation rates have exceeded the general</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level of inflation. Inflation in excess of the levels we have assumed could cause loss and loss adjustment expenses to be higher than we anticipated, which would require us to increase reserves and reduce earnings.</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Fluctuations in rates of inflation also influence interest rates, which in turn impact the market value of our investment portfolio and yields on new investments. Operating expenses, including salaries and benefits, generally are impacted by inflation.</w:t>
      </w:r>
    </w:p>
    <w:p>
      <w:pPr>
        <w:spacing w:after="0" w:line="162" w:lineRule="exact"/>
        <w:rPr>
          <w:sz w:val="20"/>
          <w:szCs w:val="20"/>
          <w:color w:val="auto"/>
        </w:rPr>
      </w:pPr>
    </w:p>
    <w:p>
      <w:pPr>
        <w:jc w:val="both"/>
        <w:ind w:firstLine="607"/>
        <w:spacing w:after="0" w:line="258" w:lineRule="auto"/>
        <w:rPr>
          <w:sz w:val="20"/>
          <w:szCs w:val="20"/>
          <w:color w:val="auto"/>
        </w:rPr>
      </w:pPr>
      <w:r>
        <w:rPr>
          <w:rFonts w:ascii="Times New Roman" w:cs="Times New Roman" w:eastAsia="Times New Roman" w:hAnsi="Times New Roman"/>
          <w:sz w:val="18"/>
          <w:szCs w:val="18"/>
          <w:color w:val="auto"/>
        </w:rPr>
        <w:t>The Three Months 2025 included continuing economic inflation, albeit tempered compared to previous years, which resulted in a sustained increase in interest rates, a widening of credit spreads, lower public equity valuations, and significant financial market volatility. The higher interest rates and widening of credit spreads reduced the value of our fixed income securities, and in Three Months 2025, we experienced a significant recovery of these losses. For Three Months 2025, the continuing economic inflation impacted our loss and loss adjustment expenses as well; should these trends continue in the near-term, it would in all likelihood negatively impact our results of operations.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have no off-balance sheet arrangements that have or are reasonably likely to have a current or future effect on our financial condition, changes in financial condition, revenues or expenses, results of operations, liquidity, capital expenditures or capital resources that is material to investors.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Outlook</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net premiums earned may be impacted by a number of factors. Net premiums earned are a function of net written premium volume. Net written premiums comprise both renewal business and new business and are recognized as earned premium over the term of the underlying policies. Net written premiums from both renewal and new business are impacted by competitive market conditions as well as general economic conditions. We have made underwriting changes to emphasize profitability over growth and have culled out the type of risks that do not generate an acceptable level of return.</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On August 2, 2024, two large competitors announced a plan to wind down their personal lines operations in New York State and to non-renew or mid-term cancel their entire book of business by December 31, 2024. Our producers placed a sizable number of these policies with KICO.</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April 14, 2025, KICO entered into an agreement to offer a replacement policy to selected Homeowners policyholders in Downstate New York as one of our competitors pivots focus away from admitted personal lines business (the "Withdrawal Plan"). The Withdrawal Plan, which includes this transaction, was approved by the New York Department of Financial Services. This transaction encompasses approximately $70 million in written premium.The Withdrawal Plan will enable KICO to work with new distribution partners to further increase our footprint in Downstate New York by offering an alternative policy to selected Homeowners policyholders with effective dates starting in the third quarter of 2025.</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See “Forward-Looking Statements” before Part I, Item 1.</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21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Non-GAAP financial measures should be considered in addition to, and not as a substitute for or superior to, financial measures presented in accordance with GAAP.</w:t>
      </w:r>
    </w:p>
    <w:p>
      <w:pPr>
        <w:spacing w:after="0" w:line="203" w:lineRule="exact"/>
        <w:rPr>
          <w:sz w:val="20"/>
          <w:szCs w:val="20"/>
          <w:color w:val="auto"/>
        </w:rPr>
      </w:pPr>
    </w:p>
    <w:p>
      <w:pPr>
        <w:ind w:right="220"/>
        <w:spacing w:after="0" w:line="250" w:lineRule="auto"/>
        <w:rPr>
          <w:sz w:val="20"/>
          <w:szCs w:val="20"/>
          <w:color w:val="auto"/>
        </w:rPr>
      </w:pPr>
      <w:r>
        <w:rPr>
          <w:rFonts w:ascii="Times New Roman" w:cs="Times New Roman" w:eastAsia="Times New Roman" w:hAnsi="Times New Roman"/>
          <w:sz w:val="18"/>
          <w:szCs w:val="18"/>
          <w:color w:val="auto"/>
        </w:rPr>
        <w:t>The following table reconciles Core written premiums, Non-Core written premiums, direct written premiums, and net written premiums to net premiums earned for the periods presented: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81" w:name="page82"/>
    <w:bookmarkEnd w:id="81"/>
    <w:tbl>
      <w:tblPr>
        <w:tblLayout w:type="fixed"/>
        <w:tblInd w:w="0" w:type="dxa"/>
        <w:tblCellMar>
          <w:top w:w="0" w:type="dxa"/>
          <w:left w:w="0" w:type="dxa"/>
          <w:bottom w:w="0" w:type="dxa"/>
          <w:right w:w="0" w:type="dxa"/>
        </w:tblCellMar>
      </w:tblPr>
      <w:tr>
        <w:trPr>
          <w:trHeight w:val="207"/>
        </w:trPr>
        <w:tc>
          <w:tcPr>
            <w:tcW w:w="48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0000FF"/>
              </w:rPr>
              <w:t>Table of Contents</w:t>
            </w:r>
          </w:p>
        </w:tc>
        <w:tc>
          <w:tcPr>
            <w:tcW w:w="3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849"/>
        </w:trPr>
        <w:tc>
          <w:tcPr>
            <w:tcW w:w="1280" w:type="dxa"/>
            <w:vAlign w:val="bottom"/>
            <w:tcBorders>
              <w:top w:val="single" w:sz="8" w:color="0000FF"/>
            </w:tcBorders>
          </w:tcPr>
          <w:p>
            <w:pPr>
              <w:spacing w:after="0"/>
              <w:rPr>
                <w:sz w:val="24"/>
                <w:szCs w:val="24"/>
                <w:color w:val="auto"/>
              </w:rPr>
            </w:pPr>
          </w:p>
        </w:tc>
        <w:tc>
          <w:tcPr>
            <w:tcW w:w="3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0" w:type="dxa"/>
            <w:vAlign w:val="bottom"/>
            <w:gridSpan w:val="4"/>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38"/>
        </w:trPr>
        <w:tc>
          <w:tcPr>
            <w:tcW w:w="128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74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060" w:type="dxa"/>
            <w:vAlign w:val="bottom"/>
          </w:tcPr>
          <w:p>
            <w:pPr>
              <w:spacing w:after="0"/>
              <w:rPr>
                <w:sz w:val="20"/>
                <w:szCs w:val="20"/>
                <w:color w:val="auto"/>
              </w:rPr>
            </w:pPr>
          </w:p>
        </w:tc>
      </w:tr>
      <w:tr>
        <w:trPr>
          <w:trHeight w:val="27"/>
        </w:trPr>
        <w:tc>
          <w:tcPr>
            <w:tcW w:w="1280" w:type="dxa"/>
            <w:vAlign w:val="bottom"/>
          </w:tcPr>
          <w:p>
            <w:pPr>
              <w:spacing w:after="0"/>
              <w:rPr>
                <w:sz w:val="2"/>
                <w:szCs w:val="2"/>
                <w:color w:val="auto"/>
              </w:rPr>
            </w:pPr>
          </w:p>
        </w:tc>
        <w:tc>
          <w:tcPr>
            <w:tcW w:w="35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3"/>
        </w:trPr>
        <w:tc>
          <w:tcPr>
            <w:tcW w:w="1280" w:type="dxa"/>
            <w:vAlign w:val="bottom"/>
          </w:tcPr>
          <w:p>
            <w:pPr>
              <w:spacing w:after="0"/>
              <w:rPr>
                <w:sz w:val="21"/>
                <w:szCs w:val="21"/>
                <w:color w:val="auto"/>
              </w:rPr>
            </w:pPr>
          </w:p>
        </w:tc>
        <w:tc>
          <w:tcPr>
            <w:tcW w:w="354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500"/>
        </w:trPr>
        <w:tc>
          <w:tcPr>
            <w:tcW w:w="48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Direct written premiums</w:t>
            </w: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56"/>
        </w:trPr>
        <w:tc>
          <w:tcPr>
            <w:tcW w:w="4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Core written premiums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57,174,882</w:t>
            </w:r>
          </w:p>
        </w:tc>
        <w:tc>
          <w:tcPr>
            <w:tcW w:w="100" w:type="dxa"/>
            <w:vAlign w:val="bottom"/>
          </w:tcPr>
          <w:p>
            <w:pPr>
              <w:spacing w:after="0"/>
              <w:rPr>
                <w:sz w:val="22"/>
                <w:szCs w:val="22"/>
                <w:color w:val="auto"/>
              </w:rPr>
            </w:pP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46,587,004</w:t>
            </w:r>
          </w:p>
        </w:tc>
      </w:tr>
      <w:tr>
        <w:trPr>
          <w:trHeight w:val="263"/>
        </w:trPr>
        <w:tc>
          <w:tcPr>
            <w:tcW w:w="4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Non-Core written premiums</w:t>
            </w:r>
          </w:p>
        </w:tc>
        <w:tc>
          <w:tcPr>
            <w:tcW w:w="32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1,000,114</w:t>
            </w:r>
          </w:p>
        </w:tc>
        <w:tc>
          <w:tcPr>
            <w:tcW w:w="100" w:type="dxa"/>
            <w:vAlign w:val="bottom"/>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2,737,612</w:t>
            </w:r>
          </w:p>
        </w:tc>
      </w:tr>
      <w:tr>
        <w:trPr>
          <w:trHeight w:val="243"/>
        </w:trPr>
        <w:tc>
          <w:tcPr>
            <w:tcW w:w="48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Total direct written premiums</w:t>
            </w:r>
          </w:p>
        </w:tc>
        <w:tc>
          <w:tcPr>
            <w:tcW w:w="3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58,174,996</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49,324,616</w:t>
            </w:r>
          </w:p>
        </w:tc>
      </w:tr>
      <w:tr>
        <w:trPr>
          <w:trHeight w:val="263"/>
        </w:trPr>
        <w:tc>
          <w:tcPr>
            <w:tcW w:w="4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Ceded written premiums</w:t>
            </w:r>
          </w:p>
        </w:tc>
        <w:tc>
          <w:tcPr>
            <w:tcW w:w="32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2,834,411</w:t>
            </w:r>
          </w:p>
        </w:tc>
        <w:tc>
          <w:tcPr>
            <w:tcW w:w="100" w:type="dxa"/>
            <w:vAlign w:val="bottom"/>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(11,229,217)</w:t>
            </w:r>
          </w:p>
        </w:tc>
      </w:tr>
      <w:tr>
        <w:trPr>
          <w:trHeight w:val="243"/>
        </w:trPr>
        <w:tc>
          <w:tcPr>
            <w:tcW w:w="48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Net written premiums</w:t>
            </w:r>
          </w:p>
        </w:tc>
        <w:tc>
          <w:tcPr>
            <w:tcW w:w="3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61,009,407</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38,095,399</w:t>
            </w:r>
          </w:p>
        </w:tc>
      </w:tr>
      <w:tr>
        <w:trPr>
          <w:trHeight w:val="263"/>
        </w:trPr>
        <w:tc>
          <w:tcPr>
            <w:tcW w:w="4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Change in unearned premiums</w:t>
            </w:r>
          </w:p>
        </w:tc>
        <w:tc>
          <w:tcPr>
            <w:tcW w:w="32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(17,486,344)</w:t>
            </w:r>
          </w:p>
        </w:tc>
        <w:tc>
          <w:tcPr>
            <w:tcW w:w="100" w:type="dxa"/>
            <w:vAlign w:val="bottom"/>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(9,275,497)</w:t>
            </w:r>
          </w:p>
        </w:tc>
      </w:tr>
      <w:tr>
        <w:trPr>
          <w:trHeight w:val="250"/>
        </w:trPr>
        <w:tc>
          <w:tcPr>
            <w:tcW w:w="48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Net premiums earned</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43,523,063</w:t>
            </w:r>
          </w:p>
        </w:tc>
        <w:tc>
          <w:tcPr>
            <w:tcW w:w="100" w:type="dxa"/>
            <w:vAlign w:val="bottom"/>
          </w:tcPr>
          <w:p>
            <w:pPr>
              <w:spacing w:after="0"/>
              <w:rPr>
                <w:sz w:val="21"/>
                <w:szCs w:val="21"/>
                <w:color w:val="auto"/>
              </w:rPr>
            </w:pPr>
          </w:p>
        </w:tc>
        <w:tc>
          <w:tcPr>
            <w:tcW w:w="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28,819,902</w:t>
            </w:r>
          </w:p>
        </w:tc>
      </w:tr>
      <w:tr>
        <w:trPr>
          <w:trHeight w:val="27"/>
        </w:trPr>
        <w:tc>
          <w:tcPr>
            <w:tcW w:w="1280" w:type="dxa"/>
            <w:vAlign w:val="bottom"/>
          </w:tcPr>
          <w:p>
            <w:pPr>
              <w:spacing w:after="0"/>
              <w:rPr>
                <w:sz w:val="2"/>
                <w:szCs w:val="2"/>
                <w:color w:val="auto"/>
              </w:rPr>
            </w:pPr>
          </w:p>
        </w:tc>
        <w:tc>
          <w:tcPr>
            <w:tcW w:w="35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bl>
    <w:p>
      <w:pPr>
        <w:spacing w:after="0" w:line="387"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The following table reconciles the underlying loss ratio, the net loss ratio excluding the effect of catastrophes and the catastrophe loss ratio to the net loss ratio for the periods presented:</w:t>
      </w:r>
    </w:p>
    <w:p>
      <w:pPr>
        <w:spacing w:after="0" w:line="200" w:lineRule="exact"/>
        <w:rPr>
          <w:sz w:val="20"/>
          <w:szCs w:val="20"/>
          <w:color w:val="auto"/>
        </w:rPr>
      </w:pPr>
    </w:p>
    <w:p>
      <w:pPr>
        <w:spacing w:after="0" w:line="296" w:lineRule="exact"/>
        <w:rPr>
          <w:sz w:val="20"/>
          <w:szCs w:val="20"/>
          <w:color w:val="auto"/>
        </w:rPr>
      </w:pPr>
    </w:p>
    <w:p>
      <w:pPr>
        <w:jc w:val="center"/>
        <w:ind w:left="146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31" w:lineRule="exact"/>
        <w:rPr>
          <w:sz w:val="20"/>
          <w:szCs w:val="20"/>
          <w:color w:val="auto"/>
        </w:rPr>
      </w:pPr>
    </w:p>
    <w:p>
      <w:pPr>
        <w:jc w:val="center"/>
        <w:ind w:left="146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2988310</wp:posOffset>
            </wp:positionH>
            <wp:positionV relativeFrom="paragraph">
              <wp:posOffset>14605</wp:posOffset>
            </wp:positionV>
            <wp:extent cx="209994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2099945" cy="8255"/>
                    </a:xfrm>
                    <a:prstGeom prst="rect">
                      <a:avLst/>
                    </a:prstGeom>
                    <a:noFill/>
                  </pic:spPr>
                </pic:pic>
              </a:graphicData>
            </a:graphic>
          </wp:anchor>
        </w:drawing>
      </w:r>
    </w:p>
    <w:p>
      <w:pPr>
        <w:spacing w:after="0" w:line="21" w:lineRule="exact"/>
        <w:rPr>
          <w:sz w:val="20"/>
          <w:szCs w:val="20"/>
          <w:color w:val="auto"/>
        </w:rPr>
      </w:pPr>
    </w:p>
    <w:tbl>
      <w:tblPr>
        <w:tblLayout w:type="fixed"/>
        <w:tblInd w:w="20" w:type="dxa"/>
        <w:tblCellMar>
          <w:top w:w="0" w:type="dxa"/>
          <w:left w:w="0" w:type="dxa"/>
          <w:bottom w:w="0" w:type="dxa"/>
          <w:right w:w="0" w:type="dxa"/>
        </w:tblCellMar>
      </w:tblPr>
      <w:tr>
        <w:trPr>
          <w:trHeight w:val="245"/>
        </w:trPr>
        <w:tc>
          <w:tcPr>
            <w:tcW w:w="4680" w:type="dxa"/>
            <w:vAlign w:val="bottom"/>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62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62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500"/>
        </w:trPr>
        <w:tc>
          <w:tcPr>
            <w:tcW w:w="5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Underlying Loss Ratio</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62.1 %</w:t>
            </w:r>
          </w:p>
        </w:tc>
        <w:tc>
          <w:tcPr>
            <w:tcW w:w="80" w:type="dxa"/>
            <w:vAlign w:val="bottom"/>
          </w:tcPr>
          <w:p>
            <w:pPr>
              <w:spacing w:after="0"/>
              <w:rPr>
                <w:sz w:val="24"/>
                <w:szCs w:val="24"/>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58.8 %</w:t>
            </w:r>
          </w:p>
        </w:tc>
      </w:tr>
      <w:tr>
        <w:trPr>
          <w:trHeight w:val="533"/>
        </w:trPr>
        <w:tc>
          <w:tcPr>
            <w:tcW w:w="5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Effect of prior year reserve development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80" w:type="dxa"/>
            <w:vAlign w:val="bottom"/>
          </w:tcPr>
          <w:p>
            <w:pPr>
              <w:spacing w:after="0"/>
              <w:rPr>
                <w:sz w:val="24"/>
                <w:szCs w:val="24"/>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(2.0 %)</w:t>
            </w:r>
          </w:p>
        </w:tc>
      </w:tr>
      <w:tr>
        <w:trPr>
          <w:trHeight w:val="243"/>
        </w:trPr>
        <w:tc>
          <w:tcPr>
            <w:tcW w:w="4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loss ratio excluding the effect of catastrophes</w:t>
            </w:r>
          </w:p>
        </w:tc>
        <w:tc>
          <w:tcPr>
            <w:tcW w:w="1000" w:type="dxa"/>
            <w:vAlign w:val="bottom"/>
            <w:tcBorders>
              <w:top w:val="single" w:sz="8" w:color="auto"/>
            </w:tcBorders>
          </w:tcPr>
          <w:p>
            <w:pPr>
              <w:spacing w:after="0"/>
              <w:rPr>
                <w:sz w:val="21"/>
                <w:szCs w:val="21"/>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60.7 %</w:t>
            </w:r>
          </w:p>
        </w:tc>
        <w:tc>
          <w:tcPr>
            <w:tcW w:w="80" w:type="dxa"/>
            <w:vAlign w:val="bottom"/>
          </w:tcPr>
          <w:p>
            <w:pPr>
              <w:spacing w:after="0"/>
              <w:rPr>
                <w:sz w:val="21"/>
                <w:szCs w:val="21"/>
                <w:color w:val="auto"/>
              </w:rPr>
            </w:pPr>
          </w:p>
        </w:tc>
        <w:tc>
          <w:tcPr>
            <w:tcW w:w="1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56.8 %</w:t>
            </w:r>
          </w:p>
        </w:tc>
      </w:tr>
      <w:tr>
        <w:trPr>
          <w:trHeight w:val="263"/>
        </w:trPr>
        <w:tc>
          <w:tcPr>
            <w:tcW w:w="5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Effect of catastrophes</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1.7 %</w:t>
            </w:r>
          </w:p>
        </w:tc>
        <w:tc>
          <w:tcPr>
            <w:tcW w:w="80" w:type="dxa"/>
            <w:vAlign w:val="bottom"/>
          </w:tcPr>
          <w:p>
            <w:pPr>
              <w:spacing w:after="0"/>
              <w:rPr>
                <w:sz w:val="22"/>
                <w:szCs w:val="22"/>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5.2 %</w:t>
            </w:r>
          </w:p>
        </w:tc>
      </w:tr>
      <w:tr>
        <w:trPr>
          <w:trHeight w:val="250"/>
        </w:trPr>
        <w:tc>
          <w:tcPr>
            <w:tcW w:w="4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GAAP net loss ratio</w:t>
            </w:r>
          </w:p>
        </w:tc>
        <w:tc>
          <w:tcPr>
            <w:tcW w:w="1000" w:type="dxa"/>
            <w:vAlign w:val="bottom"/>
            <w:tcBorders>
              <w:top w:val="single" w:sz="8" w:color="auto"/>
              <w:bottom w:val="single" w:sz="8" w:color="auto"/>
            </w:tcBorders>
          </w:tcPr>
          <w:p>
            <w:pPr>
              <w:spacing w:after="0"/>
              <w:rPr>
                <w:sz w:val="21"/>
                <w:szCs w:val="21"/>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62.4 %</w:t>
            </w:r>
          </w:p>
        </w:tc>
        <w:tc>
          <w:tcPr>
            <w:tcW w:w="80" w:type="dxa"/>
            <w:vAlign w:val="bottom"/>
          </w:tcPr>
          <w:p>
            <w:pPr>
              <w:spacing w:after="0"/>
              <w:rPr>
                <w:sz w:val="21"/>
                <w:szCs w:val="21"/>
                <w:color w:val="auto"/>
              </w:rPr>
            </w:pPr>
          </w:p>
        </w:tc>
        <w:tc>
          <w:tcPr>
            <w:tcW w:w="1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62.0 %</w:t>
            </w:r>
          </w:p>
        </w:tc>
      </w:tr>
      <w:tr>
        <w:trPr>
          <w:trHeight w:val="27"/>
        </w:trPr>
        <w:tc>
          <w:tcPr>
            <w:tcW w:w="468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bl>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reconciles the net loss ratio excluding commercial lines business to the net loss ratio for the periods presented:</w:t>
      </w:r>
    </w:p>
    <w:p>
      <w:pPr>
        <w:spacing w:after="0" w:line="200" w:lineRule="exact"/>
        <w:rPr>
          <w:sz w:val="20"/>
          <w:szCs w:val="20"/>
          <w:color w:val="auto"/>
        </w:rPr>
      </w:pPr>
    </w:p>
    <w:p>
      <w:pPr>
        <w:spacing w:after="0" w:line="332" w:lineRule="exact"/>
        <w:rPr>
          <w:sz w:val="20"/>
          <w:szCs w:val="20"/>
          <w:color w:val="auto"/>
        </w:rPr>
      </w:pPr>
    </w:p>
    <w:p>
      <w:pPr>
        <w:jc w:val="center"/>
        <w:ind w:left="132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20" w:lineRule="exact"/>
        <w:rPr>
          <w:sz w:val="20"/>
          <w:szCs w:val="20"/>
          <w:color w:val="auto"/>
        </w:rPr>
      </w:pPr>
    </w:p>
    <w:p>
      <w:pPr>
        <w:jc w:val="center"/>
        <w:ind w:left="132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2945130</wp:posOffset>
            </wp:positionH>
            <wp:positionV relativeFrom="paragraph">
              <wp:posOffset>21590</wp:posOffset>
            </wp:positionV>
            <wp:extent cx="2099945"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2099945" cy="8890"/>
                    </a:xfrm>
                    <a:prstGeom prst="rect">
                      <a:avLst/>
                    </a:prstGeom>
                    <a:noFill/>
                  </pic:spPr>
                </pic:pic>
              </a:graphicData>
            </a:graphic>
          </wp:anchor>
        </w:drawing>
      </w:r>
    </w:p>
    <w:p>
      <w:pPr>
        <w:spacing w:after="0" w:line="33" w:lineRule="exact"/>
        <w:rPr>
          <w:sz w:val="20"/>
          <w:szCs w:val="20"/>
          <w:color w:val="auto"/>
        </w:rPr>
      </w:pPr>
    </w:p>
    <w:tbl>
      <w:tblPr>
        <w:tblLayout w:type="fixed"/>
        <w:tblInd w:w="20" w:type="dxa"/>
        <w:tblCellMar>
          <w:top w:w="0" w:type="dxa"/>
          <w:left w:w="0" w:type="dxa"/>
          <w:bottom w:w="0" w:type="dxa"/>
          <w:right w:w="0" w:type="dxa"/>
        </w:tblCellMar>
      </w:tblPr>
      <w:tr>
        <w:trPr>
          <w:trHeight w:val="245"/>
        </w:trPr>
        <w:tc>
          <w:tcPr>
            <w:tcW w:w="4620" w:type="dxa"/>
            <w:vAlign w:val="bottom"/>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6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58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464"/>
        </w:trPr>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Net loss ratio excluding the effect of commercial lines</w:t>
            </w: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238"/>
        </w:trPr>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business</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63.3 %</w:t>
            </w:r>
          </w:p>
        </w:tc>
        <w:tc>
          <w:tcPr>
            <w:tcW w:w="10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60.9 %</w:t>
            </w:r>
          </w:p>
        </w:tc>
      </w:tr>
      <w:tr>
        <w:trPr>
          <w:trHeight w:val="263"/>
        </w:trPr>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Effect of commercial lines business</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(0.9 %)</w:t>
            </w:r>
          </w:p>
        </w:tc>
        <w:tc>
          <w:tcPr>
            <w:tcW w:w="100" w:type="dxa"/>
            <w:vAlign w:val="bottom"/>
          </w:tcPr>
          <w:p>
            <w:pPr>
              <w:spacing w:after="0"/>
              <w:rPr>
                <w:sz w:val="22"/>
                <w:szCs w:val="22"/>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1.1 %</w:t>
            </w:r>
          </w:p>
        </w:tc>
      </w:tr>
      <w:tr>
        <w:trPr>
          <w:trHeight w:val="250"/>
        </w:trPr>
        <w:tc>
          <w:tcPr>
            <w:tcW w:w="4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GAAP net loss ratio</w:t>
            </w:r>
          </w:p>
        </w:tc>
        <w:tc>
          <w:tcPr>
            <w:tcW w:w="1000" w:type="dxa"/>
            <w:vAlign w:val="bottom"/>
            <w:tcBorders>
              <w:top w:val="single" w:sz="8" w:color="auto"/>
              <w:bottom w:val="single" w:sz="8" w:color="auto"/>
            </w:tcBorders>
          </w:tcPr>
          <w:p>
            <w:pPr>
              <w:spacing w:after="0"/>
              <w:rPr>
                <w:sz w:val="21"/>
                <w:szCs w:val="21"/>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62.4 %</w:t>
            </w:r>
          </w:p>
        </w:tc>
        <w:tc>
          <w:tcPr>
            <w:tcW w:w="100" w:type="dxa"/>
            <w:vAlign w:val="bottom"/>
          </w:tcPr>
          <w:p>
            <w:pPr>
              <w:spacing w:after="0"/>
              <w:rPr>
                <w:sz w:val="21"/>
                <w:szCs w:val="21"/>
                <w:color w:val="auto"/>
              </w:rPr>
            </w:pP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62.0 %</w:t>
            </w:r>
          </w:p>
        </w:tc>
      </w:tr>
      <w:tr>
        <w:trPr>
          <w:trHeight w:val="27"/>
        </w:trPr>
        <w:tc>
          <w:tcPr>
            <w:tcW w:w="462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reconciles net income from insurance underwriting business on a standalone basis to GAAP net income for the periods presented: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108" w:right="539" w:bottom="1440" w:gutter="0" w:footer="0" w:header="0"/>
        </w:sectPr>
      </w:pPr>
    </w:p>
    <w:bookmarkStart w:id="82" w:name="page83"/>
    <w:bookmarkEnd w:id="82"/>
    <w:tbl>
      <w:tblPr>
        <w:tblLayout w:type="fixed"/>
        <w:tblInd w:w="0" w:type="dxa"/>
        <w:tblCellMar>
          <w:top w:w="0" w:type="dxa"/>
          <w:left w:w="0" w:type="dxa"/>
          <w:bottom w:w="0" w:type="dxa"/>
          <w:right w:w="0" w:type="dxa"/>
        </w:tblCellMar>
      </w:tblPr>
      <w:tr>
        <w:trPr>
          <w:trHeight w:val="207"/>
        </w:trPr>
        <w:tc>
          <w:tcPr>
            <w:tcW w:w="48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0000FF"/>
              </w:rPr>
              <w:t>Table of Contents</w:t>
            </w: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849"/>
        </w:trPr>
        <w:tc>
          <w:tcPr>
            <w:tcW w:w="1280" w:type="dxa"/>
            <w:vAlign w:val="bottom"/>
            <w:tcBorders>
              <w:top w:val="single" w:sz="8" w:color="0000FF"/>
            </w:tcBorders>
          </w:tcPr>
          <w:p>
            <w:pPr>
              <w:spacing w:after="0"/>
              <w:rPr>
                <w:sz w:val="24"/>
                <w:szCs w:val="24"/>
                <w:color w:val="auto"/>
              </w:rPr>
            </w:pPr>
          </w:p>
        </w:tc>
        <w:tc>
          <w:tcPr>
            <w:tcW w:w="3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780" w:type="dxa"/>
            <w:vAlign w:val="bottom"/>
            <w:gridSpan w:val="4"/>
          </w:tcPr>
          <w:p>
            <w:pPr>
              <w:ind w:left="40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38"/>
        </w:trPr>
        <w:tc>
          <w:tcPr>
            <w:tcW w:w="128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40" w:type="dxa"/>
            <w:vAlign w:val="bottom"/>
            <w:gridSpan w:val="3"/>
          </w:tcPr>
          <w:p>
            <w:pPr>
              <w:ind w:left="84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040" w:type="dxa"/>
            <w:vAlign w:val="bottom"/>
          </w:tcPr>
          <w:p>
            <w:pPr>
              <w:spacing w:after="0"/>
              <w:rPr>
                <w:sz w:val="20"/>
                <w:szCs w:val="20"/>
                <w:color w:val="auto"/>
              </w:rPr>
            </w:pPr>
          </w:p>
        </w:tc>
      </w:tr>
      <w:tr>
        <w:trPr>
          <w:trHeight w:val="27"/>
        </w:trPr>
        <w:tc>
          <w:tcPr>
            <w:tcW w:w="1280" w:type="dxa"/>
            <w:vAlign w:val="bottom"/>
          </w:tcPr>
          <w:p>
            <w:pPr>
              <w:spacing w:after="0"/>
              <w:rPr>
                <w:sz w:val="2"/>
                <w:szCs w:val="2"/>
                <w:color w:val="auto"/>
              </w:rPr>
            </w:pPr>
          </w:p>
        </w:tc>
        <w:tc>
          <w:tcPr>
            <w:tcW w:w="35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3"/>
        </w:trPr>
        <w:tc>
          <w:tcPr>
            <w:tcW w:w="1280" w:type="dxa"/>
            <w:vAlign w:val="bottom"/>
          </w:tcPr>
          <w:p>
            <w:pPr>
              <w:spacing w:after="0"/>
              <w:rPr>
                <w:sz w:val="21"/>
                <w:szCs w:val="21"/>
                <w:color w:val="auto"/>
              </w:rPr>
            </w:pPr>
          </w:p>
        </w:tc>
        <w:tc>
          <w:tcPr>
            <w:tcW w:w="354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464"/>
        </w:trPr>
        <w:tc>
          <w:tcPr>
            <w:tcW w:w="48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from insurance underwriting business on a</w:t>
            </w: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38"/>
        </w:trPr>
        <w:tc>
          <w:tcPr>
            <w:tcW w:w="48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standalone basis</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4,666,469</w:t>
            </w:r>
          </w:p>
        </w:tc>
        <w:tc>
          <w:tcPr>
            <w:tcW w:w="100" w:type="dxa"/>
            <w:vAlign w:val="bottom"/>
          </w:tcPr>
          <w:p>
            <w:pPr>
              <w:spacing w:after="0"/>
              <w:rPr>
                <w:sz w:val="20"/>
                <w:szCs w:val="20"/>
                <w:color w:val="auto"/>
              </w:rPr>
            </w:pP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w w:val="99"/>
              </w:rPr>
              <w:t>2,685,772</w:t>
            </w:r>
          </w:p>
        </w:tc>
      </w:tr>
      <w:tr>
        <w:trPr>
          <w:trHeight w:val="263"/>
        </w:trPr>
        <w:tc>
          <w:tcPr>
            <w:tcW w:w="4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Holding company operations</w:t>
            </w:r>
          </w:p>
        </w:tc>
        <w:tc>
          <w:tcPr>
            <w:tcW w:w="34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8"/>
                <w:szCs w:val="18"/>
                <w:color w:val="auto"/>
              </w:rPr>
              <w:t>(783,809)</w:t>
            </w:r>
          </w:p>
        </w:tc>
        <w:tc>
          <w:tcPr>
            <w:tcW w:w="100" w:type="dxa"/>
            <w:vAlign w:val="bottom"/>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center"/>
              <w:ind w:left="70"/>
              <w:spacing w:after="0"/>
              <w:rPr>
                <w:sz w:val="20"/>
                <w:szCs w:val="20"/>
                <w:color w:val="auto"/>
              </w:rPr>
            </w:pPr>
            <w:r>
              <w:rPr>
                <w:rFonts w:ascii="Times New Roman" w:cs="Times New Roman" w:eastAsia="Times New Roman" w:hAnsi="Times New Roman"/>
                <w:sz w:val="18"/>
                <w:szCs w:val="18"/>
                <w:color w:val="auto"/>
                <w:w w:val="99"/>
              </w:rPr>
              <w:t>(1,259,093)</w:t>
            </w:r>
          </w:p>
        </w:tc>
      </w:tr>
      <w:tr>
        <w:trPr>
          <w:trHeight w:val="250"/>
        </w:trPr>
        <w:tc>
          <w:tcPr>
            <w:tcW w:w="48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GAAP net income</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8"/>
                <w:szCs w:val="18"/>
                <w:b w:val="1"/>
                <w:bCs w:val="1"/>
                <w:color w:val="auto"/>
              </w:rPr>
              <w:t>3,882,660</w:t>
            </w:r>
          </w:p>
        </w:tc>
        <w:tc>
          <w:tcPr>
            <w:tcW w:w="100" w:type="dxa"/>
            <w:vAlign w:val="bottom"/>
          </w:tcPr>
          <w:p>
            <w:pPr>
              <w:spacing w:after="0"/>
              <w:rPr>
                <w:sz w:val="21"/>
                <w:szCs w:val="21"/>
                <w:color w:val="auto"/>
              </w:rPr>
            </w:pPr>
          </w:p>
        </w:tc>
        <w:tc>
          <w:tcPr>
            <w:tcW w:w="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bottom w:val="single" w:sz="8" w:color="auto"/>
            </w:tcBorders>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w w:val="99"/>
              </w:rPr>
              <w:t>1,426,679</w:t>
            </w:r>
          </w:p>
        </w:tc>
      </w:tr>
      <w:tr>
        <w:trPr>
          <w:trHeight w:val="27"/>
        </w:trPr>
        <w:tc>
          <w:tcPr>
            <w:tcW w:w="1280" w:type="dxa"/>
            <w:vAlign w:val="bottom"/>
          </w:tcPr>
          <w:p>
            <w:pPr>
              <w:spacing w:after="0"/>
              <w:rPr>
                <w:sz w:val="2"/>
                <w:szCs w:val="2"/>
                <w:color w:val="auto"/>
              </w:rPr>
            </w:pPr>
          </w:p>
        </w:tc>
        <w:tc>
          <w:tcPr>
            <w:tcW w:w="35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The following table reconciles the net loss ratio excluding the effect of catastrophes, net underwriting expense ratio excluding the effect of catastrophes, and net combined ratio excluding the effect of catastrophes to GAAP net loss ratio, GAAP net underwriting expense ratio, and GAAP net combined ratio for the periods presented:</w:t>
      </w:r>
    </w:p>
    <w:p>
      <w:pPr>
        <w:spacing w:after="0" w:line="263" w:lineRule="exact"/>
        <w:rPr>
          <w:sz w:val="20"/>
          <w:szCs w:val="20"/>
          <w:color w:val="auto"/>
        </w:rPr>
      </w:pPr>
    </w:p>
    <w:p>
      <w:pPr>
        <w:jc w:val="center"/>
        <w:ind w:left="136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31" w:lineRule="exact"/>
        <w:rPr>
          <w:sz w:val="20"/>
          <w:szCs w:val="20"/>
          <w:color w:val="auto"/>
        </w:rPr>
      </w:pPr>
    </w:p>
    <w:p>
      <w:pPr>
        <w:jc w:val="center"/>
        <w:ind w:left="136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2962275</wp:posOffset>
            </wp:positionH>
            <wp:positionV relativeFrom="paragraph">
              <wp:posOffset>14605</wp:posOffset>
            </wp:positionV>
            <wp:extent cx="208280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2082800" cy="8255"/>
                    </a:xfrm>
                    <a:prstGeom prst="rect">
                      <a:avLst/>
                    </a:prstGeom>
                    <a:noFill/>
                  </pic:spPr>
                </pic:pic>
              </a:graphicData>
            </a:graphic>
          </wp:anchor>
        </w:drawing>
      </w:r>
    </w:p>
    <w:p>
      <w:pPr>
        <w:spacing w:after="0" w:line="21" w:lineRule="exact"/>
        <w:rPr>
          <w:sz w:val="20"/>
          <w:szCs w:val="20"/>
          <w:color w:val="auto"/>
        </w:rPr>
      </w:pPr>
    </w:p>
    <w:tbl>
      <w:tblPr>
        <w:tblLayout w:type="fixed"/>
        <w:tblInd w:w="20" w:type="dxa"/>
        <w:tblCellMar>
          <w:top w:w="0" w:type="dxa"/>
          <w:left w:w="0" w:type="dxa"/>
          <w:bottom w:w="0" w:type="dxa"/>
          <w:right w:w="0" w:type="dxa"/>
        </w:tblCellMar>
      </w:tblPr>
      <w:tr>
        <w:trPr>
          <w:trHeight w:val="245"/>
        </w:trPr>
        <w:tc>
          <w:tcPr>
            <w:tcW w:w="4640" w:type="dxa"/>
            <w:vAlign w:val="bottom"/>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6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58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500"/>
        </w:trPr>
        <w:tc>
          <w:tcPr>
            <w:tcW w:w="56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Net loss ratio excluding the effect of catastrophes</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60.7 %</w:t>
            </w:r>
          </w:p>
        </w:tc>
        <w:tc>
          <w:tcPr>
            <w:tcW w:w="100" w:type="dxa"/>
            <w:vAlign w:val="bottom"/>
          </w:tcPr>
          <w:p>
            <w:pPr>
              <w:spacing w:after="0"/>
              <w:rPr>
                <w:sz w:val="24"/>
                <w:szCs w:val="24"/>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56.8 %</w:t>
            </w:r>
          </w:p>
        </w:tc>
        <w:tc>
          <w:tcPr>
            <w:tcW w:w="0" w:type="dxa"/>
            <w:vAlign w:val="bottom"/>
          </w:tcPr>
          <w:p>
            <w:pPr>
              <w:spacing w:after="0"/>
              <w:rPr>
                <w:sz w:val="1"/>
                <w:szCs w:val="1"/>
                <w:color w:val="auto"/>
              </w:rPr>
            </w:pPr>
          </w:p>
        </w:tc>
      </w:tr>
      <w:tr>
        <w:trPr>
          <w:trHeight w:val="263"/>
        </w:trPr>
        <w:tc>
          <w:tcPr>
            <w:tcW w:w="5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Effect of catastrophes</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1.7 %</w:t>
            </w:r>
          </w:p>
        </w:tc>
        <w:tc>
          <w:tcPr>
            <w:tcW w:w="100" w:type="dxa"/>
            <w:vAlign w:val="bottom"/>
          </w:tcPr>
          <w:p>
            <w:pPr>
              <w:spacing w:after="0"/>
              <w:rPr>
                <w:sz w:val="22"/>
                <w:szCs w:val="22"/>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5.2 %</w:t>
            </w:r>
          </w:p>
        </w:tc>
        <w:tc>
          <w:tcPr>
            <w:tcW w:w="0" w:type="dxa"/>
            <w:vAlign w:val="bottom"/>
          </w:tcPr>
          <w:p>
            <w:pPr>
              <w:spacing w:after="0"/>
              <w:rPr>
                <w:sz w:val="1"/>
                <w:szCs w:val="1"/>
                <w:color w:val="auto"/>
              </w:rPr>
            </w:pPr>
          </w:p>
        </w:tc>
      </w:tr>
      <w:tr>
        <w:trPr>
          <w:trHeight w:val="250"/>
        </w:trPr>
        <w:tc>
          <w:tcPr>
            <w:tcW w:w="4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GAAP net loss ratio</w:t>
            </w:r>
          </w:p>
        </w:tc>
        <w:tc>
          <w:tcPr>
            <w:tcW w:w="1000" w:type="dxa"/>
            <w:vAlign w:val="bottom"/>
            <w:tcBorders>
              <w:top w:val="single" w:sz="8" w:color="auto"/>
              <w:bottom w:val="single" w:sz="8" w:color="auto"/>
            </w:tcBorders>
          </w:tcPr>
          <w:p>
            <w:pPr>
              <w:spacing w:after="0"/>
              <w:rPr>
                <w:sz w:val="21"/>
                <w:szCs w:val="21"/>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62.4 %</w:t>
            </w:r>
          </w:p>
        </w:tc>
        <w:tc>
          <w:tcPr>
            <w:tcW w:w="100" w:type="dxa"/>
            <w:vAlign w:val="bottom"/>
          </w:tcPr>
          <w:p>
            <w:pPr>
              <w:spacing w:after="0"/>
              <w:rPr>
                <w:sz w:val="21"/>
                <w:szCs w:val="21"/>
                <w:color w:val="auto"/>
              </w:rPr>
            </w:pP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62.0 %</w:t>
            </w:r>
          </w:p>
        </w:tc>
        <w:tc>
          <w:tcPr>
            <w:tcW w:w="0" w:type="dxa"/>
            <w:vAlign w:val="bottom"/>
          </w:tcPr>
          <w:p>
            <w:pPr>
              <w:spacing w:after="0"/>
              <w:rPr>
                <w:sz w:val="1"/>
                <w:szCs w:val="1"/>
                <w:color w:val="auto"/>
              </w:rPr>
            </w:pPr>
          </w:p>
        </w:tc>
      </w:tr>
      <w:tr>
        <w:trPr>
          <w:trHeight w:val="27"/>
        </w:trPr>
        <w:tc>
          <w:tcPr>
            <w:tcW w:w="464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57"/>
        </w:trPr>
        <w:tc>
          <w:tcPr>
            <w:tcW w:w="56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Net underwriting expense ratio excluding the effect of</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31.3 %</w:t>
            </w:r>
          </w:p>
        </w:tc>
        <w:tc>
          <w:tcPr>
            <w:tcW w:w="100" w:type="dxa"/>
            <w:vAlign w:val="bottom"/>
          </w:tcPr>
          <w:p>
            <w:pPr>
              <w:spacing w:after="0"/>
              <w:rPr>
                <w:sz w:val="24"/>
                <w:szCs w:val="24"/>
                <w:color w:val="auto"/>
              </w:rPr>
            </w:pPr>
          </w:p>
        </w:tc>
        <w:tc>
          <w:tcPr>
            <w:tcW w:w="15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31.3 %</w:t>
            </w:r>
          </w:p>
        </w:tc>
        <w:tc>
          <w:tcPr>
            <w:tcW w:w="0" w:type="dxa"/>
            <w:vAlign w:val="bottom"/>
          </w:tcPr>
          <w:p>
            <w:pPr>
              <w:spacing w:after="0"/>
              <w:rPr>
                <w:sz w:val="1"/>
                <w:szCs w:val="1"/>
                <w:color w:val="auto"/>
              </w:rPr>
            </w:pPr>
          </w:p>
        </w:tc>
      </w:tr>
      <w:tr>
        <w:trPr>
          <w:trHeight w:val="238"/>
        </w:trPr>
        <w:tc>
          <w:tcPr>
            <w:tcW w:w="56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catastrophes</w:t>
            </w:r>
          </w:p>
        </w:tc>
        <w:tc>
          <w:tcPr>
            <w:tcW w:w="60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5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Effect of catastrophes</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0" w:type="dxa"/>
            <w:vAlign w:val="bottom"/>
          </w:tcPr>
          <w:p>
            <w:pPr>
              <w:spacing w:after="0"/>
              <w:rPr>
                <w:sz w:val="1"/>
                <w:szCs w:val="1"/>
                <w:color w:val="auto"/>
              </w:rPr>
            </w:pPr>
          </w:p>
        </w:tc>
      </w:tr>
      <w:tr>
        <w:trPr>
          <w:trHeight w:val="250"/>
        </w:trPr>
        <w:tc>
          <w:tcPr>
            <w:tcW w:w="4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GAAP net underwriting expense ratio</w:t>
            </w:r>
          </w:p>
        </w:tc>
        <w:tc>
          <w:tcPr>
            <w:tcW w:w="1000" w:type="dxa"/>
            <w:vAlign w:val="bottom"/>
            <w:tcBorders>
              <w:top w:val="single" w:sz="8" w:color="auto"/>
              <w:bottom w:val="single" w:sz="8" w:color="auto"/>
            </w:tcBorders>
          </w:tcPr>
          <w:p>
            <w:pPr>
              <w:spacing w:after="0"/>
              <w:rPr>
                <w:sz w:val="21"/>
                <w:szCs w:val="21"/>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31.3 %</w:t>
            </w:r>
          </w:p>
        </w:tc>
        <w:tc>
          <w:tcPr>
            <w:tcW w:w="100" w:type="dxa"/>
            <w:vAlign w:val="bottom"/>
          </w:tcPr>
          <w:p>
            <w:pPr>
              <w:spacing w:after="0"/>
              <w:rPr>
                <w:sz w:val="21"/>
                <w:szCs w:val="21"/>
                <w:color w:val="auto"/>
              </w:rPr>
            </w:pP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31.3 %</w:t>
            </w:r>
          </w:p>
        </w:tc>
        <w:tc>
          <w:tcPr>
            <w:tcW w:w="0" w:type="dxa"/>
            <w:vAlign w:val="bottom"/>
          </w:tcPr>
          <w:p>
            <w:pPr>
              <w:spacing w:after="0"/>
              <w:rPr>
                <w:sz w:val="1"/>
                <w:szCs w:val="1"/>
                <w:color w:val="auto"/>
              </w:rPr>
            </w:pPr>
          </w:p>
        </w:tc>
      </w:tr>
      <w:tr>
        <w:trPr>
          <w:trHeight w:val="27"/>
        </w:trPr>
        <w:tc>
          <w:tcPr>
            <w:tcW w:w="464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80"/>
        </w:trPr>
        <w:tc>
          <w:tcPr>
            <w:tcW w:w="56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Net combined ratio excluding the effect of catastrophes</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92.0 %</w:t>
            </w:r>
          </w:p>
        </w:tc>
        <w:tc>
          <w:tcPr>
            <w:tcW w:w="100" w:type="dxa"/>
            <w:vAlign w:val="bottom"/>
          </w:tcPr>
          <w:p>
            <w:pPr>
              <w:spacing w:after="0"/>
              <w:rPr>
                <w:sz w:val="24"/>
                <w:szCs w:val="24"/>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88.1 %</w:t>
            </w:r>
          </w:p>
        </w:tc>
        <w:tc>
          <w:tcPr>
            <w:tcW w:w="0" w:type="dxa"/>
            <w:vAlign w:val="bottom"/>
          </w:tcPr>
          <w:p>
            <w:pPr>
              <w:spacing w:after="0"/>
              <w:rPr>
                <w:sz w:val="1"/>
                <w:szCs w:val="1"/>
                <w:color w:val="auto"/>
              </w:rPr>
            </w:pPr>
          </w:p>
        </w:tc>
      </w:tr>
      <w:tr>
        <w:trPr>
          <w:trHeight w:val="263"/>
        </w:trPr>
        <w:tc>
          <w:tcPr>
            <w:tcW w:w="5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Effect of catastrophes</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1.7 %</w:t>
            </w:r>
          </w:p>
        </w:tc>
        <w:tc>
          <w:tcPr>
            <w:tcW w:w="100" w:type="dxa"/>
            <w:vAlign w:val="bottom"/>
          </w:tcPr>
          <w:p>
            <w:pPr>
              <w:spacing w:after="0"/>
              <w:rPr>
                <w:sz w:val="22"/>
                <w:szCs w:val="22"/>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5.2 %</w:t>
            </w:r>
          </w:p>
        </w:tc>
        <w:tc>
          <w:tcPr>
            <w:tcW w:w="0" w:type="dxa"/>
            <w:vAlign w:val="bottom"/>
          </w:tcPr>
          <w:p>
            <w:pPr>
              <w:spacing w:after="0"/>
              <w:rPr>
                <w:sz w:val="1"/>
                <w:szCs w:val="1"/>
                <w:color w:val="auto"/>
              </w:rPr>
            </w:pPr>
          </w:p>
        </w:tc>
      </w:tr>
      <w:tr>
        <w:trPr>
          <w:trHeight w:val="250"/>
        </w:trPr>
        <w:tc>
          <w:tcPr>
            <w:tcW w:w="4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GAAP net combined ratio</w:t>
            </w:r>
          </w:p>
        </w:tc>
        <w:tc>
          <w:tcPr>
            <w:tcW w:w="1000" w:type="dxa"/>
            <w:vAlign w:val="bottom"/>
            <w:tcBorders>
              <w:top w:val="single" w:sz="8" w:color="auto"/>
              <w:bottom w:val="single" w:sz="8" w:color="auto"/>
            </w:tcBorders>
          </w:tcPr>
          <w:p>
            <w:pPr>
              <w:spacing w:after="0"/>
              <w:rPr>
                <w:sz w:val="21"/>
                <w:szCs w:val="21"/>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93.7 %</w:t>
            </w:r>
          </w:p>
        </w:tc>
        <w:tc>
          <w:tcPr>
            <w:tcW w:w="100" w:type="dxa"/>
            <w:vAlign w:val="bottom"/>
          </w:tcPr>
          <w:p>
            <w:pPr>
              <w:spacing w:after="0"/>
              <w:rPr>
                <w:sz w:val="21"/>
                <w:szCs w:val="21"/>
                <w:color w:val="auto"/>
              </w:rPr>
            </w:pP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93.3 %</w:t>
            </w:r>
          </w:p>
        </w:tc>
        <w:tc>
          <w:tcPr>
            <w:tcW w:w="0" w:type="dxa"/>
            <w:vAlign w:val="bottom"/>
          </w:tcPr>
          <w:p>
            <w:pPr>
              <w:spacing w:after="0"/>
              <w:rPr>
                <w:sz w:val="1"/>
                <w:szCs w:val="1"/>
                <w:color w:val="auto"/>
              </w:rPr>
            </w:pPr>
          </w:p>
        </w:tc>
      </w:tr>
      <w:tr>
        <w:trPr>
          <w:trHeight w:val="27"/>
        </w:trPr>
        <w:tc>
          <w:tcPr>
            <w:tcW w:w="464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3. </w:t>
      </w:r>
      <w:r>
        <w:rPr>
          <w:rFonts w:ascii="Times New Roman" w:cs="Times New Roman" w:eastAsia="Times New Roman" w:hAnsi="Times New Roman"/>
          <w:sz w:val="18"/>
          <w:szCs w:val="18"/>
          <w:b w:val="1"/>
          <w:bCs w:val="1"/>
          <w:u w:val="single" w:color="auto"/>
          <w:color w:val="auto"/>
        </w:rPr>
        <w:t>Quantitative and Qualitative Disclosures About Market Risk</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This item is not applicable to smaller reporting companies.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4. </w:t>
      </w:r>
      <w:r>
        <w:rPr>
          <w:rFonts w:ascii="Times New Roman" w:cs="Times New Roman" w:eastAsia="Times New Roman" w:hAnsi="Times New Roman"/>
          <w:sz w:val="18"/>
          <w:szCs w:val="18"/>
          <w:b w:val="1"/>
          <w:bCs w:val="1"/>
          <w:u w:val="single" w:color="auto"/>
          <w:color w:val="auto"/>
        </w:rPr>
        <w:t>Controls and Procedures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252"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0"/>
          <w:szCs w:val="20"/>
          <w:color w:val="auto"/>
        </w:rPr>
        <w:t>Our management is responsible for establishing and maintaining adequate disclosure controls and procedures. Under the supervision and with the participation of management, including our principal executive officer and principal financial officer, we conducted an evaluation of the effectiveness of our disclosure controls and procedures as of March 31, 2025.</w:t>
      </w:r>
    </w:p>
    <w:p>
      <w:pPr>
        <w:spacing w:after="0" w:line="158" w:lineRule="exact"/>
        <w:rPr>
          <w:sz w:val="20"/>
          <w:szCs w:val="20"/>
          <w:color w:val="auto"/>
        </w:rPr>
      </w:pPr>
    </w:p>
    <w:p>
      <w:pPr>
        <w:jc w:val="both"/>
        <w:ind w:firstLine="648"/>
        <w:spacing w:after="0" w:line="232" w:lineRule="auto"/>
        <w:rPr>
          <w:sz w:val="20"/>
          <w:szCs w:val="20"/>
          <w:color w:val="auto"/>
        </w:rPr>
      </w:pPr>
      <w:r>
        <w:rPr>
          <w:rFonts w:ascii="Times New Roman" w:cs="Times New Roman" w:eastAsia="Times New Roman" w:hAnsi="Times New Roman"/>
          <w:sz w:val="18"/>
          <w:szCs w:val="18"/>
          <w:color w:val="auto"/>
        </w:rPr>
        <w:t>We previously disclosed that on November 12, 2024, we issued a press release announcing our financial results for the period ended September 30, 2024 (the “Press Release”). In the Press Release, we indicated that our book value per share – diluted and book value per share – diluted excluding accumulated other comprehensive income (“AOCI”) as of September 30, 2024 were $4.58 and $5.28, respectively. On November 15, 2024, we determined that such figures were calculated based upon an incorrect number of shares of common stock outstanding on a fully diluted basis as of September 30, 2024. Based upon the correct number of shares of common stock outstanding on a fully diluted basis, the book value</w:t>
      </w:r>
    </w:p>
    <w:p>
      <w:pPr>
        <w:sectPr>
          <w:pgSz w:w="11900" w:h="16838" w:orient="portrait"/>
          <w:cols w:equalWidth="0" w:num="1">
            <w:col w:w="11240"/>
          </w:cols>
          <w:pgMar w:left="320" w:top="108" w:right="339" w:bottom="1440" w:gutter="0" w:footer="0" w:header="0"/>
        </w:sectPr>
      </w:pP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83" w:name="page84"/>
    <w:bookmarkEnd w:id="83"/>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 share – diluted and book value per share – diluted excluding AOCI as of September 30, 2024 were $4.32 and $4.97, respectively.</w:t>
      </w:r>
    </w:p>
    <w:p>
      <w:pPr>
        <w:spacing w:after="0" w:line="225"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18"/>
          <w:szCs w:val="18"/>
          <w:color w:val="auto"/>
        </w:rPr>
        <w:t>We continually review our disclosure controls and procedures and make changes, as necessary, to ensure the quality of our financial reporting. In particular, we have recently implemented a new financial reporting system which we believe has remediated the disclosure control deficiency. It will require time to demonstrate the effectiveness of the remediation, and as such we concluded that the disclosure controls and procedures were not effective as of March 31, 2025.</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Except as noted above, there have not been any changes in our internal control over financial reporting (as such term is defined in Rules 13a-15(f) and 15d-15(f) under the Exchange Act) during our most recently completed fiscal quarter that materially affected, or are reasonably likely to materially affect, our internal control over financial reporting.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Inherent Limitation on Effectiveness of Controls</w:t>
      </w:r>
    </w:p>
    <w:p>
      <w:pPr>
        <w:spacing w:after="0" w:line="229"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Internal control over financial reporting is a process designed by, or under the supervision of, our principal executive officer and principal financial officer, and effected by the board of directors, management, and other personnel, to provide reasonable assurance regarding the reliability of financial reporting and the preparation of financial statements for external purposes in accordance with GAAP including those policies and procedures that:</w:t>
      </w:r>
    </w:p>
    <w:p>
      <w:pPr>
        <w:spacing w:after="0" w:line="1" w:lineRule="exact"/>
        <w:rPr>
          <w:sz w:val="20"/>
          <w:szCs w:val="20"/>
          <w:color w:val="auto"/>
        </w:rPr>
      </w:pPr>
    </w:p>
    <w:p>
      <w:pPr>
        <w:jc w:val="both"/>
        <w:ind w:firstLine="8"/>
        <w:spacing w:after="0" w:line="253" w:lineRule="auto"/>
        <w:tabs>
          <w:tab w:leader="none" w:pos="22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pertain to the maintenance of records that, in reasonable detail, accurately and fairly reflect the transactions and dispositions of our assets, (ii) provide reasonable assurance that transactions are recorded as necessary to permit preparation of financial statements in accordance with GAAP and that receipts and expenditures are being made only in accordance with authorizations of our management and directors, and (iii) provide reasonable assurance regarding prevention or timely detection of unauthorized acquisition, use, or disposition of our assets that could have a material effect on the financial statements.</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policies and procedures may deteriorate.</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 xml:space="preserve">PART II. </w:t>
      </w:r>
      <w:r>
        <w:rPr>
          <w:rFonts w:ascii="Times New Roman" w:cs="Times New Roman" w:eastAsia="Times New Roman" w:hAnsi="Times New Roman"/>
          <w:sz w:val="18"/>
          <w:szCs w:val="18"/>
          <w:b w:val="1"/>
          <w:bCs w:val="1"/>
          <w:u w:val="single" w:color="auto"/>
          <w:color w:val="auto"/>
        </w:rPr>
        <w:t>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 </w:t>
      </w:r>
      <w:r>
        <w:rPr>
          <w:rFonts w:ascii="Times New Roman" w:cs="Times New Roman" w:eastAsia="Times New Roman" w:hAnsi="Times New Roman"/>
          <w:sz w:val="18"/>
          <w:szCs w:val="18"/>
          <w:b w:val="1"/>
          <w:bCs w:val="1"/>
          <w:u w:val="single" w:color="auto"/>
          <w:color w:val="auto"/>
        </w:rPr>
        <w:t>Legal Proceedings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center"/>
        <w:ind w:right="950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1A. </w:t>
      </w:r>
      <w:r>
        <w:rPr>
          <w:rFonts w:ascii="Times New Roman" w:cs="Times New Roman" w:eastAsia="Times New Roman" w:hAnsi="Times New Roman"/>
          <w:sz w:val="18"/>
          <w:szCs w:val="18"/>
          <w:b w:val="1"/>
          <w:bCs w:val="1"/>
          <w:u w:val="single" w:color="auto"/>
          <w:color w:val="auto"/>
        </w:rPr>
        <w:t>Risk Factors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For a discussion of the Company’s potential risks and uncertainties, see Part I, Item 1A— “Risk Factors” and Part II, Item 7— “Management’s Discussion and Analysis of Financial Condition and Results of Operations” in the Company’s Annual Report on Form 10-K for the year ended December 31, 2024 (the "2024 Annual Report") filed with the SEC, and Part I, Item 2—“Management’s Discussion and Analysis of Financial Condition and Results of Operations” herein, in each case as updated by the Company's periodic filings with the SEC. There have been no material changes to the risk factors disclosed in Part I, Item 1A of the Company’s 2024 Annual Report.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2. </w:t>
      </w:r>
      <w:r>
        <w:rPr>
          <w:rFonts w:ascii="Times New Roman" w:cs="Times New Roman" w:eastAsia="Times New Roman" w:hAnsi="Times New Roman"/>
          <w:sz w:val="18"/>
          <w:szCs w:val="18"/>
          <w:b w:val="1"/>
          <w:bCs w:val="1"/>
          <w:u w:val="single" w:color="auto"/>
          <w:color w:val="auto"/>
        </w:rPr>
        <w:t>Unregistered Sales of Equity Securities and Use of Proceeds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2040" w:hanging="979"/>
        <w:spacing w:after="0"/>
        <w:tabs>
          <w:tab w:leader="none" w:pos="20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w:t>
      </w:r>
    </w:p>
    <w:p>
      <w:pPr>
        <w:spacing w:after="0" w:line="225" w:lineRule="exact"/>
        <w:rPr>
          <w:rFonts w:ascii="Times New Roman" w:cs="Times New Roman" w:eastAsia="Times New Roman" w:hAnsi="Times New Roman"/>
          <w:sz w:val="18"/>
          <w:szCs w:val="18"/>
          <w:color w:val="auto"/>
        </w:rPr>
      </w:pPr>
    </w:p>
    <w:p>
      <w:pPr>
        <w:ind w:left="2020" w:hanging="959"/>
        <w:spacing w:after="0"/>
        <w:tabs>
          <w:tab w:leader="none" w:pos="2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225" w:lineRule="exact"/>
        <w:rPr>
          <w:rFonts w:ascii="Times New Roman" w:cs="Times New Roman" w:eastAsia="Times New Roman" w:hAnsi="Times New Roman"/>
          <w:sz w:val="18"/>
          <w:szCs w:val="18"/>
          <w:color w:val="auto"/>
        </w:rPr>
      </w:pPr>
    </w:p>
    <w:p>
      <w:pPr>
        <w:ind w:left="2040" w:hanging="979"/>
        <w:spacing w:after="0"/>
        <w:tabs>
          <w:tab w:leader="none" w:pos="20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3. </w:t>
      </w:r>
      <w:r>
        <w:rPr>
          <w:rFonts w:ascii="Times New Roman" w:cs="Times New Roman" w:eastAsia="Times New Roman" w:hAnsi="Times New Roman"/>
          <w:sz w:val="18"/>
          <w:szCs w:val="18"/>
          <w:b w:val="1"/>
          <w:bCs w:val="1"/>
          <w:u w:val="single" w:color="auto"/>
          <w:color w:val="auto"/>
        </w:rPr>
        <w:t>Defaults Upon Senior Securities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jc w:val="center"/>
        <w:ind w:right="8760"/>
        <w:spacing w:after="0"/>
        <w:rPr>
          <w:sz w:val="20"/>
          <w:szCs w:val="20"/>
          <w:color w:val="auto"/>
        </w:rPr>
      </w:pPr>
      <w:r>
        <w:rPr>
          <w:rFonts w:ascii="Times New Roman" w:cs="Times New Roman" w:eastAsia="Times New Roman" w:hAnsi="Times New Roman"/>
          <w:sz w:val="18"/>
          <w:szCs w:val="18"/>
          <w:b w:val="1"/>
          <w:bCs w:val="1"/>
          <w:color w:val="auto"/>
        </w:rPr>
        <w:t xml:space="preserve">Item 4. </w:t>
      </w:r>
      <w:r>
        <w:rPr>
          <w:rFonts w:ascii="Times New Roman" w:cs="Times New Roman" w:eastAsia="Times New Roman" w:hAnsi="Times New Roman"/>
          <w:sz w:val="18"/>
          <w:szCs w:val="18"/>
          <w:b w:val="1"/>
          <w:bCs w:val="1"/>
          <w:u w:val="single" w:color="auto"/>
          <w:color w:val="auto"/>
        </w:rPr>
        <w:t>Mine Safety Disclosures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5. </w:t>
      </w:r>
      <w:r>
        <w:rPr>
          <w:rFonts w:ascii="Times New Roman" w:cs="Times New Roman" w:eastAsia="Times New Roman" w:hAnsi="Times New Roman"/>
          <w:sz w:val="18"/>
          <w:szCs w:val="18"/>
          <w:b w:val="1"/>
          <w:bCs w:val="1"/>
          <w:u w:val="single" w:color="auto"/>
          <w:color w:val="auto"/>
        </w:rPr>
        <w:t>Other Information</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6. </w:t>
      </w:r>
      <w:r>
        <w:rPr>
          <w:rFonts w:ascii="Times New Roman" w:cs="Times New Roman" w:eastAsia="Times New Roman" w:hAnsi="Times New Roman"/>
          <w:sz w:val="18"/>
          <w:szCs w:val="18"/>
          <w:b w:val="1"/>
          <w:bCs w:val="1"/>
          <w:u w:val="single" w:color="auto"/>
          <w:color w:val="auto"/>
        </w:rPr>
        <w:t>Exhibits</w:t>
      </w:r>
      <w:r>
        <w:rPr>
          <w:rFonts w:ascii="Times New Roman" w:cs="Times New Roman" w:eastAsia="Times New Roman" w:hAnsi="Times New Roman"/>
          <w:sz w:val="18"/>
          <w:szCs w:val="18"/>
          <w:color w:val="auto"/>
        </w:rPr>
        <w:t>.</w:t>
      </w:r>
    </w:p>
    <w:p>
      <w:pPr>
        <w:spacing w:after="0" w:line="258" w:lineRule="exact"/>
        <w:rPr>
          <w:sz w:val="20"/>
          <w:szCs w:val="20"/>
          <w:color w:val="auto"/>
        </w:rPr>
      </w:pPr>
    </w:p>
    <w:p>
      <w:pPr>
        <w:ind w:left="700"/>
        <w:spacing w:after="0"/>
        <w:rPr>
          <w:rFonts w:ascii="Times New Roman" w:cs="Times New Roman" w:eastAsia="Times New Roman" w:hAnsi="Times New Roman"/>
          <w:sz w:val="18"/>
          <w:szCs w:val="18"/>
          <w:u w:val="single" w:color="auto"/>
          <w:color w:val="0000FF"/>
        </w:rPr>
      </w:pPr>
      <w:hyperlink r:id="rId131">
        <w:r>
          <w:rPr>
            <w:rFonts w:ascii="Times New Roman" w:cs="Times New Roman" w:eastAsia="Times New Roman" w:hAnsi="Times New Roman"/>
            <w:sz w:val="18"/>
            <w:szCs w:val="18"/>
            <w:u w:val="single" w:color="auto"/>
            <w:color w:val="0000FF"/>
          </w:rPr>
          <w:t>3(a)  Restated Certificate of Incorporation, as amended (incorporated by reference to Exhibit 3(a) to the Company’s Quarterly Report on Form</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-120650</wp:posOffset>
            </wp:positionV>
            <wp:extent cx="7132320" cy="26543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2">
                      <a:extLst>
                        <a:ext uri="{28A0092B-C50C-407E-A947-70E740481C1C}"/>
                      </a:extLst>
                    </a:blip>
                    <a:srcRect/>
                    <a:stretch>
                      <a:fillRect/>
                    </a:stretch>
                  </pic:blipFill>
                  <pic:spPr bwMode="auto">
                    <a:xfrm>
                      <a:off x="0" y="0"/>
                      <a:ext cx="7132320" cy="265430"/>
                    </a:xfrm>
                    <a:prstGeom prst="rect">
                      <a:avLst/>
                    </a:prstGeom>
                    <a:noFill/>
                  </pic:spPr>
                </pic:pic>
              </a:graphicData>
            </a:graphic>
          </wp:anchor>
        </w:drawing>
      </w:r>
    </w:p>
    <w:p>
      <w:pPr>
        <w:ind w:left="1120"/>
        <w:spacing w:after="0"/>
        <w:rPr>
          <w:rFonts w:ascii="Times New Roman" w:cs="Times New Roman" w:eastAsia="Times New Roman" w:hAnsi="Times New Roman"/>
          <w:sz w:val="18"/>
          <w:szCs w:val="18"/>
          <w:u w:val="single" w:color="auto"/>
          <w:color w:val="0000FF"/>
        </w:rPr>
      </w:pPr>
      <w:hyperlink r:id="rId131">
        <w:r>
          <w:rPr>
            <w:rFonts w:ascii="Times New Roman" w:cs="Times New Roman" w:eastAsia="Times New Roman" w:hAnsi="Times New Roman"/>
            <w:sz w:val="18"/>
            <w:szCs w:val="18"/>
            <w:u w:val="single" w:color="auto"/>
            <w:color w:val="0000FF"/>
          </w:rPr>
          <w:t>10-Q for the period ended March 31, 2014 filed on May 15, 2014).</w:t>
        </w:r>
      </w:hyperlink>
    </w:p>
    <w:p>
      <w:pPr>
        <w:spacing w:after="0" w:line="246"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u w:val="single" w:color="auto"/>
          <w:color w:val="0000FF"/>
        </w:rPr>
        <w:t>3(b)  By-laws,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541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3">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7" w:lineRule="exact"/>
        <w:rPr>
          <w:sz w:val="20"/>
          <w:szCs w:val="20"/>
          <w:color w:val="auto"/>
        </w:rPr>
      </w:pPr>
    </w:p>
    <w:p>
      <w:pPr>
        <w:ind w:left="1120" w:right="360" w:hanging="519"/>
        <w:spacing w:after="0" w:line="234" w:lineRule="auto"/>
        <w:tabs>
          <w:tab w:leader="none" w:pos="1100" w:val="left"/>
        </w:tabs>
        <w:rPr>
          <w:sz w:val="20"/>
          <w:szCs w:val="20"/>
          <w:color w:val="auto"/>
        </w:rPr>
      </w:pPr>
      <w:r>
        <w:rPr>
          <w:rFonts w:ascii="Times New Roman" w:cs="Times New Roman" w:eastAsia="Times New Roman" w:hAnsi="Times New Roman"/>
          <w:sz w:val="18"/>
          <w:szCs w:val="18"/>
          <w:u w:val="single" w:color="auto"/>
          <w:color w:val="3051F2"/>
        </w:rPr>
        <w:t>31(a)</w:t>
      </w:r>
      <w:r>
        <w:rPr>
          <w:rFonts w:ascii="Times New Roman" w:cs="Times New Roman" w:eastAsia="Times New Roman" w:hAnsi="Times New Roman"/>
          <w:sz w:val="18"/>
          <w:szCs w:val="18"/>
          <w:u w:val="single" w:color="auto"/>
          <w:color w:val="0000FF"/>
        </w:rPr>
        <w:tab/>
        <w:t>Rule 13a-14(a)/15d-14(a) Certification of Principal Executive Officer as adopted pursuant to Section 302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wp:posOffset>
            </wp:positionV>
            <wp:extent cx="7132320" cy="14541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4">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2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u w:val="single" w:color="auto"/>
          <w:color w:val="3051F2"/>
        </w:rPr>
        <w:t xml:space="preserve">31(b)  </w:t>
      </w:r>
      <w:r>
        <w:rPr>
          <w:rFonts w:ascii="Times New Roman" w:cs="Times New Roman" w:eastAsia="Times New Roman" w:hAnsi="Times New Roman"/>
          <w:sz w:val="18"/>
          <w:szCs w:val="18"/>
          <w:u w:val="single" w:color="auto"/>
          <w:color w:val="0000FF"/>
        </w:rPr>
        <w:t>Rule 13a-14(a)/15d-14(a) Certification of Principal Financial Officer as adopted pursuant to Section 302 of the Sarbanes-Oxley Act of 2002</w:t>
      </w:r>
    </w:p>
    <w:p>
      <w:pPr>
        <w:spacing w:after="0" w:line="212" w:lineRule="exact"/>
        <w:rPr>
          <w:sz w:val="20"/>
          <w:szCs w:val="20"/>
          <w:color w:val="auto"/>
        </w:rPr>
      </w:pPr>
    </w:p>
    <w:p>
      <w:pPr>
        <w:ind w:left="1120" w:right="320" w:hanging="419"/>
        <w:spacing w:after="0" w:line="237" w:lineRule="auto"/>
        <w:tabs>
          <w:tab w:leader="none" w:pos="1100" w:val="left"/>
        </w:tabs>
        <w:rPr>
          <w:sz w:val="20"/>
          <w:szCs w:val="20"/>
          <w:color w:val="auto"/>
        </w:rPr>
      </w:pPr>
      <w:r>
        <w:rPr>
          <w:rFonts w:ascii="Times New Roman" w:cs="Times New Roman" w:eastAsia="Times New Roman" w:hAnsi="Times New Roman"/>
          <w:sz w:val="18"/>
          <w:szCs w:val="18"/>
          <w:u w:val="single" w:color="auto"/>
          <w:color w:val="0000EE"/>
        </w:rPr>
        <w:t>32+</w:t>
      </w:r>
      <w:r>
        <w:rPr>
          <w:rFonts w:ascii="Times New Roman" w:cs="Times New Roman" w:eastAsia="Times New Roman" w:hAnsi="Times New Roman"/>
          <w:sz w:val="18"/>
          <w:szCs w:val="18"/>
          <w:u w:val="single" w:color="auto"/>
          <w:color w:val="3051F2"/>
        </w:rPr>
        <w:tab/>
        <w:t>Certification of Principal Executive Officer and Principal Financial Officer Pursuant to 18 U.S.C. Section 1350, as Adopted Pursuant to Section 906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-255905</wp:posOffset>
            </wp:positionV>
            <wp:extent cx="7132320" cy="26543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5">
                      <a:extLst>
                        <a:ext uri="{28A0092B-C50C-407E-A947-70E740481C1C}"/>
                      </a:extLst>
                    </a:blip>
                    <a:srcRect/>
                    <a:stretch>
                      <a:fillRect/>
                    </a:stretch>
                  </pic:blipFill>
                  <pic:spPr bwMode="auto">
                    <a:xfrm>
                      <a:off x="0" y="0"/>
                      <a:ext cx="7132320" cy="26543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180975</wp:posOffset>
            </wp:positionV>
            <wp:extent cx="7132320" cy="16319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6">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7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101.INS  XBRL Instance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7132320" cy="16319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7">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30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101.SCH  101.SCH XBRL Taxonomy Extension Schema.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7132320" cy="16319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8">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30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101.CAL  101.CAL XBRL Taxonomy Extension Calculation Linkbase.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7132320" cy="16256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9">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30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101.DEF  101.DEF XBRL Taxonomy Extension Definition Linkbase.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6319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0">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8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101.LAB  101.LAB XBRL Taxonomy Extension Label Linkbase.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7132320" cy="16256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1">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30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101.PRE  101.PRE XBRL Taxonomy Extension Presentation Linkbase.</w:t>
      </w:r>
    </w:p>
    <w:p>
      <w:pPr>
        <w:spacing w:after="0" w:line="306" w:lineRule="exact"/>
        <w:rPr>
          <w:sz w:val="20"/>
          <w:szCs w:val="20"/>
          <w:color w:val="auto"/>
        </w:rPr>
      </w:pPr>
    </w:p>
    <w:p>
      <w:pPr>
        <w:ind w:left="1120" w:right="340" w:hanging="232"/>
        <w:spacing w:after="0" w:line="231" w:lineRule="auto"/>
        <w:tabs>
          <w:tab w:leader="none" w:pos="11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exhibit will not be deemed “filed” for purposes of Section 18 of the Securities Exchange Act of 1934, as amended, or otherwise subject to the liability of that section. Such exhibit shall not be deemed incorporated into any filing under the Securities Act of 1933, as amended, or the Securities Act of 1934, as amended.</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9" w:right="37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12"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18"/>
          <w:szCs w:val="18"/>
          <w:b w:val="1"/>
          <w:bCs w:val="1"/>
          <w:color w:val="auto"/>
        </w:rPr>
        <w:t>KINGSTONE COMPANIES, INC.</w:t>
      </w:r>
    </w:p>
    <w:p>
      <w:pPr>
        <w:spacing w:after="0" w:line="324" w:lineRule="exact"/>
        <w:rPr>
          <w:sz w:val="20"/>
          <w:szCs w:val="20"/>
          <w:color w:val="auto"/>
        </w:rPr>
      </w:pPr>
    </w:p>
    <w:p>
      <w:pPr>
        <w:ind w:left="20"/>
        <w:spacing w:after="0"/>
        <w:tabs>
          <w:tab w:leader="none" w:pos="5440" w:val="left"/>
          <w:tab w:leader="none" w:pos="5900" w:val="left"/>
        </w:tabs>
        <w:rPr>
          <w:sz w:val="20"/>
          <w:szCs w:val="20"/>
          <w:color w:val="auto"/>
        </w:rPr>
      </w:pPr>
      <w:r>
        <w:rPr>
          <w:rFonts w:ascii="Times New Roman" w:cs="Times New Roman" w:eastAsia="Times New Roman" w:hAnsi="Times New Roman"/>
          <w:sz w:val="18"/>
          <w:szCs w:val="18"/>
          <w:color w:val="auto"/>
        </w:rPr>
        <w:t>Dated: May 15,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Meryl Golden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3742690</wp:posOffset>
            </wp:positionH>
            <wp:positionV relativeFrom="paragraph">
              <wp:posOffset>26035</wp:posOffset>
            </wp:positionV>
            <wp:extent cx="339471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3">
                      <a:extLst>
                        <a:ext uri="{28A0092B-C50C-407E-A947-70E740481C1C}"/>
                      </a:extLst>
                    </a:blip>
                    <a:srcRect/>
                    <a:stretch>
                      <a:fillRect/>
                    </a:stretch>
                  </pic:blipFill>
                  <pic:spPr bwMode="auto">
                    <a:xfrm>
                      <a:off x="0" y="0"/>
                      <a:ext cx="3394710" cy="8255"/>
                    </a:xfrm>
                    <a:prstGeom prst="rect">
                      <a:avLst/>
                    </a:prstGeom>
                    <a:noFill/>
                  </pic:spPr>
                </pic:pic>
              </a:graphicData>
            </a:graphic>
          </wp:anchor>
        </w:drawing>
      </w:r>
    </w:p>
    <w:p>
      <w:pPr>
        <w:spacing w:after="0" w:line="43"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18"/>
          <w:szCs w:val="18"/>
          <w:color w:val="auto"/>
        </w:rPr>
        <w:t>Meryl Golden</w:t>
      </w:r>
    </w:p>
    <w:p>
      <w:pPr>
        <w:spacing w:after="0" w:line="50"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320" w:lineRule="exact"/>
        <w:rPr>
          <w:sz w:val="20"/>
          <w:szCs w:val="20"/>
          <w:color w:val="auto"/>
        </w:rPr>
      </w:pPr>
    </w:p>
    <w:p>
      <w:pPr>
        <w:ind w:left="20"/>
        <w:spacing w:after="0"/>
        <w:tabs>
          <w:tab w:leader="none" w:pos="5440" w:val="left"/>
          <w:tab w:leader="none" w:pos="5900" w:val="left"/>
        </w:tabs>
        <w:rPr>
          <w:sz w:val="20"/>
          <w:szCs w:val="20"/>
          <w:color w:val="auto"/>
        </w:rPr>
      </w:pPr>
      <w:r>
        <w:rPr>
          <w:rFonts w:ascii="Times New Roman" w:cs="Times New Roman" w:eastAsia="Times New Roman" w:hAnsi="Times New Roman"/>
          <w:sz w:val="18"/>
          <w:szCs w:val="18"/>
          <w:color w:val="auto"/>
        </w:rPr>
        <w:t>Dated: May 15,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Victor Brodsky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3742690</wp:posOffset>
            </wp:positionH>
            <wp:positionV relativeFrom="paragraph">
              <wp:posOffset>26035</wp:posOffset>
            </wp:positionV>
            <wp:extent cx="339471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4">
                      <a:extLst>
                        <a:ext uri="{28A0092B-C50C-407E-A947-70E740481C1C}"/>
                      </a:extLst>
                    </a:blip>
                    <a:srcRect/>
                    <a:stretch>
                      <a:fillRect/>
                    </a:stretch>
                  </pic:blipFill>
                  <pic:spPr bwMode="auto">
                    <a:xfrm>
                      <a:off x="0" y="0"/>
                      <a:ext cx="3394710" cy="8255"/>
                    </a:xfrm>
                    <a:prstGeom prst="rect">
                      <a:avLst/>
                    </a:prstGeom>
                    <a:noFill/>
                  </pic:spPr>
                </pic:pic>
              </a:graphicData>
            </a:graphic>
          </wp:anchor>
        </w:drawing>
      </w:r>
    </w:p>
    <w:p>
      <w:pPr>
        <w:spacing w:after="0" w:line="43"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18"/>
          <w:szCs w:val="18"/>
          <w:color w:val="auto"/>
        </w:rPr>
        <w:t>Victor Brodsky</w:t>
      </w:r>
    </w:p>
    <w:p>
      <w:pPr>
        <w:spacing w:after="0" w:line="50"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18"/>
          <w:szCs w:val="18"/>
          <w:color w:val="auto"/>
        </w:rPr>
        <w:t>Chief Accounting Officer</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ectPr>
          <w:pgSz w:w="11900" w:h="16838" w:orient="portrait"/>
          <w:cols w:equalWidth="0" w:num="1">
            <w:col w:w="11240"/>
          </w:cols>
          <w:pgMar w:left="320" w:top="119" w:right="339" w:bottom="1440" w:gutter="0" w:footer="0" w:header="0"/>
        </w:sectPr>
      </w:pPr>
    </w:p>
    <w:bookmarkStart w:id="87" w:name="page88"/>
    <w:bookmarkEnd w:id="87"/>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Effective as of 08/28/24</w:t>
      </w: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KINGSTONE COMPANIES, INC.</w:t>
      </w: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BY-LAWS</w:t>
      </w: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ARTICLE I</w:t>
      </w: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OFFICES</w:t>
      </w:r>
    </w:p>
    <w:p>
      <w:pPr>
        <w:spacing w:after="0" w:line="247"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u w:val="single" w:color="auto"/>
          <w:color w:val="auto"/>
        </w:rPr>
        <w:t>Section 1</w:t>
      </w:r>
      <w:r>
        <w:rPr>
          <w:rFonts w:ascii="Times New Roman" w:cs="Times New Roman" w:eastAsia="Times New Roman" w:hAnsi="Times New Roman"/>
          <w:sz w:val="22"/>
          <w:szCs w:val="22"/>
          <w:color w:val="auto"/>
        </w:rPr>
        <w:t>. The principal office of the corporation in the State of Delaware shall be in the City of Wilmington, County of New Castle.</w:t>
      </w:r>
    </w:p>
    <w:p>
      <w:pPr>
        <w:spacing w:after="0" w:line="185"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u w:val="single" w:color="auto"/>
          <w:color w:val="auto"/>
        </w:rPr>
        <w:t>Section 2</w:t>
      </w:r>
      <w:r>
        <w:rPr>
          <w:rFonts w:ascii="Times New Roman" w:cs="Times New Roman" w:eastAsia="Times New Roman" w:hAnsi="Times New Roman"/>
          <w:sz w:val="22"/>
          <w:szCs w:val="22"/>
          <w:color w:val="auto"/>
        </w:rPr>
        <w:t>. The corporation may also have offices at such other places both within and without the State of Delaware as the board of directors may from time to time determine or the business of the corporation may require.</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ARTICLE II</w:t>
      </w: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MEETINGS OF STOCKHOLDERS</w:t>
      </w:r>
    </w:p>
    <w:p>
      <w:pPr>
        <w:spacing w:after="0" w:line="247"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u w:val="single" w:color="auto"/>
          <w:color w:val="auto"/>
        </w:rPr>
        <w:t>Section 1</w:t>
      </w:r>
      <w:r>
        <w:rPr>
          <w:rFonts w:ascii="Times New Roman" w:cs="Times New Roman" w:eastAsia="Times New Roman" w:hAnsi="Times New Roman"/>
          <w:sz w:val="22"/>
          <w:szCs w:val="22"/>
          <w:color w:val="auto"/>
        </w:rPr>
        <w:t>. All meetings of the stockholders shall be held at such time and place as may be fixed from time to time by the board of directors of the corporation.</w:t>
      </w:r>
    </w:p>
    <w:p>
      <w:pPr>
        <w:spacing w:after="0" w:line="185"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u w:val="single" w:color="auto"/>
          <w:color w:val="auto"/>
        </w:rPr>
        <w:t>Section 2</w:t>
      </w:r>
      <w:r>
        <w:rPr>
          <w:rFonts w:ascii="Times New Roman" w:cs="Times New Roman" w:eastAsia="Times New Roman" w:hAnsi="Times New Roman"/>
          <w:sz w:val="22"/>
          <w:szCs w:val="22"/>
          <w:color w:val="auto"/>
        </w:rPr>
        <w:t>. Annual meetings of stockholders shall be held for the election of directors of the corporation. At such annual meeting, the stockholders shall elect a board of directors by a plurality vote (as provided in Section 10 of this Article II), and shall transact such other business as may properly be brought before the meeting. To be properly brought before an annual meeting, business must be (a) specified in the notice of meeting (or any supplement thereto) given by, at the direction of or upon authority granted by the board of directors, (b) otherwise brought before the meeting by, at the direction of or upon authority granted by the board of directors, or (c) subject to Section 12 hereof, otherwise properly brought before the meeting by a stockholder. For business to be properly brought before an annual meeting by a stockholder, the stockholder must have given timely notice thereof in writing to the secretary of the corporation. To be timely, a stockholder’ s notice must be received at the principal executive offices of the corporation not less than 60 days nor more than 90 days prior to the date which is one year from the date of the mailing of the corporation’s notice regarding the availability of proxy materials for the prior year’s annual meeting of stockholders. If during the prior year the corporation did not hold an annual meeting, or if the date of the meeting for which a stockholder intends to submit a proposal has changed more than 30 days from the date of the meeting in the prior year, then such notice must be received a reasonable time before the corporation mails the notice regarding the availability of proxy materials for the current year.</w:t>
      </w:r>
    </w:p>
    <w:p>
      <w:pPr>
        <w:spacing w:after="0" w:line="215"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A stockholder’s notice to the secretary must set forth as to each matter the stockholder proposes to bring before the annual meeting (a) a brief description of the business</w:t>
      </w:r>
    </w:p>
    <w:p>
      <w:pPr>
        <w:sectPr>
          <w:pgSz w:w="11900" w:h="16838" w:orient="portrait"/>
          <w:cols w:equalWidth="0" w:num="1">
            <w:col w:w="11240"/>
          </w:cols>
          <w:pgMar w:left="320" w:top="1440" w:right="339" w:bottom="1440" w:gutter="0" w:footer="0" w:header="0"/>
        </w:sectPr>
      </w:pPr>
    </w:p>
    <w:bookmarkStart w:id="88" w:name="page89"/>
    <w:bookmarkEnd w:id="88"/>
    <w:p>
      <w:pPr>
        <w:spacing w:after="0" w:line="2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2"/>
          <w:szCs w:val="22"/>
          <w:color w:val="auto"/>
        </w:rPr>
        <w:t>desired to be brought before the annual meeting, and the reasons for conducting such business at the annual meeting, (b) the name and address, as they appear on the corporation’s books, of the stockholder proposing such business, (c) the class and number of shares of the corporation which are beneficially owned by the stockholder, and (d) any material interest of the stockholder in such business. Notwithstanding anything in the By-Laws to the contrary, but subject to Section 12 hereof, no business shall be conducted at an annual meeting except in accordance with the procedures set forth in this Section 2. The chairman of an annual meeting shall, if the facts warrant, determine and declare to the meeting that business was not properly brought before the meeting in accordance with the provisions of this Section 2, and, if he should so determine, he shall so declare to the meeting, and any such business not properly brought before the meeting shall not be transacted.</w:t>
      </w:r>
    </w:p>
    <w:p>
      <w:pPr>
        <w:spacing w:after="0" w:line="209"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22"/>
          <w:szCs w:val="22"/>
          <w:u w:val="single" w:color="auto"/>
          <w:color w:val="auto"/>
        </w:rPr>
        <w:t>Section 3</w:t>
      </w:r>
      <w:r>
        <w:rPr>
          <w:rFonts w:ascii="Times New Roman" w:cs="Times New Roman" w:eastAsia="Times New Roman" w:hAnsi="Times New Roman"/>
          <w:sz w:val="22"/>
          <w:szCs w:val="22"/>
          <w:color w:val="auto"/>
        </w:rPr>
        <w:t>. Written notice of the annual meeting shall be given to each stockholder entitled to vote thereat not less than ten nor more than sixty days before the date of the meeting.</w:t>
      </w:r>
    </w:p>
    <w:p>
      <w:pPr>
        <w:spacing w:after="0" w:line="171"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u w:val="single" w:color="auto"/>
          <w:color w:val="auto"/>
        </w:rPr>
        <w:t>Section 4</w:t>
      </w:r>
      <w:r>
        <w:rPr>
          <w:rFonts w:ascii="Times New Roman" w:cs="Times New Roman" w:eastAsia="Times New Roman" w:hAnsi="Times New Roman"/>
          <w:sz w:val="22"/>
          <w:szCs w:val="22"/>
          <w:color w:val="auto"/>
        </w:rPr>
        <w:t>. The officer who has charge of the stock ledger of the corporation shall prepare and make, at least ten days before every election of directors, a complete list of the stockholders entitled to vote at said election, arranged in alphabetical order, showing the address and number of shares registered in the name of each stockholder. Such list shall be open to the examination of any stockholder, during ordinary business hours, for a period of at least ten days prior to the election, either at a place within the city, town or village where the election is to be held and which place shall be specified in the notice of the meeting, or, if not specified, at the place where said meeting is to be held, and the list shall be produced and kept at the time and place of election during the whole time thereof, and subject to the inspection of any stockholder who may be present.</w:t>
      </w:r>
    </w:p>
    <w:p>
      <w:pPr>
        <w:spacing w:after="0" w:line="207"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u w:val="single" w:color="auto"/>
          <w:color w:val="auto"/>
        </w:rPr>
        <w:t>Section 5</w:t>
      </w:r>
      <w:r>
        <w:rPr>
          <w:rFonts w:ascii="Times New Roman" w:cs="Times New Roman" w:eastAsia="Times New Roman" w:hAnsi="Times New Roman"/>
          <w:sz w:val="22"/>
          <w:szCs w:val="22"/>
          <w:color w:val="auto"/>
        </w:rPr>
        <w:t>. Special meetings of the stockholders, for any purpose or purposes, unless otherwise prescribed by statute or by the certificate of incorporation, shall be called by the secretary of the corporation at the request in writing of a majority of the entire board of directors. Such request shall state the purpose or purposes of the proposed meeting.</w:t>
      </w:r>
    </w:p>
    <w:p>
      <w:pPr>
        <w:spacing w:after="0" w:line="213"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u w:val="single" w:color="auto"/>
          <w:color w:val="auto"/>
        </w:rPr>
        <w:t>Section 6</w:t>
      </w:r>
      <w:r>
        <w:rPr>
          <w:rFonts w:ascii="Times New Roman" w:cs="Times New Roman" w:eastAsia="Times New Roman" w:hAnsi="Times New Roman"/>
          <w:sz w:val="22"/>
          <w:szCs w:val="22"/>
          <w:color w:val="auto"/>
        </w:rPr>
        <w:t>. Written notice of a special meeting of stockholders, stating the time, place and purposes thereof, shall be given to each stockholder entitled to vote thereat, not less ten nor more than sixty days before the date fixed for the meeting.</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u w:val="single" w:color="auto"/>
          <w:color w:val="auto"/>
        </w:rPr>
        <w:t>Section 7.</w:t>
      </w:r>
      <w:r>
        <w:rPr>
          <w:rFonts w:ascii="Times New Roman" w:cs="Times New Roman" w:eastAsia="Times New Roman" w:hAnsi="Times New Roman"/>
          <w:sz w:val="21"/>
          <w:szCs w:val="21"/>
          <w:color w:val="auto"/>
        </w:rPr>
        <w:t xml:space="preserve"> Business transacted at any special meeting of stockholders shall be limited to the purposes stated in the notice.</w:t>
      </w:r>
    </w:p>
    <w:p>
      <w:pPr>
        <w:spacing w:after="0" w:line="258"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u w:val="single" w:color="auto"/>
          <w:color w:val="auto"/>
        </w:rPr>
        <w:t>Section 8</w:t>
      </w:r>
      <w:r>
        <w:rPr>
          <w:rFonts w:ascii="Times New Roman" w:cs="Times New Roman" w:eastAsia="Times New Roman" w:hAnsi="Times New Roman"/>
          <w:sz w:val="22"/>
          <w:szCs w:val="22"/>
          <w:color w:val="auto"/>
        </w:rPr>
        <w:t>. The holders of a majority of the stock issued and outstanding and entitled to vote thereat, present in person or represented by proxy, shall constitute a quorum at all meetings of the stockholders for the transaction of business except as otherwise provided by statute or by the certificate of incorporation. If, however, such quorum shall not be present or represented at any meeting of the stockholders, the stockholders entitled to vote thereat, present in person or represented by proxy, shall have power to adjourn the meeting from time to time, without notice other than announcement at the meeting, until a quorum shall be present or represented. In</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1440" w:right="339" w:bottom="1440" w:gutter="0" w:footer="0" w:header="0"/>
        </w:sectPr>
      </w:pPr>
    </w:p>
    <w:bookmarkStart w:id="89" w:name="page90"/>
    <w:bookmarkEnd w:id="89"/>
    <w:p>
      <w:pPr>
        <w:spacing w:after="0" w:line="2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color w:val="auto"/>
        </w:rPr>
        <w:t>addition, whether or not a quorum is then present, the Chairman of the Board of the corporation shall have the power and authority to adjourn any meeting of stockholders at any time prior to or during such meeting for any reason without notice other than announcement at the meeting. At any such adjourned meeting at which a quorum shall be present or represented, any business may be transacted which might have been transacted at the meeting as originally notified.</w:t>
      </w:r>
    </w:p>
    <w:p>
      <w:pPr>
        <w:spacing w:after="0" w:line="22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u w:val="single" w:color="auto"/>
          <w:color w:val="auto"/>
        </w:rPr>
        <w:t>Section 9</w:t>
      </w:r>
      <w:r>
        <w:rPr>
          <w:rFonts w:ascii="Times New Roman" w:cs="Times New Roman" w:eastAsia="Times New Roman" w:hAnsi="Times New Roman"/>
          <w:sz w:val="22"/>
          <w:szCs w:val="22"/>
          <w:color w:val="auto"/>
        </w:rPr>
        <w:t>. When a quorum is present at any meeting, the vote of the holders of a majority of the stock having voting power present in person or represented by proxy shall decide any question brought before such meeting, unless the question is one upon which, by express provision of a statute, the by-laws or the certificate of incorporation, a different vote is required in which case such express provision shall govern and control the decision of such question.</w:t>
      </w:r>
    </w:p>
    <w:p>
      <w:pPr>
        <w:spacing w:after="0" w:line="20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u w:val="single" w:color="auto"/>
          <w:color w:val="auto"/>
        </w:rPr>
        <w:t>Section 10</w:t>
      </w:r>
      <w:r>
        <w:rPr>
          <w:rFonts w:ascii="Times New Roman" w:cs="Times New Roman" w:eastAsia="Times New Roman" w:hAnsi="Times New Roman"/>
          <w:sz w:val="22"/>
          <w:szCs w:val="22"/>
          <w:color w:val="auto"/>
        </w:rPr>
        <w:t>. Except as provided in the certificate of incorporation, each stockholder shall at every meeting of the stockholders be entitled to one vote in person or by proxy for each share of the capital stock having voting power held by such stockholder, but no proxy shall be voted on after three years from its date, unless the proxy provides for a longer period. At all elections of directors of the corporation, each stockholder having voting power shall be entitled to exercise the right of cumulative voting as provided in the certificate of incorporation.</w:t>
      </w:r>
    </w:p>
    <w:p>
      <w:pPr>
        <w:spacing w:after="0" w:line="206"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u w:val="single" w:color="auto"/>
          <w:color w:val="auto"/>
        </w:rPr>
        <w:t>Section 11</w:t>
      </w:r>
      <w:r>
        <w:rPr>
          <w:rFonts w:ascii="Times New Roman" w:cs="Times New Roman" w:eastAsia="Times New Roman" w:hAnsi="Times New Roman"/>
          <w:sz w:val="22"/>
          <w:szCs w:val="22"/>
          <w:color w:val="auto"/>
        </w:rPr>
        <w:t>. Whenever the vote of stockholders at a meeting thereof is required or permitted to be taken in connection with any corporate action by any provisions of the statutes or of the certificate of incorporation, the meeting and vote of stockholders may be dispensed with, if all the stockholders who would have been entitled to vote upon the action if such meeting were held shall consent in writing to such corporate action being taken unless such action has been authorized by the board of directors, in which event such action may be taken by the written consent of the holders of not less than a majority of the shares of capital stock entitled to vote upon such action.</w:t>
      </w:r>
    </w:p>
    <w:p>
      <w:pPr>
        <w:spacing w:after="0" w:line="208"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u w:val="single" w:color="auto"/>
          <w:color w:val="auto"/>
        </w:rPr>
        <w:t>Section 12</w:t>
      </w:r>
      <w:r>
        <w:rPr>
          <w:rFonts w:ascii="Times New Roman" w:cs="Times New Roman" w:eastAsia="Times New Roman" w:hAnsi="Times New Roman"/>
          <w:sz w:val="22"/>
          <w:szCs w:val="22"/>
          <w:color w:val="auto"/>
        </w:rPr>
        <w:t>. Only persons who are nominated in accordance with the procedures set forth in this Section 12 shall be qualified for election as directors. Nominations of persons for election to the board of directors of the corporation may be made at a meeting of stockholders by or at the direction of the board of directors or by any stockholder of the corporation entitled to vote for the election of directors at the meeting who complies with the procedures set forth in this Section 12. In order for persons nominated to the board of directors, other than those persons nominated by or at the direction of the board of directors, to be qualified to serve on the board of directors, such nomination shall be made pursuant to timely notice in writing to the secretary of the corporation. To be timely, a stockholder’s notice must be received at the principal executive offices of the corporation not less than 60 days nor more than 90 days prior to the meeting; provided, however, that, in the event that less than 70 days’ notice of the date of the meeting is given to stockholders and public disclosure of the meeting date, pursuant to a press release, is either not made or is made less than 70 days prior to the meeting date, then notice by the stockholder to be timely must be so received not later than the close of business on the tenth day following the earlier of (a) the day on which such notice of the date of the meeting was mailed to stockholders or (b) the day on which such public disclosure was made.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40"/>
          </w:cols>
          <w:pgMar w:left="320" w:top="1440" w:right="339" w:bottom="1440" w:gutter="0" w:footer="0" w:header="0"/>
        </w:sectPr>
      </w:pPr>
    </w:p>
    <w:bookmarkStart w:id="90" w:name="page91"/>
    <w:bookmarkEnd w:id="90"/>
    <w:p>
      <w:pPr>
        <w:spacing w:after="0" w:line="23" w:lineRule="exact"/>
        <w:rPr>
          <w:sz w:val="20"/>
          <w:szCs w:val="20"/>
          <w:color w:val="auto"/>
        </w:rPr>
      </w:pPr>
    </w:p>
    <w:p>
      <w:pPr>
        <w:jc w:val="both"/>
        <w:ind w:firstLine="1296"/>
        <w:spacing w:after="0" w:line="248" w:lineRule="auto"/>
        <w:rPr>
          <w:sz w:val="20"/>
          <w:szCs w:val="20"/>
          <w:color w:val="auto"/>
        </w:rPr>
      </w:pPr>
      <w:r>
        <w:rPr>
          <w:rFonts w:ascii="Times New Roman" w:cs="Times New Roman" w:eastAsia="Times New Roman" w:hAnsi="Times New Roman"/>
          <w:sz w:val="22"/>
          <w:szCs w:val="22"/>
          <w:color w:val="auto"/>
        </w:rPr>
        <w:t>A stockholder’s notice to the secretary must set forth (a) as to each person whom the stockholder proposes to nominate for election or re-election as a director (i) the name, age, business address and residence address of such person, (ii) the principal occupation or employment of such person, (iii) the class and number of shares of the corporation which are beneficially owned by such person and (iv) any other information relating to such person that is required to be disclosed in solicitation of proxies for election of directors, or is otherwise required, in each case pursuant to Regulation 14A promulgated under the Securities Exchange Act of 1934, as amended from time to time (including, without limitation, such documentation as is required by Regulation 14A to confirm that such person is a bona fide nominee); and (b) as to the stockholder giving the notice (i) the name and address, as they appear on the corporation’s books, of such stockholder and (ii) the class and number of shares of the corporation which are beneficially owned by such stockholder. At the request of the board of directors, any person nominated by the board of directors for election as a director shall furnish to the secretary of the corporation that information required to be set forth in a stockholder’s notice of nomination which pertains to the nominee. No person shall be qualified for election as a director of the corporation unless nominated in accordance with the procedures set forth in this Section 12. The chairman of the meeting shall, if the facts warrant, determine and declare to the meeting that a nomination was not made in accordance with procedures prescribed by the By-Laws, and, if he should so determine, he shall so declare to the meeting, and the defective nomination shall be disregarded.</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ARTICLE III</w:t>
      </w: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DIRECTORS</w:t>
      </w:r>
    </w:p>
    <w:p>
      <w:pPr>
        <w:spacing w:after="0" w:line="24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u w:val="single" w:color="auto"/>
          <w:color w:val="auto"/>
        </w:rPr>
        <w:t>Section 1</w:t>
      </w:r>
      <w:r>
        <w:rPr>
          <w:rFonts w:ascii="Times New Roman" w:cs="Times New Roman" w:eastAsia="Times New Roman" w:hAnsi="Times New Roman"/>
          <w:sz w:val="22"/>
          <w:szCs w:val="22"/>
          <w:color w:val="auto"/>
        </w:rPr>
        <w:t>. The number of directors which shall constitute the whole board shall be fixed from time to time by the board of directors of the corporation. The directors shall be elected at the annual meeting of the stockholders, except as provided in Section 2 of this Article, and each director elected shall hold office until his successor is elected and qualified. Directors need not be stockholders.</w:t>
      </w:r>
    </w:p>
    <w:p>
      <w:pPr>
        <w:spacing w:after="0" w:line="203" w:lineRule="exact"/>
        <w:rPr>
          <w:sz w:val="20"/>
          <w:szCs w:val="20"/>
          <w:color w:val="auto"/>
        </w:rPr>
      </w:pPr>
    </w:p>
    <w:p>
      <w:pPr>
        <w:jc w:val="both"/>
        <w:ind w:firstLine="1296"/>
        <w:spacing w:after="0" w:line="248" w:lineRule="auto"/>
        <w:rPr>
          <w:sz w:val="20"/>
          <w:szCs w:val="20"/>
          <w:color w:val="auto"/>
        </w:rPr>
      </w:pPr>
      <w:r>
        <w:rPr>
          <w:rFonts w:ascii="Times New Roman" w:cs="Times New Roman" w:eastAsia="Times New Roman" w:hAnsi="Times New Roman"/>
          <w:sz w:val="22"/>
          <w:szCs w:val="22"/>
          <w:color w:val="auto"/>
        </w:rPr>
        <w:t>In the event that, during any period beginning with the adjournment of a particular annual meeting of the stockholders of the corporation and ending with the commencement of the following annual meeting of the stockholders of the corporation, a director shall be absent from (due to his failure to be present in person or by conference telephone) seven (7) meetings of the board of directors of the corporation, then, effective with the missed seventh (7th) meeting, he shall thereupon be deemed to have resigned as a director unless the board of directors shall determine, in its sole discretion, that one or more of the absences was excusable. With regard to any such meeting of the board of directors held for the purpose of determining whether one or more absences was excusable (among possible other purposes), unless the chairman of the board or the president determines otherwise, the subject individual shall not be entitled to notice thereof and shall not be entitled to attend. In the event that the board of directors determines that an absence from a particular meeting or meetings was excusable, then, for purposes hereof only, the director shall be deemed to have attended the particular meeting(s). The provisions of this paragraph shall apply to meetings missed after November 24, 2004.</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40"/>
          </w:cols>
          <w:pgMar w:left="320" w:top="1440" w:right="339" w:bottom="1440" w:gutter="0" w:footer="0" w:header="0"/>
        </w:sectPr>
      </w:pPr>
    </w:p>
    <w:bookmarkStart w:id="91" w:name="page92"/>
    <w:bookmarkEnd w:id="91"/>
    <w:p>
      <w:pPr>
        <w:spacing w:after="0" w:line="266"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u w:val="single" w:color="auto"/>
          <w:color w:val="auto"/>
        </w:rPr>
        <w:t>Section 2</w:t>
      </w:r>
      <w:r>
        <w:rPr>
          <w:rFonts w:ascii="Times New Roman" w:cs="Times New Roman" w:eastAsia="Times New Roman" w:hAnsi="Times New Roman"/>
          <w:sz w:val="22"/>
          <w:szCs w:val="22"/>
          <w:color w:val="auto"/>
        </w:rPr>
        <w:t>. Vacancies and newly created directorships resulting from any increase in the authorized number of directors may be filled by a majority of the directors then in office, though less than a quorum, and the directors so chosen shall hold office until the next annual election and until their successors are duly elected and shall qualify, unless sooner displaced.</w:t>
      </w:r>
    </w:p>
    <w:p>
      <w:pPr>
        <w:spacing w:after="0" w:line="200"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u w:val="single" w:color="auto"/>
          <w:color w:val="auto"/>
        </w:rPr>
        <w:t>Section 3</w:t>
      </w:r>
      <w:r>
        <w:rPr>
          <w:rFonts w:ascii="Times New Roman" w:cs="Times New Roman" w:eastAsia="Times New Roman" w:hAnsi="Times New Roman"/>
          <w:sz w:val="22"/>
          <w:szCs w:val="22"/>
          <w:color w:val="auto"/>
        </w:rPr>
        <w:t>. The business of the corporation shall be managed by its board of directors which may exercise all such powers of the corporation and do all such lawful acts and things as are not by statute or by the certificate of incorporation or by these by-laws directed or required to be exercised or done by the stockholders.</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MEETINGS OF THE BOARD OF DIRECTORS</w:t>
      </w:r>
    </w:p>
    <w:p>
      <w:pPr>
        <w:spacing w:after="0" w:line="247"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u w:val="single" w:color="auto"/>
          <w:color w:val="auto"/>
        </w:rPr>
        <w:t>Section 4</w:t>
      </w:r>
      <w:r>
        <w:rPr>
          <w:rFonts w:ascii="Times New Roman" w:cs="Times New Roman" w:eastAsia="Times New Roman" w:hAnsi="Times New Roman"/>
          <w:sz w:val="22"/>
          <w:szCs w:val="22"/>
          <w:color w:val="auto"/>
        </w:rPr>
        <w:t>. The board of directors of the corporation may hold meetings, both regular and special, either within or without the State of Delaware.</w:t>
      </w:r>
    </w:p>
    <w:p>
      <w:pPr>
        <w:spacing w:after="0" w:line="198"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u w:val="single" w:color="auto"/>
          <w:color w:val="auto"/>
        </w:rPr>
        <w:t>Section 5</w:t>
      </w:r>
      <w:r>
        <w:rPr>
          <w:rFonts w:ascii="Times New Roman" w:cs="Times New Roman" w:eastAsia="Times New Roman" w:hAnsi="Times New Roman"/>
          <w:sz w:val="22"/>
          <w:szCs w:val="22"/>
          <w:color w:val="auto"/>
        </w:rPr>
        <w:t>. The first meeting of each newly elected board of directors shall be held immediately following the close of the annual meeting of stockholders at the place of the holding of said annual meeting. No notice of any such meeting shall be necessary to the newly elected directors in order legally to constitute the meeting, provided a quorum shall be present. In the event such meeting is not held at such time and place, the meeting may be held at such time and place as shall be specified in a notice given as hereinafter provided for special meetings of the board of directors, or as shall be specified in a written waiver signed by all of the directors.</w:t>
      </w:r>
    </w:p>
    <w:p>
      <w:pPr>
        <w:spacing w:after="0" w:line="208"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u w:val="single" w:color="auto"/>
          <w:color w:val="auto"/>
        </w:rPr>
        <w:t>Section 6</w:t>
      </w:r>
      <w:r>
        <w:rPr>
          <w:rFonts w:ascii="Times New Roman" w:cs="Times New Roman" w:eastAsia="Times New Roman" w:hAnsi="Times New Roman"/>
          <w:sz w:val="22"/>
          <w:szCs w:val="22"/>
          <w:color w:val="auto"/>
        </w:rPr>
        <w:t>. Regular meetings of the board of directors may be held without notice at such time and at such place as shall from time to time be determined by the board.</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u w:val="single" w:color="auto"/>
          <w:color w:val="auto"/>
        </w:rPr>
        <w:t>Section 7</w:t>
      </w:r>
      <w:r>
        <w:rPr>
          <w:rFonts w:ascii="Times New Roman" w:cs="Times New Roman" w:eastAsia="Times New Roman" w:hAnsi="Times New Roman"/>
          <w:sz w:val="22"/>
          <w:szCs w:val="22"/>
          <w:color w:val="auto"/>
        </w:rPr>
        <w:t>. Special meetings of the board of directors may be called by the chairman of the board or the president on one</w:t>
      </w:r>
    </w:p>
    <w:p>
      <w:pPr>
        <w:spacing w:after="0" w:line="28" w:lineRule="exact"/>
        <w:rPr>
          <w:sz w:val="20"/>
          <w:szCs w:val="20"/>
          <w:color w:val="auto"/>
        </w:rPr>
      </w:pPr>
    </w:p>
    <w:p>
      <w:pPr>
        <w:jc w:val="both"/>
        <w:ind w:firstLine="8"/>
        <w:spacing w:after="0" w:line="249" w:lineRule="auto"/>
        <w:tabs>
          <w:tab w:leader="none" w:pos="317"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day’s notice to each director, either personally, by overnight mail, by telegram, by e-mail, by telecopier or by telephone. For purposes hereof, one (1) day’s notice shall be satisfied by the delivery of such notice as shall result in the director receiving notice by 5:00 p.m., New York City time, on the day immediately preceding the date of the meeting (provided that the time of the meeting is no earlier than 8:00 a.m., New York City time).</w:t>
      </w:r>
    </w:p>
    <w:p>
      <w:pPr>
        <w:spacing w:after="0" w:line="20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u w:val="single" w:color="auto"/>
          <w:color w:val="auto"/>
        </w:rPr>
        <w:t>Section 8</w:t>
      </w:r>
      <w:r>
        <w:rPr>
          <w:rFonts w:ascii="Times New Roman" w:cs="Times New Roman" w:eastAsia="Times New Roman" w:hAnsi="Times New Roman"/>
          <w:sz w:val="22"/>
          <w:szCs w:val="22"/>
          <w:color w:val="auto"/>
        </w:rPr>
        <w:t>. At all meetings of the board, a majority of the directors shall constitute a quorum for the transaction of business and the act of a majority of the directors present at any meeting at which there is a quorum shall be the act of the board of directors; provided, however, that, in the event the number of directors in office is less than four, any action to be taken by the Board of Directors shall require the affirmative vote of all of the directors then in office, except as may be otherwise specifically provided by statute or by the certificate of incorporation. If a quorum shall not be present at any meeting of the board of directors, the directors present thereat may adjourn the meeting from time to time, without notice other than announcement at the meeting, until a quorum shall be present.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240"/>
          </w:cols>
          <w:pgMar w:left="320" w:top="1440" w:right="339" w:bottom="1440" w:gutter="0" w:footer="0" w:header="0"/>
        </w:sectPr>
      </w:pPr>
    </w:p>
    <w:bookmarkStart w:id="92" w:name="page93"/>
    <w:bookmarkEnd w:id="92"/>
    <w:p>
      <w:pPr>
        <w:spacing w:after="0" w:line="23"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1"/>
          <w:szCs w:val="21"/>
          <w:u w:val="single" w:color="auto"/>
          <w:color w:val="auto"/>
        </w:rPr>
        <w:t>Section 9</w:t>
      </w:r>
      <w:r>
        <w:rPr>
          <w:rFonts w:ascii="Times New Roman" w:cs="Times New Roman" w:eastAsia="Times New Roman" w:hAnsi="Times New Roman"/>
          <w:sz w:val="21"/>
          <w:szCs w:val="21"/>
          <w:color w:val="auto"/>
        </w:rPr>
        <w:t>. Unless otherwise restricted by the certificate of incorporation or these by-laws, any action required or permitted to be taken at any meeting of the board of directors may be taken without a meeting, if prior to such action a written consent thereto is signed by all members of the board and such written consent is filed with the minutes of proceedings of the board.</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COMMITTEES OF DIRECTORS</w:t>
      </w:r>
    </w:p>
    <w:p>
      <w:pPr>
        <w:spacing w:after="0" w:line="260"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u w:val="single" w:color="auto"/>
          <w:color w:val="auto"/>
        </w:rPr>
        <w:t>Section 10</w:t>
      </w:r>
      <w:r>
        <w:rPr>
          <w:rFonts w:ascii="Times New Roman" w:cs="Times New Roman" w:eastAsia="Times New Roman" w:hAnsi="Times New Roman"/>
          <w:sz w:val="22"/>
          <w:szCs w:val="22"/>
          <w:color w:val="auto"/>
        </w:rPr>
        <w:t>. The board of directors, by resolution adopted by a majority of the entire board, may designate from among its members an executive committee and other committees, which committees shall serve at the pleasure of the board of directors. The board of directors may designate one or more directors as alternate members of any such committee, who may replace any absent member or members of such committee. The board of directors, by resolution adopted by a majority of the entire board, may remove a member of any such committee with or without cause. To the extent provided in said resolution and to the extent permitted by the laws of the State of Delaware, each such committee shall have and may exercise the powers of the board of directors.</w:t>
      </w:r>
    </w:p>
    <w:p>
      <w:pPr>
        <w:spacing w:after="0" w:line="207"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u w:val="single" w:color="auto"/>
          <w:color w:val="auto"/>
        </w:rPr>
        <w:t>Section 11</w:t>
      </w:r>
      <w:r>
        <w:rPr>
          <w:rFonts w:ascii="Times New Roman" w:cs="Times New Roman" w:eastAsia="Times New Roman" w:hAnsi="Times New Roman"/>
          <w:sz w:val="22"/>
          <w:szCs w:val="22"/>
          <w:color w:val="auto"/>
        </w:rPr>
        <w:t>. Each committee shall keep regular minutes of its meetings and report the same to the board of directors when required.</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u w:val="single" w:color="auto"/>
          <w:color w:val="auto"/>
        </w:rPr>
        <w:t>Section 12</w:t>
      </w:r>
      <w:r>
        <w:rPr>
          <w:rFonts w:ascii="Times New Roman" w:cs="Times New Roman" w:eastAsia="Times New Roman" w:hAnsi="Times New Roman"/>
          <w:sz w:val="21"/>
          <w:szCs w:val="21"/>
          <w:color w:val="auto"/>
        </w:rPr>
        <w:t>. Each committee may hold meetings, both regular and special, either within or without the State of Delaware.</w:t>
      </w:r>
    </w:p>
    <w:p>
      <w:pPr>
        <w:spacing w:after="0" w:line="272"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u w:val="single" w:color="auto"/>
          <w:color w:val="auto"/>
        </w:rPr>
        <w:t>Section 13</w:t>
      </w:r>
      <w:r>
        <w:rPr>
          <w:rFonts w:ascii="Times New Roman" w:cs="Times New Roman" w:eastAsia="Times New Roman" w:hAnsi="Times New Roman"/>
          <w:sz w:val="22"/>
          <w:szCs w:val="22"/>
          <w:color w:val="auto"/>
        </w:rPr>
        <w:t>. Regular meetings of each committee may be held without notice at such time and at such place as shall from time to time be determined by such committee.</w:t>
      </w:r>
    </w:p>
    <w:p>
      <w:pPr>
        <w:spacing w:after="0" w:line="18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u w:val="single" w:color="auto"/>
          <w:color w:val="auto"/>
        </w:rPr>
        <w:t>Section 14</w:t>
      </w:r>
      <w:r>
        <w:rPr>
          <w:rFonts w:ascii="Times New Roman" w:cs="Times New Roman" w:eastAsia="Times New Roman" w:hAnsi="Times New Roman"/>
          <w:sz w:val="22"/>
          <w:szCs w:val="22"/>
          <w:color w:val="auto"/>
        </w:rPr>
        <w:t>. Special meetings of a committee may be called by the chairman of the committee on one (1) day’s notice to each committee member, either personally, by overnight mail, by telegram, by e-mail, by telecopier or by telephone. For purposes hereof, one (1) day’s notice shall be satisfied by the delivery of such notice as shall result in the committee member receiving notice by 5:00 p.m., New York City time, on the day immediately preceding the date of the meeting (provided that the time of the meeting is no earlier than 8:00 a.m., New York City time).</w:t>
      </w:r>
    </w:p>
    <w:p>
      <w:pPr>
        <w:spacing w:after="0" w:line="20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u w:val="single" w:color="auto"/>
          <w:color w:val="auto"/>
        </w:rPr>
        <w:t>Section 15</w:t>
      </w:r>
      <w:r>
        <w:rPr>
          <w:rFonts w:ascii="Times New Roman" w:cs="Times New Roman" w:eastAsia="Times New Roman" w:hAnsi="Times New Roman"/>
          <w:sz w:val="22"/>
          <w:szCs w:val="22"/>
          <w:color w:val="auto"/>
        </w:rPr>
        <w:t>. At all meetings of a committee, a majority of the committee members shall constitute a quorum for the transaction of business and the act of a majority of the committee members present at any meeting at which there is a quorum shall be the act of the committee. If a quorum shall not be present at any meeting of a committee, the committee members present thereat may adjourn the meeting from time to time, without notice other than announcement at the meeting, until a quorum shall be present.</w:t>
      </w:r>
    </w:p>
    <w:p>
      <w:pPr>
        <w:spacing w:after="0" w:line="206"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u w:val="single" w:color="auto"/>
          <w:color w:val="auto"/>
        </w:rPr>
        <w:t>Section 16</w:t>
      </w:r>
      <w:r>
        <w:rPr>
          <w:rFonts w:ascii="Times New Roman" w:cs="Times New Roman" w:eastAsia="Times New Roman" w:hAnsi="Times New Roman"/>
          <w:sz w:val="22"/>
          <w:szCs w:val="22"/>
          <w:color w:val="auto"/>
        </w:rPr>
        <w:t>. Unless otherwise restricted by the certificate of incorporation or these by-laws, any action required or permitted to be taken at any meeting of a committee may be taken without a meeting, if prior to such action a written consent thereto is signed by all members of</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240"/>
          </w:cols>
          <w:pgMar w:left="320" w:top="1440" w:right="339" w:bottom="1440" w:gutter="0" w:footer="0" w:header="0"/>
        </w:sectPr>
      </w:pPr>
    </w:p>
    <w:bookmarkStart w:id="93" w:name="page94"/>
    <w:bookmarkEnd w:id="93"/>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such committee, and such written consent is filed with the minutes of proceedings of the committee.</w:t>
      </w: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COMPENSATION OF DIRECTORS</w:t>
      </w:r>
    </w:p>
    <w:p>
      <w:pPr>
        <w:spacing w:after="0" w:line="24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u w:val="single" w:color="auto"/>
          <w:color w:val="auto"/>
        </w:rPr>
        <w:t>Section 17</w:t>
      </w:r>
      <w:r>
        <w:rPr>
          <w:rFonts w:ascii="Times New Roman" w:cs="Times New Roman" w:eastAsia="Times New Roman" w:hAnsi="Times New Roman"/>
          <w:sz w:val="22"/>
          <w:szCs w:val="22"/>
          <w:color w:val="auto"/>
        </w:rPr>
        <w:t>. The directors may be paid their expenses, if any, of attendance at each meeting of the board of directors and may be paid a fixed sum for attendance at each meeting of the board of directors and such salary or other compensation as directors, as the board by resolution may determine. No such payment shall preclude any director from serving the corporation in any other capacity and receiving compensation therefor. Members of special or standing committees may be allowed like compensation for attending committee meetings.</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ARTICLE IV</w:t>
      </w: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NOTICES</w:t>
      </w:r>
    </w:p>
    <w:p>
      <w:pPr>
        <w:spacing w:after="0" w:line="2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u w:val="single" w:color="auto"/>
          <w:color w:val="auto"/>
        </w:rPr>
        <w:t>Section 1</w:t>
      </w:r>
      <w:r>
        <w:rPr>
          <w:rFonts w:ascii="Times New Roman" w:cs="Times New Roman" w:eastAsia="Times New Roman" w:hAnsi="Times New Roman"/>
          <w:sz w:val="22"/>
          <w:szCs w:val="22"/>
          <w:color w:val="auto"/>
        </w:rPr>
        <w:t>. Notices to directors and stockholders shall be sent as permitted by applicable law and these by-laws.</w:t>
      </w:r>
    </w:p>
    <w:p>
      <w:pPr>
        <w:spacing w:after="0" w:line="247"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u w:val="single" w:color="auto"/>
          <w:color w:val="auto"/>
        </w:rPr>
        <w:t>Section 2</w:t>
      </w:r>
      <w:r>
        <w:rPr>
          <w:rFonts w:ascii="Times New Roman" w:cs="Times New Roman" w:eastAsia="Times New Roman" w:hAnsi="Times New Roman"/>
          <w:sz w:val="22"/>
          <w:szCs w:val="22"/>
          <w:color w:val="auto"/>
        </w:rPr>
        <w:t>. Whenever any notice is required to be given under the provisions of the statutes or of the certificate of incorporation or of these by-laws, a waiver thereof in writing, signed by the person or persons entitled to said notice, whether before or after the time stated herein, shall be deemed equivalent thereto.</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ARTICLE V</w:t>
      </w: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OFFICERS</w:t>
      </w:r>
    </w:p>
    <w:p>
      <w:pPr>
        <w:spacing w:after="0" w:line="247"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u w:val="single" w:color="auto"/>
          <w:color w:val="auto"/>
        </w:rPr>
        <w:t>Section 1</w:t>
      </w:r>
      <w:r>
        <w:rPr>
          <w:rFonts w:ascii="Times New Roman" w:cs="Times New Roman" w:eastAsia="Times New Roman" w:hAnsi="Times New Roman"/>
          <w:sz w:val="22"/>
          <w:szCs w:val="22"/>
          <w:color w:val="auto"/>
        </w:rPr>
        <w:t>. The officers of the corporation shall be chosen by the board of directors and shall be a chairman of the board, a president, a secretary and a treasurer. The board of directors may also choose one or more vice-presidents, assistant secretaries and assistant treasurers. Two or more offices may be held by the same person.</w:t>
      </w:r>
    </w:p>
    <w:p>
      <w:pPr>
        <w:spacing w:after="0" w:line="200"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u w:val="single" w:color="auto"/>
          <w:color w:val="auto"/>
        </w:rPr>
        <w:t>Section 2</w:t>
      </w:r>
      <w:r>
        <w:rPr>
          <w:rFonts w:ascii="Times New Roman" w:cs="Times New Roman" w:eastAsia="Times New Roman" w:hAnsi="Times New Roman"/>
          <w:sz w:val="22"/>
          <w:szCs w:val="22"/>
          <w:color w:val="auto"/>
        </w:rPr>
        <w:t>. The board of directors, at its first meeting after each annual meeting of stockholders, shall choose a chairman of the board, a president, a secretary and a treasurer, none of whom need be a member of the board.</w:t>
      </w:r>
    </w:p>
    <w:p>
      <w:pPr>
        <w:spacing w:after="0" w:line="198"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u w:val="single" w:color="auto"/>
          <w:color w:val="auto"/>
        </w:rPr>
        <w:t>Section 3</w:t>
      </w:r>
      <w:r>
        <w:rPr>
          <w:rFonts w:ascii="Times New Roman" w:cs="Times New Roman" w:eastAsia="Times New Roman" w:hAnsi="Times New Roman"/>
          <w:sz w:val="22"/>
          <w:szCs w:val="22"/>
          <w:color w:val="auto"/>
        </w:rPr>
        <w:t>. The board of directors may appoint such other officers and agents as it shall deem necessary who shall hold their offices for such terms and shall exercise such powers and perform such duties as shall be determined from time to time by the board.</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u w:val="single" w:color="auto"/>
          <w:color w:val="auto"/>
        </w:rPr>
        <w:t>Section 4</w:t>
      </w:r>
      <w:r>
        <w:rPr>
          <w:rFonts w:ascii="Times New Roman" w:cs="Times New Roman" w:eastAsia="Times New Roman" w:hAnsi="Times New Roman"/>
          <w:sz w:val="22"/>
          <w:szCs w:val="22"/>
          <w:color w:val="auto"/>
        </w:rPr>
        <w:t>. The salaries of all officers of the corporation shall be fixed by the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1240"/>
          </w:cols>
          <w:pgMar w:left="320" w:top="1440" w:right="339" w:bottom="1440" w:gutter="0" w:footer="0" w:header="0"/>
        </w:sectPr>
      </w:pPr>
    </w:p>
    <w:bookmarkStart w:id="94" w:name="page95"/>
    <w:bookmarkEnd w:id="94"/>
    <w:p>
      <w:pPr>
        <w:spacing w:after="0" w:line="23"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u w:val="single" w:color="auto"/>
          <w:color w:val="auto"/>
        </w:rPr>
        <w:t>Section 5</w:t>
      </w:r>
      <w:r>
        <w:rPr>
          <w:rFonts w:ascii="Times New Roman" w:cs="Times New Roman" w:eastAsia="Times New Roman" w:hAnsi="Times New Roman"/>
          <w:sz w:val="22"/>
          <w:szCs w:val="22"/>
          <w:color w:val="auto"/>
        </w:rPr>
        <w:t>. The officers of the corporation shall hold office until their successors are chosen and qualify. Any officer elected or appointed by the board of directors may be removed at any time by the affirmative vote of a majority of the entire board of directors. Any vacancy occurring in any office of the corporation shall be filled by the board of directors.</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CHAIRMAN OF THE BOARD</w:t>
      </w:r>
    </w:p>
    <w:p>
      <w:pPr>
        <w:spacing w:after="0" w:line="260"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u w:val="single" w:color="auto"/>
          <w:color w:val="auto"/>
        </w:rPr>
        <w:t>Section 6</w:t>
      </w:r>
      <w:r>
        <w:rPr>
          <w:rFonts w:ascii="Times New Roman" w:cs="Times New Roman" w:eastAsia="Times New Roman" w:hAnsi="Times New Roman"/>
          <w:sz w:val="22"/>
          <w:szCs w:val="22"/>
          <w:color w:val="auto"/>
        </w:rPr>
        <w:t>. The chairman of the board of directors, if an executive of the corporation, shall have general supervision and control over the finances of the corporation, subject to the control of the board of directors and the chief executive officer of the corporation, if any, and shall see that all orders and resolutions of the board are carried into effect; shall preside at all meetings of the board of directors and stockholders; shall be ex-officio a member of all standing committees; and shall perform such other duties as from time to time may be assigned to him or her by the board of directors.</w:t>
      </w:r>
    </w:p>
    <w:p>
      <w:pPr>
        <w:spacing w:after="0" w:line="221"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A non-executive chairman of the board of directors shall have general supervision over the board of directors and its activities; shall provide overall leadership to the board of directors; shall preside at all meetings of the board of directors and stockholders; shall be ex-officio a member of all standing committees; and shall perform such other duties as from time to time may be assigned to him or her by the board of directors.</w:t>
      </w: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PRESIDENT</w:t>
      </w:r>
    </w:p>
    <w:p>
      <w:pPr>
        <w:spacing w:after="0" w:line="260"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u w:val="single" w:color="auto"/>
          <w:color w:val="auto"/>
        </w:rPr>
        <w:t>Section 7</w:t>
      </w:r>
      <w:r>
        <w:rPr>
          <w:rFonts w:ascii="Times New Roman" w:cs="Times New Roman" w:eastAsia="Times New Roman" w:hAnsi="Times New Roman"/>
          <w:sz w:val="22"/>
          <w:szCs w:val="22"/>
          <w:color w:val="auto"/>
        </w:rPr>
        <w:t>. The president shall have general supervision and control over the day-to-day business and management of the corporation, subject to the control of the board of directors, and shall see that all orders and resolutions of the board are carried into effect. In the absence of an executive chairman of the board of directors and a chief executive officer of the corporation, the president shall have general supervision and control over the finances of the corporation, subject to the control of the board of directors.</w:t>
      </w: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VICE-PRESIDENTS</w:t>
      </w:r>
    </w:p>
    <w:p>
      <w:pPr>
        <w:spacing w:after="0" w:line="260"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1"/>
          <w:szCs w:val="21"/>
          <w:u w:val="single" w:color="auto"/>
          <w:color w:val="auto"/>
        </w:rPr>
        <w:t>Section 8</w:t>
      </w:r>
      <w:r>
        <w:rPr>
          <w:rFonts w:ascii="Times New Roman" w:cs="Times New Roman" w:eastAsia="Times New Roman" w:hAnsi="Times New Roman"/>
          <w:sz w:val="21"/>
          <w:szCs w:val="21"/>
          <w:color w:val="auto"/>
        </w:rPr>
        <w:t>. The vice-president, or if there shall be more than one, the vice-presidents in the order determined by the board of directors, shall, in the absence or disability of the president, perform the duties and exercise the powers of the president and shall perform such other duties and have such other powers as the board of directors may from time to time prescribe.</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SECRETARY AND ASSISTANT SECRETARIES</w:t>
      </w:r>
    </w:p>
    <w:p>
      <w:pPr>
        <w:spacing w:after="0" w:line="24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u w:val="single" w:color="auto"/>
          <w:color w:val="auto"/>
        </w:rPr>
        <w:t>Section 9</w:t>
      </w:r>
      <w:r>
        <w:rPr>
          <w:rFonts w:ascii="Times New Roman" w:cs="Times New Roman" w:eastAsia="Times New Roman" w:hAnsi="Times New Roman"/>
          <w:sz w:val="22"/>
          <w:szCs w:val="22"/>
          <w:color w:val="auto"/>
        </w:rPr>
        <w:t>. The secretary shall attend all meetings of the board of directors and all meetings of the stockholders and record all the proceedings of the meetings of the corporation and of the board of directors in a book to be kept for that purpose and shall perform like duties for the standing committees when required. He shall give, or cause to be given, notice of all meetings of the stockholders and special meetings of the board of directors, and shall perform such other duties as may be prescribed by the board of directors, under whose supervision he</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8</w:t>
      </w:r>
    </w:p>
    <w:p>
      <w:pPr>
        <w:sectPr>
          <w:pgSz w:w="11900" w:h="16838" w:orient="portrait"/>
          <w:cols w:equalWidth="0" w:num="1">
            <w:col w:w="11240"/>
          </w:cols>
          <w:pgMar w:left="320" w:top="1440" w:right="339" w:bottom="1440" w:gutter="0" w:footer="0" w:header="0"/>
        </w:sectPr>
      </w:pPr>
    </w:p>
    <w:bookmarkStart w:id="95" w:name="page96"/>
    <w:bookmarkEnd w:id="95"/>
    <w:p>
      <w:pPr>
        <w:spacing w:after="0" w:line="2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shall be. He shall keep in safe custody the seal of the corporation and, when authorized by the board of directors, affix the same to any instrument requiring it and, when so affixed, it shall be attested by his signature or by the signature of an assistant secretary.</w:t>
      </w:r>
    </w:p>
    <w:p>
      <w:pPr>
        <w:spacing w:after="0" w:line="200" w:lineRule="exact"/>
        <w:rPr>
          <w:sz w:val="20"/>
          <w:szCs w:val="20"/>
          <w:color w:val="auto"/>
        </w:rPr>
      </w:pPr>
    </w:p>
    <w:p>
      <w:pPr>
        <w:jc w:val="both"/>
        <w:ind w:right="20" w:firstLine="648"/>
        <w:spacing w:after="0" w:line="281" w:lineRule="auto"/>
        <w:rPr>
          <w:sz w:val="20"/>
          <w:szCs w:val="20"/>
          <w:color w:val="auto"/>
        </w:rPr>
      </w:pPr>
      <w:r>
        <w:rPr>
          <w:rFonts w:ascii="Times New Roman" w:cs="Times New Roman" w:eastAsia="Times New Roman" w:hAnsi="Times New Roman"/>
          <w:sz w:val="21"/>
          <w:szCs w:val="21"/>
          <w:u w:val="single" w:color="auto"/>
          <w:color w:val="auto"/>
        </w:rPr>
        <w:t>Section 10</w:t>
      </w:r>
      <w:r>
        <w:rPr>
          <w:rFonts w:ascii="Times New Roman" w:cs="Times New Roman" w:eastAsia="Times New Roman" w:hAnsi="Times New Roman"/>
          <w:sz w:val="21"/>
          <w:szCs w:val="21"/>
          <w:color w:val="auto"/>
        </w:rPr>
        <w:t>. The assistant secretary, or if there be more than one, the assistant secretaries in the order determined by the board of directors, shall, in the absence or disability of the secretary, perform the duties and exercise the powers of the secretary and shall perform such other duties and have such other powers as the board of directors may from time to time prescribe.</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TREASURER AND ASSISTANT TREASURERS</w:t>
      </w:r>
    </w:p>
    <w:p>
      <w:pPr>
        <w:spacing w:after="0" w:line="24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u w:val="single" w:color="auto"/>
          <w:color w:val="auto"/>
        </w:rPr>
        <w:t>Section 11</w:t>
      </w:r>
      <w:r>
        <w:rPr>
          <w:rFonts w:ascii="Times New Roman" w:cs="Times New Roman" w:eastAsia="Times New Roman" w:hAnsi="Times New Roman"/>
          <w:sz w:val="22"/>
          <w:szCs w:val="22"/>
          <w:color w:val="auto"/>
        </w:rPr>
        <w:t>. The treasurer shall have the custody of the corporate funds and securities and shall keep full and accurate accounts of receipts and disbursements in books and belongings to the corporation and shall deposit all moneys and other valuable effects in the name and to the credit of the corporation in such depositories as may be designated by the board of directors.</w:t>
      </w:r>
    </w:p>
    <w:p>
      <w:pPr>
        <w:spacing w:after="0" w:line="203"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1"/>
          <w:szCs w:val="21"/>
          <w:u w:val="single" w:color="auto"/>
          <w:color w:val="auto"/>
        </w:rPr>
        <w:t>Section 12</w:t>
      </w:r>
      <w:r>
        <w:rPr>
          <w:rFonts w:ascii="Times New Roman" w:cs="Times New Roman" w:eastAsia="Times New Roman" w:hAnsi="Times New Roman"/>
          <w:sz w:val="21"/>
          <w:szCs w:val="21"/>
          <w:color w:val="auto"/>
        </w:rPr>
        <w:t>. He shall disburse the funds of the corporation as may be ordered by the board of directors, taking proper vouchers for such disbursements, and shall render to the president and the board of directors, at its regular meetings, or when the board of directors so requires, an account of all his transactions as treasurer and of the financial condition of the corporation.</w:t>
      </w:r>
    </w:p>
    <w:p>
      <w:pPr>
        <w:spacing w:after="0" w:line="196"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u w:val="single" w:color="auto"/>
          <w:color w:val="auto"/>
        </w:rPr>
        <w:t>Section 13</w:t>
      </w:r>
      <w:r>
        <w:rPr>
          <w:rFonts w:ascii="Times New Roman" w:cs="Times New Roman" w:eastAsia="Times New Roman" w:hAnsi="Times New Roman"/>
          <w:sz w:val="22"/>
          <w:szCs w:val="22"/>
          <w:color w:val="auto"/>
        </w:rPr>
        <w:t>. If required by the board of directors, he shall give the corporation a bond (which shall be renewed every six years) in such sum and with such surety or sureties as shall be satisfactory to the board of directors for the faithful performance of the duties of his office and for the restoration to the corporation, in case of his death, resignation, retirement or removal from office, of all books, papers, vouchers, money and other property of whatever kind in his possession or under his control belonging to the corporation.</w:t>
      </w:r>
    </w:p>
    <w:p>
      <w:pPr>
        <w:spacing w:after="0" w:line="20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u w:val="single" w:color="auto"/>
          <w:color w:val="auto"/>
        </w:rPr>
        <w:t>Section 14</w:t>
      </w:r>
      <w:r>
        <w:rPr>
          <w:rFonts w:ascii="Times New Roman" w:cs="Times New Roman" w:eastAsia="Times New Roman" w:hAnsi="Times New Roman"/>
          <w:sz w:val="22"/>
          <w:szCs w:val="22"/>
          <w:color w:val="auto"/>
        </w:rPr>
        <w:t>. The assistant treasurer, or if there shall be more than one, the assistant treasurers in the order determined by the board of directors, shall, in the absence or disability of the treasurer, perform the duties and exercise the powers of the treasurer and shall perform such other duties and have such other powers as the board of directors may form time to time prescribe.</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ARTICLE VI</w:t>
      </w: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CERTIFICATES OF STOCK</w:t>
      </w:r>
    </w:p>
    <w:p>
      <w:pPr>
        <w:spacing w:after="0" w:line="260" w:lineRule="exact"/>
        <w:rPr>
          <w:sz w:val="20"/>
          <w:szCs w:val="20"/>
          <w:color w:val="auto"/>
        </w:rPr>
      </w:pPr>
    </w:p>
    <w:p>
      <w:pPr>
        <w:jc w:val="both"/>
        <w:ind w:firstLine="270"/>
        <w:spacing w:after="0" w:line="252" w:lineRule="auto"/>
        <w:rPr>
          <w:sz w:val="20"/>
          <w:szCs w:val="20"/>
          <w:color w:val="auto"/>
        </w:rPr>
      </w:pPr>
      <w:r>
        <w:rPr>
          <w:rFonts w:ascii="Times New Roman" w:cs="Times New Roman" w:eastAsia="Times New Roman" w:hAnsi="Times New Roman"/>
          <w:sz w:val="22"/>
          <w:szCs w:val="22"/>
          <w:u w:val="single" w:color="auto"/>
          <w:color w:val="auto"/>
        </w:rPr>
        <w:t>Section 1</w:t>
      </w:r>
      <w:r>
        <w:rPr>
          <w:rFonts w:ascii="Times New Roman" w:cs="Times New Roman" w:eastAsia="Times New Roman" w:hAnsi="Times New Roman"/>
          <w:sz w:val="22"/>
          <w:szCs w:val="22"/>
          <w:color w:val="auto"/>
        </w:rPr>
        <w:t>. Shares of the capital stock of the corporation may be certificated or uncertificated, as provided under the General Corporation Law of the State of Delaware. Each stockholder, upon written request to the transfer agent or registrar of the corporation, shall be entitled to a certificate of the capital stock of the corporation in such form as may from time to time be prescribed by the board of directors. Such certificate shall bear the corporation’s seal</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ectPr>
          <w:pgSz w:w="11900" w:h="16838" w:orient="portrait"/>
          <w:cols w:equalWidth="0" w:num="1">
            <w:col w:w="11240"/>
          </w:cols>
          <w:pgMar w:left="320" w:top="1440" w:right="339" w:bottom="1440" w:gutter="0" w:footer="0" w:header="0"/>
        </w:sectPr>
      </w:pPr>
    </w:p>
    <w:bookmarkStart w:id="96" w:name="page97"/>
    <w:bookmarkEnd w:id="96"/>
    <w:p>
      <w:pPr>
        <w:spacing w:after="0" w:line="2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1"/>
          <w:szCs w:val="21"/>
          <w:color w:val="auto"/>
        </w:rPr>
        <w:t>and shall be signed by the chairman of the board or the president or a vice president and by the treasurer or an assistant treasurer or the secretary or an assistant secretary. The corporation’s seal and the signatures by corporation officers may be facsimiles if the certificate is manually countersigned by an authorized person on behalf of a transfer agent or registrar other than the corporation or its employee. In case any officer, transfer agent or registrar who has signed or whose facsimile signature has been placed on such certificate shall have ceased to be such officer, transfer agent or registrar before such certificate is issued, it may be issued by the corporation with the same effect as if such officer, transfer agent or registrar were such officer, transfer agent or registrar at the time of its issue. Every certificate for shares of stock which are subject to any restriction on transfer and every certificate issued when the corporation is authorized to issue more than one class or series of stock shall contain such legend with respect thereto as is required by law. The corporation shall be permitted to issue fractional shares.</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TRANSFERS</w:t>
      </w:r>
    </w:p>
    <w:p>
      <w:pPr>
        <w:spacing w:after="0" w:line="247"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u w:val="single" w:color="auto"/>
          <w:color w:val="auto"/>
        </w:rPr>
        <w:t>Section 2</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color w:val="231F20"/>
        </w:rPr>
        <w:t>Stock of the corporation shall be transferable in the manner prescribed by applicable law and in these By-Laws.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color w:val="231F20"/>
        </w:rPr>
        <w:t>Transfers of stock shall be made on the books of the corporation, and in the case of certificated shares of stock, only by the person named in the certificate or by such person’s attorney lawfully constituted in writing and upon the surrender of the certificate therefor, properly endorsed for transfer and payment of all necessary transfer taxes; or, in the case of uncertificated shares of stock, upon receipt of proper transfer instructions from the registered holder of the shares or by such person’s attorney lawfully constituted in writing, and upon payment of all necessary transfer taxes and compliance with appropriate procedures for transferring shares in uncertificated form; provided, however, that such surrender and endorsement, compliance or payment of taxes shall not be required in any case in which the officers of the corporation shall determine to waive such requirement. With respect to certificated shares of stock, every certificate exchanged, returned or surrendered to the corporation shall be marked “Cancelled,” with the date of cancellation, by the secretary or assistant secretary of the corporation or the transfer agent thereof. No transfer of stock shall be valid as against the corporation for any purpose until it shall have been entered in the stock records of the corporation by an entry showing from and to whom transferred.</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LOST CERTIFICATES</w:t>
      </w:r>
    </w:p>
    <w:p>
      <w:pPr>
        <w:spacing w:after="0" w:line="247" w:lineRule="exact"/>
        <w:rPr>
          <w:sz w:val="20"/>
          <w:szCs w:val="20"/>
          <w:color w:val="auto"/>
        </w:rPr>
      </w:pPr>
    </w:p>
    <w:p>
      <w:pPr>
        <w:jc w:val="both"/>
        <w:ind w:firstLine="229"/>
        <w:spacing w:after="0" w:line="263" w:lineRule="auto"/>
        <w:rPr>
          <w:sz w:val="20"/>
          <w:szCs w:val="20"/>
          <w:color w:val="auto"/>
        </w:rPr>
      </w:pPr>
      <w:r>
        <w:rPr>
          <w:rFonts w:ascii="Times New Roman" w:cs="Times New Roman" w:eastAsia="Times New Roman" w:hAnsi="Times New Roman"/>
          <w:sz w:val="22"/>
          <w:szCs w:val="22"/>
          <w:u w:val="single" w:color="auto"/>
          <w:color w:val="auto"/>
        </w:rPr>
        <w:t>Section 3</w:t>
      </w:r>
      <w:r>
        <w:rPr>
          <w:rFonts w:ascii="Times New Roman" w:cs="Times New Roman" w:eastAsia="Times New Roman" w:hAnsi="Times New Roman"/>
          <w:sz w:val="22"/>
          <w:szCs w:val="22"/>
          <w:color w:val="auto"/>
        </w:rPr>
        <w:t>. In case of the alleged loss, destruction or mutilation of a certificate of stock, a duplicate certificate may be issued in place thereof, upon such terms as the board of directors may prescribe, provided, however, that if such shares have ceased to be certificated, a new certificate shall be issued only upon written request to the transfer agent or registrar of the corporation.</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CLOSING OF TRANSFER BOOKS; RECORD DATE</w:t>
      </w:r>
    </w:p>
    <w:p>
      <w:pPr>
        <w:spacing w:after="0" w:line="247" w:lineRule="exact"/>
        <w:rPr>
          <w:sz w:val="20"/>
          <w:szCs w:val="20"/>
          <w:color w:val="auto"/>
        </w:rPr>
      </w:pPr>
    </w:p>
    <w:p>
      <w:pPr>
        <w:jc w:val="both"/>
        <w:ind w:firstLine="283"/>
        <w:spacing w:after="0" w:line="257" w:lineRule="auto"/>
        <w:rPr>
          <w:sz w:val="20"/>
          <w:szCs w:val="20"/>
          <w:color w:val="auto"/>
        </w:rPr>
      </w:pPr>
      <w:r>
        <w:rPr>
          <w:rFonts w:ascii="Times New Roman" w:cs="Times New Roman" w:eastAsia="Times New Roman" w:hAnsi="Times New Roman"/>
          <w:sz w:val="22"/>
          <w:szCs w:val="22"/>
          <w:u w:val="single" w:color="auto"/>
          <w:color w:val="auto"/>
        </w:rPr>
        <w:t>Section 4</w:t>
      </w:r>
      <w:r>
        <w:rPr>
          <w:rFonts w:ascii="Times New Roman" w:cs="Times New Roman" w:eastAsia="Times New Roman" w:hAnsi="Times New Roman"/>
          <w:sz w:val="22"/>
          <w:szCs w:val="22"/>
          <w:color w:val="auto"/>
        </w:rPr>
        <w:t>. The board of directors may close the stock transfer books of the corporation for a period not exceeding 50 days preceding the date of any meeting of stockholders or the date for payment of any dividend or the date for the allotment of rights or the date when any change</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ectPr>
          <w:pgSz w:w="11900" w:h="16838" w:orient="portrait"/>
          <w:cols w:equalWidth="0" w:num="1">
            <w:col w:w="11240"/>
          </w:cols>
          <w:pgMar w:left="320" w:top="1440" w:right="339" w:bottom="1440" w:gutter="0" w:footer="0" w:header="0"/>
        </w:sectPr>
      </w:pPr>
    </w:p>
    <w:bookmarkStart w:id="97" w:name="page98"/>
    <w:bookmarkEnd w:id="97"/>
    <w:p>
      <w:pPr>
        <w:spacing w:after="0" w:line="23"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2"/>
          <w:szCs w:val="22"/>
          <w:color w:val="auto"/>
        </w:rPr>
        <w:t>or conversion or exchange of capital stock shall go into effect or for a period of not exceeding 50 days in connection with obtaining the consent of stockholders for any purpose. In lieu of closing the stock transfer books as aforesaid, the board of directors may fix in advance a date, which date shall not be more than 60 nor less than ten days preceding the date of any meeting of stockholders, or the date for the payment of any dividend, or the date for the allotment of rights, or the date when any change or conversion or exchange of capital stock shall go into effect, or a date in connection with obtaining such consent, as a record date for the determination of the stockholders entitled to notice of, and to vote at, any such meeting, and any adjournment thereof, or entitled to receive payment of any such dividend, or to any such allotment of rights, or to exercise the rights in respect of any such change, conversion or exchange of capital stock, or to give such consent, and in such case such stockholders and only such stockholders as shall be stockholders of record on the date so fixed shall be entitled to such notice of, and to vote at, such meeting and any adjournment thereof, or to receive payment of such dividend, or to receive such allotment of rights, or to exercise such rights, or to give such consent, as the case may be, notwithstanding any transfer of any stock on the books of the corporation after any such record date fixed as aforesaid.</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REGISTERED STOCKHOLDERS</w:t>
      </w:r>
    </w:p>
    <w:p>
      <w:pPr>
        <w:spacing w:after="0" w:line="247" w:lineRule="exact"/>
        <w:rPr>
          <w:sz w:val="20"/>
          <w:szCs w:val="20"/>
          <w:color w:val="auto"/>
        </w:rPr>
      </w:pPr>
    </w:p>
    <w:p>
      <w:pPr>
        <w:jc w:val="both"/>
        <w:ind w:firstLine="229"/>
        <w:spacing w:after="0" w:line="253" w:lineRule="auto"/>
        <w:rPr>
          <w:sz w:val="20"/>
          <w:szCs w:val="20"/>
          <w:color w:val="auto"/>
        </w:rPr>
      </w:pPr>
      <w:r>
        <w:rPr>
          <w:rFonts w:ascii="Times New Roman" w:cs="Times New Roman" w:eastAsia="Times New Roman" w:hAnsi="Times New Roman"/>
          <w:sz w:val="22"/>
          <w:szCs w:val="22"/>
          <w:u w:val="single" w:color="auto"/>
          <w:color w:val="auto"/>
        </w:rPr>
        <w:t>Section 5</w:t>
      </w:r>
      <w:r>
        <w:rPr>
          <w:rFonts w:ascii="Times New Roman" w:cs="Times New Roman" w:eastAsia="Times New Roman" w:hAnsi="Times New Roman"/>
          <w:sz w:val="22"/>
          <w:szCs w:val="22"/>
          <w:color w:val="auto"/>
        </w:rPr>
        <w:t>. The corporation shall be entitled to recognize the exclusive right of a person registered on its books as the owner of shares to receive dividends, and to vote as such owner, and to hold liable for calls and assessments a person registered on its books as the owner of shares, and shall not be bound to recognize any equitable or other claim to or interest in such share or shares on the part of any other person, whether or not it shall have express or other notice thereof, except as otherwise provided by the laws of Delaware.</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ARTICLE VII</w:t>
      </w: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GENERAL PROVISIONS</w:t>
      </w: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DIVIDENDS</w:t>
      </w:r>
    </w:p>
    <w:p>
      <w:pPr>
        <w:spacing w:after="0" w:line="247"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u w:val="single" w:color="auto"/>
          <w:color w:val="auto"/>
        </w:rPr>
        <w:t>Section 1</w:t>
      </w:r>
      <w:r>
        <w:rPr>
          <w:rFonts w:ascii="Times New Roman" w:cs="Times New Roman" w:eastAsia="Times New Roman" w:hAnsi="Times New Roman"/>
          <w:sz w:val="22"/>
          <w:szCs w:val="22"/>
          <w:color w:val="auto"/>
        </w:rPr>
        <w:t>. Dividends upon the capital stock of the corporation, subject to the provisions of the certificate of incorporation, if any, may be declared by the board of directors at any regular or special meeting, pursuant to law. Dividends may be paid in cash, in property, or in shares of the capital stock, subject to the provisions of the certificate of incorporation.</w:t>
      </w:r>
    </w:p>
    <w:p>
      <w:pPr>
        <w:spacing w:after="0" w:line="20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u w:val="single" w:color="auto"/>
          <w:color w:val="auto"/>
        </w:rPr>
        <w:t>Section 2</w:t>
      </w:r>
      <w:r>
        <w:rPr>
          <w:rFonts w:ascii="Times New Roman" w:cs="Times New Roman" w:eastAsia="Times New Roman" w:hAnsi="Times New Roman"/>
          <w:sz w:val="22"/>
          <w:szCs w:val="22"/>
          <w:color w:val="auto"/>
        </w:rPr>
        <w:t>. Before payment of any dividend, there may be set aside out of any funds of the corporation available for dividends such sum or sums as the directors from time to time, in their absolute discretion, think proper as a reserve or reserves to meet contingencies, or for equalizing dividends, or for repairing or maintaining any property of the corporation, or for such other purpose as the directors shall think conducive to the interest of the corporation, and the directors may modify or abolish any such reserve in the manner in which it was created.</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ANNUAL STATEMENT</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w:t>
      </w:r>
    </w:p>
    <w:p>
      <w:pPr>
        <w:sectPr>
          <w:pgSz w:w="11900" w:h="16838" w:orient="portrait"/>
          <w:cols w:equalWidth="0" w:num="1">
            <w:col w:w="11240"/>
          </w:cols>
          <w:pgMar w:left="320" w:top="1440" w:right="339" w:bottom="1440" w:gutter="0" w:footer="0" w:header="0"/>
        </w:sectPr>
      </w:pPr>
    </w:p>
    <w:bookmarkStart w:id="98" w:name="page99"/>
    <w:bookmarkEnd w:id="98"/>
    <w:p>
      <w:pPr>
        <w:spacing w:after="0" w:line="266"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u w:val="single" w:color="auto"/>
          <w:color w:val="auto"/>
        </w:rPr>
        <w:t>Section 3</w:t>
      </w:r>
      <w:r>
        <w:rPr>
          <w:rFonts w:ascii="Times New Roman" w:cs="Times New Roman" w:eastAsia="Times New Roman" w:hAnsi="Times New Roman"/>
          <w:sz w:val="22"/>
          <w:szCs w:val="22"/>
          <w:color w:val="auto"/>
        </w:rPr>
        <w:t>. The board of directors shall present at each annual meeting, and at any special meeting of the stockholders when called for by vote of the stockholders, a full and clear statement of the business and condition of the corporation.</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CHECKS</w:t>
      </w:r>
    </w:p>
    <w:p>
      <w:pPr>
        <w:spacing w:after="0" w:line="247"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22"/>
          <w:szCs w:val="22"/>
          <w:u w:val="single" w:color="auto"/>
          <w:color w:val="auto"/>
        </w:rPr>
        <w:t>Section 4</w:t>
      </w:r>
      <w:r>
        <w:rPr>
          <w:rFonts w:ascii="Times New Roman" w:cs="Times New Roman" w:eastAsia="Times New Roman" w:hAnsi="Times New Roman"/>
          <w:sz w:val="22"/>
          <w:szCs w:val="22"/>
          <w:color w:val="auto"/>
        </w:rPr>
        <w:t>. All checks or demand for money and notes of the corporation shall be signed by such officer or officers or such other person or persons as the board of directors may from time to time designate.</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FISCAL YEAR</w:t>
      </w:r>
    </w:p>
    <w:p>
      <w:pPr>
        <w:spacing w:after="0" w:line="2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u w:val="single" w:color="auto"/>
          <w:color w:val="auto"/>
        </w:rPr>
        <w:t>Section 5</w:t>
      </w:r>
      <w:r>
        <w:rPr>
          <w:rFonts w:ascii="Times New Roman" w:cs="Times New Roman" w:eastAsia="Times New Roman" w:hAnsi="Times New Roman"/>
          <w:sz w:val="22"/>
          <w:szCs w:val="22"/>
          <w:color w:val="auto"/>
        </w:rPr>
        <w:t>. The fiscal year of the corporation shall be fixed by resolution of the board of directors.</w:t>
      </w: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SEAL</w:t>
      </w:r>
    </w:p>
    <w:p>
      <w:pPr>
        <w:spacing w:after="0" w:line="247"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u w:val="single" w:color="auto"/>
          <w:color w:val="auto"/>
        </w:rPr>
        <w:t>Section 6</w:t>
      </w:r>
      <w:r>
        <w:rPr>
          <w:rFonts w:ascii="Times New Roman" w:cs="Times New Roman" w:eastAsia="Times New Roman" w:hAnsi="Times New Roman"/>
          <w:sz w:val="22"/>
          <w:szCs w:val="22"/>
          <w:color w:val="auto"/>
        </w:rPr>
        <w:t>. The corporate seal shall have inscribed thereon the name of the corporation, the year of its organization and the words “Corporate Seal, Delaware”. The seal may be used by causing it or a facsimile thereof to be impressed or affixed or reproduced or otherwise.</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INDEMNIFICATION</w:t>
      </w:r>
    </w:p>
    <w:p>
      <w:pPr>
        <w:spacing w:after="0" w:line="247"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u w:val="single" w:color="auto"/>
          <w:color w:val="auto"/>
        </w:rPr>
        <w:t>Section 7</w:t>
      </w:r>
      <w:r>
        <w:rPr>
          <w:rFonts w:ascii="Times New Roman" w:cs="Times New Roman" w:eastAsia="Times New Roman" w:hAnsi="Times New Roman"/>
          <w:sz w:val="22"/>
          <w:szCs w:val="22"/>
          <w:color w:val="auto"/>
        </w:rPr>
        <w:t>. The corporation shall to the full extent permitted by Section 145 of the Delaware General Corporation Law, as amended from time to time, indemnify all persons whom it may indemnify pursuant thereto. The indemnifications authorized hereby shall not be deemed exclusive of any other rights to which those seeking indemnification may be entitled under or through any agreement, vote of stockholders or disinterested directors or otherwise, both as to action in the official capacity of those seeking indemnification and as to action in another capacity while holding such office, and shall continue as to a person who has ceased to be a director, officer, employee or agent and shall inure to the benefit of the heirs, executors and administrators of such persons. The corporation may purchase and maintain insurance on behalf of any person who is or was a director, officer, employee or agent of the corporation, or is or was serving at the request of another corporation, partnership, joint venture, trust or other enterprise against any liability asserted against him and incurred by him in any such capacity, or arising out of his status as such, whether or not the corporation would have the power to indemnify him against such liability under the provisions of Section 145.</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ARTICLE VIII</w:t>
      </w: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AMENDMENTS</w:t>
      </w:r>
    </w:p>
    <w:p>
      <w:pPr>
        <w:spacing w:after="0" w:line="260"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u w:val="single" w:color="auto"/>
          <w:color w:val="auto"/>
        </w:rPr>
        <w:t>Section 1</w:t>
      </w:r>
      <w:r>
        <w:rPr>
          <w:rFonts w:ascii="Times New Roman" w:cs="Times New Roman" w:eastAsia="Times New Roman" w:hAnsi="Times New Roman"/>
          <w:sz w:val="22"/>
          <w:szCs w:val="22"/>
          <w:color w:val="auto"/>
        </w:rPr>
        <w:t>. These by-laws may be altered or repealed (a) at any regular meeting of the stockholders or of the board of directors, (b) at any special meeting of the stockholders or of the</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w:t>
      </w:r>
    </w:p>
    <w:p>
      <w:pPr>
        <w:sectPr>
          <w:pgSz w:w="11900" w:h="16838" w:orient="portrait"/>
          <w:cols w:equalWidth="0" w:num="1">
            <w:col w:w="11240"/>
          </w:cols>
          <w:pgMar w:left="320" w:top="1440" w:right="339" w:bottom="1440" w:gutter="0" w:footer="0" w:header="0"/>
        </w:sectPr>
      </w:pPr>
    </w:p>
    <w:bookmarkStart w:id="99" w:name="page100"/>
    <w:bookmarkEnd w:id="99"/>
    <w:p>
      <w:pPr>
        <w:spacing w:after="0" w:line="23"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22"/>
          <w:szCs w:val="22"/>
          <w:color w:val="auto"/>
        </w:rPr>
        <w:t>board of directors if notice of such alteration or repeal be contained in the notice of such special meeting or (c) by unanimous written consent of the stockholders or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13</w:t>
      </w:r>
    </w:p>
    <w:p>
      <w:pPr>
        <w:sectPr>
          <w:pgSz w:w="11900" w:h="16838" w:orient="portrait"/>
          <w:cols w:equalWidth="0" w:num="1">
            <w:col w:w="11240"/>
          </w:cols>
          <w:pgMar w:left="320" w:top="1440" w:right="339" w:bottom="1440" w:gutter="0" w:footer="0" w:header="0"/>
        </w:sectPr>
      </w:pPr>
    </w:p>
    <w:bookmarkStart w:id="100" w:name="page101"/>
    <w:bookmarkEnd w:id="100"/>
    <w:p>
      <w:pPr>
        <w:jc w:val="right"/>
        <w:spacing w:after="0"/>
        <w:rPr>
          <w:sz w:val="20"/>
          <w:szCs w:val="20"/>
          <w:color w:val="auto"/>
        </w:rPr>
      </w:pPr>
      <w:r>
        <w:rPr>
          <w:rFonts w:ascii="Times New Roman" w:cs="Times New Roman" w:eastAsia="Times New Roman" w:hAnsi="Times New Roman"/>
          <w:sz w:val="18"/>
          <w:szCs w:val="18"/>
          <w:b w:val="1"/>
          <w:bCs w:val="1"/>
          <w:color w:val="auto"/>
        </w:rPr>
        <w:t>EXHIBIT 31(A)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Meryl Golden, certify that:</w:t>
      </w:r>
    </w:p>
    <w:p>
      <w:pPr>
        <w:spacing w:after="0" w:line="225" w:lineRule="exact"/>
        <w:rPr>
          <w:sz w:val="20"/>
          <w:szCs w:val="20"/>
          <w:color w:val="auto"/>
        </w:rPr>
      </w:pPr>
    </w:p>
    <w:p>
      <w:pPr>
        <w:ind w:left="1060" w:hanging="1052"/>
        <w:spacing w:after="0"/>
        <w:tabs>
          <w:tab w:leader="none" w:pos="10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Kingstone Companies, Inc.;</w:t>
      </w:r>
    </w:p>
    <w:p>
      <w:pPr>
        <w:spacing w:after="0" w:line="225" w:lineRule="exact"/>
        <w:rPr>
          <w:rFonts w:ascii="Times New Roman" w:cs="Times New Roman" w:eastAsia="Times New Roman" w:hAnsi="Times New Roman"/>
          <w:sz w:val="18"/>
          <w:szCs w:val="18"/>
          <w:color w:val="auto"/>
        </w:rPr>
      </w:pPr>
    </w:p>
    <w:p>
      <w:pPr>
        <w:ind w:left="1060" w:right="180" w:hanging="1052"/>
        <w:spacing w:after="0" w:line="266" w:lineRule="auto"/>
        <w:tabs>
          <w:tab w:leader="none" w:pos="10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1060" w:right="460" w:hanging="1052"/>
        <w:spacing w:after="0" w:line="312" w:lineRule="auto"/>
        <w:tabs>
          <w:tab w:leader="none" w:pos="106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9" w:lineRule="exact"/>
        <w:rPr>
          <w:rFonts w:ascii="Times New Roman" w:cs="Times New Roman" w:eastAsia="Times New Roman" w:hAnsi="Times New Roman"/>
          <w:sz w:val="17"/>
          <w:szCs w:val="17"/>
          <w:color w:val="auto"/>
        </w:rPr>
      </w:pPr>
    </w:p>
    <w:p>
      <w:pPr>
        <w:ind w:left="1060" w:right="80" w:hanging="1052"/>
        <w:spacing w:after="0" w:line="266" w:lineRule="auto"/>
        <w:tabs>
          <w:tab w:leader="none" w:pos="10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2140" w:hanging="1060"/>
        <w:spacing w:after="0" w:line="266" w:lineRule="auto"/>
        <w:tabs>
          <w:tab w:leader="none" w:pos="2137" w:val="left"/>
        </w:tabs>
        <w:numPr>
          <w:ilvl w:val="2"/>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2140" w:right="40" w:hanging="1060"/>
        <w:spacing w:after="0" w:line="266" w:lineRule="auto"/>
        <w:tabs>
          <w:tab w:leader="none" w:pos="2134" w:val="left"/>
        </w:tabs>
        <w:numPr>
          <w:ilvl w:val="2"/>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2140" w:right="120" w:hanging="1060"/>
        <w:spacing w:after="0" w:line="266" w:lineRule="auto"/>
        <w:tabs>
          <w:tab w:leader="none" w:pos="2137" w:val="left"/>
        </w:tabs>
        <w:numPr>
          <w:ilvl w:val="2"/>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ind w:left="2140" w:right="140" w:hanging="1060"/>
        <w:spacing w:after="0" w:line="266" w:lineRule="auto"/>
        <w:tabs>
          <w:tab w:leader="none" w:pos="2134" w:val="left"/>
        </w:tabs>
        <w:numPr>
          <w:ilvl w:val="2"/>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1060" w:right="40" w:hanging="1052"/>
        <w:spacing w:after="0" w:line="312" w:lineRule="auto"/>
        <w:tabs>
          <w:tab w:leader="none" w:pos="106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9" w:lineRule="exact"/>
        <w:rPr>
          <w:rFonts w:ascii="Times New Roman" w:cs="Times New Roman" w:eastAsia="Times New Roman" w:hAnsi="Times New Roman"/>
          <w:sz w:val="17"/>
          <w:szCs w:val="17"/>
          <w:color w:val="auto"/>
        </w:rPr>
      </w:pPr>
    </w:p>
    <w:p>
      <w:pPr>
        <w:ind w:left="2120" w:right="400" w:hanging="1059"/>
        <w:spacing w:after="0" w:line="266" w:lineRule="auto"/>
        <w:tabs>
          <w:tab w:leader="none" w:pos="2117"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2120" w:right="780" w:hanging="1059"/>
        <w:spacing w:after="0" w:line="282" w:lineRule="auto"/>
        <w:tabs>
          <w:tab w:leader="none" w:pos="2114"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May 15, 2025</w:t>
      </w:r>
    </w:p>
    <w:p>
      <w:pPr>
        <w:spacing w:after="0" w:line="50"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/s/ Meryl Golden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3768090</wp:posOffset>
            </wp:positionH>
            <wp:positionV relativeFrom="paragraph">
              <wp:posOffset>26035</wp:posOffset>
            </wp:positionV>
            <wp:extent cx="252031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5">
                      <a:extLst>
                        <a:ext uri="{28A0092B-C50C-407E-A947-70E740481C1C}"/>
                      </a:extLst>
                    </a:blip>
                    <a:srcRect/>
                    <a:stretch>
                      <a:fillRect/>
                    </a:stretch>
                  </pic:blipFill>
                  <pic:spPr bwMode="auto">
                    <a:xfrm>
                      <a:off x="0" y="0"/>
                      <a:ext cx="2520315" cy="8255"/>
                    </a:xfrm>
                    <a:prstGeom prst="rect">
                      <a:avLst/>
                    </a:prstGeom>
                    <a:noFill/>
                  </pic:spPr>
                </pic:pic>
              </a:graphicData>
            </a:graphic>
          </wp:anchor>
        </w:drawing>
      </w:r>
    </w:p>
    <w:p>
      <w:pPr>
        <w:spacing w:after="0" w:line="4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Meryl Golden</w:t>
      </w:r>
    </w:p>
    <w:p>
      <w:pPr>
        <w:spacing w:after="0" w:line="50"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40"/>
          </w:cols>
          <w:pgMar w:left="320" w:top="1143" w:right="339" w:bottom="1440" w:gutter="0" w:footer="0" w:header="0"/>
        </w:sectPr>
      </w:pPr>
    </w:p>
    <w:bookmarkStart w:id="101" w:name="page102"/>
    <w:bookmarkEnd w:id="101"/>
    <w:p>
      <w:pPr>
        <w:jc w:val="right"/>
        <w:spacing w:after="0"/>
        <w:rPr>
          <w:sz w:val="20"/>
          <w:szCs w:val="20"/>
          <w:color w:val="auto"/>
        </w:rPr>
      </w:pPr>
      <w:r>
        <w:rPr>
          <w:rFonts w:ascii="Times New Roman" w:cs="Times New Roman" w:eastAsia="Times New Roman" w:hAnsi="Times New Roman"/>
          <w:sz w:val="18"/>
          <w:szCs w:val="18"/>
          <w:b w:val="1"/>
          <w:bCs w:val="1"/>
          <w:color w:val="auto"/>
        </w:rPr>
        <w:t>EXHIBIT 31(B)</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Meryl Golden, certify that:</w:t>
      </w:r>
    </w:p>
    <w:p>
      <w:pPr>
        <w:spacing w:after="0" w:line="225" w:lineRule="exact"/>
        <w:rPr>
          <w:sz w:val="20"/>
          <w:szCs w:val="20"/>
          <w:color w:val="auto"/>
        </w:rPr>
      </w:pPr>
    </w:p>
    <w:p>
      <w:pPr>
        <w:ind w:left="1060" w:hanging="1052"/>
        <w:spacing w:after="0"/>
        <w:tabs>
          <w:tab w:leader="none" w:pos="10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Kingstone Companies, Inc.;</w:t>
      </w:r>
    </w:p>
    <w:p>
      <w:pPr>
        <w:spacing w:after="0" w:line="225" w:lineRule="exact"/>
        <w:rPr>
          <w:rFonts w:ascii="Times New Roman" w:cs="Times New Roman" w:eastAsia="Times New Roman" w:hAnsi="Times New Roman"/>
          <w:sz w:val="18"/>
          <w:szCs w:val="18"/>
          <w:color w:val="auto"/>
        </w:rPr>
      </w:pPr>
    </w:p>
    <w:p>
      <w:pPr>
        <w:ind w:left="1060" w:right="180" w:hanging="1052"/>
        <w:spacing w:after="0" w:line="266" w:lineRule="auto"/>
        <w:tabs>
          <w:tab w:leader="none" w:pos="10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1060" w:right="460" w:hanging="1052"/>
        <w:spacing w:after="0" w:line="312" w:lineRule="auto"/>
        <w:tabs>
          <w:tab w:leader="none" w:pos="106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9" w:lineRule="exact"/>
        <w:rPr>
          <w:rFonts w:ascii="Times New Roman" w:cs="Times New Roman" w:eastAsia="Times New Roman" w:hAnsi="Times New Roman"/>
          <w:sz w:val="17"/>
          <w:szCs w:val="17"/>
          <w:color w:val="auto"/>
        </w:rPr>
      </w:pPr>
    </w:p>
    <w:p>
      <w:pPr>
        <w:ind w:left="1060" w:right="80" w:hanging="1052"/>
        <w:spacing w:after="0" w:line="266" w:lineRule="auto"/>
        <w:tabs>
          <w:tab w:leader="none" w:pos="10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2120" w:right="20" w:hanging="1059"/>
        <w:spacing w:after="0" w:line="266" w:lineRule="auto"/>
        <w:tabs>
          <w:tab w:leader="none" w:pos="2117"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2120" w:right="60" w:hanging="1059"/>
        <w:spacing w:after="0" w:line="266" w:lineRule="auto"/>
        <w:tabs>
          <w:tab w:leader="none" w:pos="2114"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2120" w:right="140" w:hanging="1059"/>
        <w:spacing w:after="0" w:line="266" w:lineRule="auto"/>
        <w:tabs>
          <w:tab w:leader="none" w:pos="2117"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ind w:left="2120" w:right="160" w:hanging="1059"/>
        <w:spacing w:after="0" w:line="266" w:lineRule="auto"/>
        <w:tabs>
          <w:tab w:leader="none" w:pos="2114"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1060" w:right="40" w:hanging="1052"/>
        <w:spacing w:after="0" w:line="312" w:lineRule="auto"/>
        <w:tabs>
          <w:tab w:leader="none" w:pos="106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9" w:lineRule="exact"/>
        <w:rPr>
          <w:rFonts w:ascii="Times New Roman" w:cs="Times New Roman" w:eastAsia="Times New Roman" w:hAnsi="Times New Roman"/>
          <w:sz w:val="17"/>
          <w:szCs w:val="17"/>
          <w:color w:val="auto"/>
        </w:rPr>
      </w:pPr>
    </w:p>
    <w:p>
      <w:pPr>
        <w:ind w:left="2120" w:right="400" w:hanging="1059"/>
        <w:spacing w:after="0" w:line="266" w:lineRule="auto"/>
        <w:tabs>
          <w:tab w:leader="none" w:pos="2117"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2120" w:right="780" w:hanging="1059"/>
        <w:spacing w:after="0" w:line="282" w:lineRule="auto"/>
        <w:tabs>
          <w:tab w:leader="none" w:pos="2114"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May 15, 2025</w:t>
      </w:r>
    </w:p>
    <w:p>
      <w:pPr>
        <w:spacing w:after="0" w:line="50"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/s/ Meryl Golden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26035</wp:posOffset>
            </wp:positionV>
            <wp:extent cx="252031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6">
                      <a:extLst>
                        <a:ext uri="{28A0092B-C50C-407E-A947-70E740481C1C}"/>
                      </a:extLst>
                    </a:blip>
                    <a:srcRect/>
                    <a:stretch>
                      <a:fillRect/>
                    </a:stretch>
                  </pic:blipFill>
                  <pic:spPr bwMode="auto">
                    <a:xfrm>
                      <a:off x="0" y="0"/>
                      <a:ext cx="2520315" cy="8255"/>
                    </a:xfrm>
                    <a:prstGeom prst="rect">
                      <a:avLst/>
                    </a:prstGeom>
                    <a:noFill/>
                  </pic:spPr>
                </pic:pic>
              </a:graphicData>
            </a:graphic>
          </wp:anchor>
        </w:drawing>
      </w:r>
    </w:p>
    <w:p>
      <w:pPr>
        <w:spacing w:after="0" w:line="18"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Meryl Golden</w:t>
      </w:r>
    </w:p>
    <w:p>
      <w:pPr>
        <w:ind w:left="5940"/>
        <w:spacing w:after="0"/>
        <w:rPr>
          <w:sz w:val="20"/>
          <w:szCs w:val="20"/>
          <w:color w:val="auto"/>
        </w:rPr>
      </w:pPr>
      <w:r>
        <w:rPr>
          <w:rFonts w:ascii="Times New Roman" w:cs="Times New Roman" w:eastAsia="Times New Roman" w:hAnsi="Times New Roman"/>
          <w:sz w:val="18"/>
          <w:szCs w:val="18"/>
          <w:color w:val="auto"/>
        </w:rPr>
        <w:t>Principal Financial Officer</w:t>
      </w:r>
    </w:p>
    <w:p>
      <w:pPr>
        <w:sectPr>
          <w:pgSz w:w="11900" w:h="16838" w:orient="portrait"/>
          <w:cols w:equalWidth="0" w:num="1">
            <w:col w:w="11240"/>
          </w:cols>
          <w:pgMar w:left="320" w:top="1143" w:right="339" w:bottom="1440" w:gutter="0" w:footer="0" w:header="0"/>
        </w:sectPr>
      </w:pPr>
    </w:p>
    <w:bookmarkStart w:id="102" w:name="page103"/>
    <w:bookmarkEnd w:id="102"/>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CHIEF FINANCIAL OFFICER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firstLine="607"/>
        <w:spacing w:after="0" w:line="261" w:lineRule="auto"/>
        <w:rPr>
          <w:sz w:val="20"/>
          <w:szCs w:val="20"/>
          <w:color w:val="auto"/>
        </w:rPr>
      </w:pPr>
      <w:r>
        <w:rPr>
          <w:rFonts w:ascii="Times New Roman" w:cs="Times New Roman" w:eastAsia="Times New Roman" w:hAnsi="Times New Roman"/>
          <w:sz w:val="18"/>
          <w:szCs w:val="18"/>
          <w:color w:val="auto"/>
        </w:rPr>
        <w:t>The undersigned hereby certify, pursuant to, and as required by, 18 U.S.C. Section 1350, as adopted pursuant to Section 906 of the Sarbanes-Oxley Act of 2002, that the Quarterly Report of Kingstone Companies, Inc. (the “Company”) on Form 10-Q for the period ended March 31, 2025 fully complies with the requirements of Section 13(a) or 15(d) of the Securities Exchange Act of 1934, as amended, and that information contained in such Quarterly Report on Form 10-Q fairly presents, in all material respects, the financial condition and results of operations of the Company.</w:t>
      </w:r>
    </w:p>
    <w:p>
      <w:pPr>
        <w:spacing w:after="0" w:line="234" w:lineRule="exact"/>
        <w:rPr>
          <w:sz w:val="20"/>
          <w:szCs w:val="20"/>
          <w:color w:val="auto"/>
        </w:rPr>
      </w:pPr>
    </w:p>
    <w:p>
      <w:pPr>
        <w:ind w:left="20"/>
        <w:spacing w:after="0"/>
        <w:tabs>
          <w:tab w:leader="none" w:pos="5700" w:val="left"/>
        </w:tabs>
        <w:rPr>
          <w:sz w:val="20"/>
          <w:szCs w:val="20"/>
          <w:color w:val="auto"/>
        </w:rPr>
      </w:pPr>
      <w:r>
        <w:rPr>
          <w:rFonts w:ascii="Times New Roman" w:cs="Times New Roman" w:eastAsia="Times New Roman" w:hAnsi="Times New Roman"/>
          <w:sz w:val="18"/>
          <w:szCs w:val="18"/>
          <w:color w:val="auto"/>
        </w:rPr>
        <w:t>Dated: May 15, 2025</w:t>
      </w:r>
      <w:r>
        <w:rPr>
          <w:sz w:val="20"/>
          <w:szCs w:val="20"/>
          <w:color w:val="auto"/>
        </w:rPr>
        <w:tab/>
      </w:r>
      <w:r>
        <w:rPr>
          <w:rFonts w:ascii="Times New Roman" w:cs="Times New Roman" w:eastAsia="Times New Roman" w:hAnsi="Times New Roman"/>
          <w:sz w:val="18"/>
          <w:szCs w:val="18"/>
          <w:color w:val="auto"/>
        </w:rPr>
        <w:t>/s/ Meryl Golden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3622675</wp:posOffset>
            </wp:positionH>
            <wp:positionV relativeFrom="paragraph">
              <wp:posOffset>26035</wp:posOffset>
            </wp:positionV>
            <wp:extent cx="272605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7">
                      <a:extLst>
                        <a:ext uri="{28A0092B-C50C-407E-A947-70E740481C1C}"/>
                      </a:extLst>
                    </a:blip>
                    <a:srcRect/>
                    <a:stretch>
                      <a:fillRect/>
                    </a:stretch>
                  </pic:blipFill>
                  <pic:spPr bwMode="auto">
                    <a:xfrm>
                      <a:off x="0" y="0"/>
                      <a:ext cx="2726055" cy="8255"/>
                    </a:xfrm>
                    <a:prstGeom prst="rect">
                      <a:avLst/>
                    </a:prstGeom>
                    <a:noFill/>
                  </pic:spPr>
                </pic:pic>
              </a:graphicData>
            </a:graphic>
          </wp:anchor>
        </w:drawing>
      </w:r>
    </w:p>
    <w:p>
      <w:pPr>
        <w:spacing w:after="0" w:line="43"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Meryl Golden</w:t>
      </w:r>
    </w:p>
    <w:p>
      <w:pPr>
        <w:spacing w:after="0" w:line="50"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306"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/s/ Meryl Golden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3622675</wp:posOffset>
            </wp:positionH>
            <wp:positionV relativeFrom="paragraph">
              <wp:posOffset>26035</wp:posOffset>
            </wp:positionV>
            <wp:extent cx="2726055"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8">
                      <a:extLst>
                        <a:ext uri="{28A0092B-C50C-407E-A947-70E740481C1C}"/>
                      </a:extLst>
                    </a:blip>
                    <a:srcRect/>
                    <a:stretch>
                      <a:fillRect/>
                    </a:stretch>
                  </pic:blipFill>
                  <pic:spPr bwMode="auto">
                    <a:xfrm>
                      <a:off x="0" y="0"/>
                      <a:ext cx="2726055" cy="8890"/>
                    </a:xfrm>
                    <a:prstGeom prst="rect">
                      <a:avLst/>
                    </a:prstGeom>
                    <a:noFill/>
                  </pic:spPr>
                </pic:pic>
              </a:graphicData>
            </a:graphic>
          </wp:anchor>
        </w:drawing>
      </w:r>
    </w:p>
    <w:p>
      <w:pPr>
        <w:spacing w:after="0" w:line="43"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Meryl Golden</w:t>
      </w:r>
    </w:p>
    <w:p>
      <w:pPr>
        <w:spacing w:after="0" w:line="50"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Principal Financial Officer</w:t>
      </w:r>
    </w:p>
    <w:sectPr>
      <w:pgSz w:w="11900" w:h="16838" w:orient="portrait"/>
      <w:cols w:equalWidth="0" w:num="1">
        <w:col w:w="11240"/>
      </w:cols>
      <w:pgMar w:left="320" w:top="114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BEFD79F"/>
    <w:multiLevelType w:val="hybridMultilevel"/>
    <w:lvl w:ilvl="0">
      <w:lvlJc w:val="left"/>
      <w:lvlText w:val="x"/>
      <w:numFmt w:val="bullet"/>
      <w:start w:val="1"/>
    </w:lvl>
  </w:abstractNum>
  <w:abstractNum w:abstractNumId="1">
    <w:nsid w:val="41A7C4C9"/>
    <w:multiLevelType w:val="hybridMultilevel"/>
    <w:lvl w:ilvl="0">
      <w:lvlJc w:val="left"/>
      <w:lvlText w:val="o"/>
      <w:numFmt w:val="bullet"/>
      <w:start w:val="1"/>
    </w:lvl>
  </w:abstractNum>
  <w:abstractNum w:abstractNumId="2">
    <w:nsid w:val="6B68079A"/>
    <w:multiLevelType w:val="hybridMultilevel"/>
    <w:lvl w:ilvl="0">
      <w:lvlJc w:val="left"/>
      <w:lvlText w:val="(%1)"/>
      <w:numFmt w:val="decimal"/>
      <w:start w:val="1"/>
    </w:lvl>
  </w:abstractNum>
  <w:abstractNum w:abstractNumId="3">
    <w:nsid w:val="4E6AFB66"/>
    <w:multiLevelType w:val="hybridMultilevel"/>
    <w:lvl w:ilvl="0">
      <w:lvlJc w:val="left"/>
      <w:lvlText w:val="(%1)"/>
      <w:numFmt w:val="decimal"/>
      <w:start w:val="1"/>
    </w:lvl>
  </w:abstractNum>
  <w:abstractNum w:abstractNumId="4">
    <w:nsid w:val="25E45D32"/>
    <w:multiLevelType w:val="hybridMultilevel"/>
    <w:lvl w:ilvl="0">
      <w:lvlJc w:val="left"/>
      <w:lvlText w:val="(%1)"/>
      <w:numFmt w:val="decimal"/>
      <w:start w:val="1"/>
    </w:lvl>
  </w:abstractNum>
  <w:abstractNum w:abstractNumId="5">
    <w:nsid w:val="519B500D"/>
    <w:multiLevelType w:val="hybridMultilevel"/>
    <w:lvl w:ilvl="0">
      <w:lvlJc w:val="left"/>
      <w:lvlText w:val="(%1)"/>
      <w:numFmt w:val="decimal"/>
      <w:start w:val="1"/>
    </w:lvl>
  </w:abstractNum>
  <w:abstractNum w:abstractNumId="6">
    <w:nsid w:val="431BD7B7"/>
    <w:multiLevelType w:val="hybridMultilevel"/>
    <w:lvl w:ilvl="0">
      <w:lvlJc w:val="left"/>
      <w:lvlText w:val="(%1)"/>
      <w:numFmt w:val="lowerRoman"/>
      <w:start w:val="10"/>
    </w:lvl>
  </w:abstractNum>
  <w:abstractNum w:abstractNumId="7">
    <w:nsid w:val="3F2DBA31"/>
    <w:multiLevelType w:val="hybridMultilevel"/>
    <w:lvl w:ilvl="0">
      <w:lvlJc w:val="left"/>
      <w:lvlText w:val="•"/>
      <w:numFmt w:val="bullet"/>
      <w:start w:val="1"/>
    </w:lvl>
  </w:abstractNum>
  <w:abstractNum w:abstractNumId="8">
    <w:nsid w:val="7C83E458"/>
    <w:multiLevelType w:val="hybridMultilevel"/>
    <w:lvl w:ilvl="0">
      <w:lvlJc w:val="left"/>
      <w:lvlText w:val="(%1)"/>
      <w:numFmt w:val="decimal"/>
      <w:start w:val="1"/>
    </w:lvl>
  </w:abstractNum>
  <w:abstractNum w:abstractNumId="9">
    <w:nsid w:val="257130A3"/>
    <w:multiLevelType w:val="hybridMultilevel"/>
    <w:lvl w:ilvl="0">
      <w:lvlJc w:val="left"/>
      <w:lvlText w:val="(%1)"/>
      <w:numFmt w:val="upperLetter"/>
      <w:start w:val="1"/>
    </w:lvl>
  </w:abstractNum>
  <w:abstractNum w:abstractNumId="10">
    <w:nsid w:val="62BBD95A"/>
    <w:multiLevelType w:val="hybridMultilevel"/>
    <w:lvl w:ilvl="0">
      <w:lvlJc w:val="left"/>
      <w:lvlText w:val="%1."/>
      <w:numFmt w:val="decimal"/>
      <w:start w:val="1"/>
    </w:lvl>
  </w:abstractNum>
  <w:abstractNum w:abstractNumId="11">
    <w:nsid w:val="436C6125"/>
    <w:multiLevelType w:val="hybridMultilevel"/>
    <w:lvl w:ilvl="0">
      <w:lvlJc w:val="left"/>
      <w:lvlText w:val="%1."/>
      <w:numFmt w:val="decimal"/>
      <w:start w:val="1"/>
    </w:lvl>
  </w:abstractNum>
  <w:abstractNum w:abstractNumId="12">
    <w:nsid w:val="628C895D"/>
    <w:multiLevelType w:val="hybridMultilevel"/>
    <w:lvl w:ilvl="0">
      <w:lvlJc w:val="left"/>
      <w:lvlText w:val="%1."/>
      <w:numFmt w:val="decimal"/>
      <w:start w:val="4"/>
    </w:lvl>
  </w:abstractNum>
  <w:abstractNum w:abstractNumId="13">
    <w:nsid w:val="333AB105"/>
    <w:multiLevelType w:val="hybridMultilevel"/>
    <w:lvl w:ilvl="0">
      <w:lvlJc w:val="left"/>
      <w:lvlText w:val="(%1)"/>
      <w:numFmt w:val="decimal"/>
      <w:start w:val="1"/>
    </w:lvl>
  </w:abstractNum>
  <w:abstractNum w:abstractNumId="14">
    <w:nsid w:val="721DA317"/>
    <w:multiLevelType w:val="hybridMultilevel"/>
    <w:lvl w:ilvl="0">
      <w:lvlJc w:val="left"/>
      <w:lvlText w:val="(%1)"/>
      <w:numFmt w:val="decimal"/>
      <w:start w:val="1"/>
    </w:lvl>
  </w:abstractNum>
  <w:abstractNum w:abstractNumId="15">
    <w:nsid w:val="2443A858"/>
    <w:multiLevelType w:val="hybridMultilevel"/>
    <w:lvl w:ilvl="0">
      <w:lvlJc w:val="left"/>
      <w:lvlText w:val="(%1)"/>
      <w:numFmt w:val="decimal"/>
      <w:start w:val="1"/>
    </w:lvl>
  </w:abstractNum>
  <w:abstractNum w:abstractNumId="16">
    <w:nsid w:val="2D1D5AE9"/>
    <w:multiLevelType w:val="hybridMultilevel"/>
    <w:lvl w:ilvl="0">
      <w:lvlJc w:val="left"/>
      <w:lvlText w:val="(%1)"/>
      <w:numFmt w:val="decimal"/>
      <w:start w:val="1"/>
    </w:lvl>
  </w:abstractNum>
  <w:abstractNum w:abstractNumId="17">
    <w:nsid w:val="6763845E"/>
    <w:multiLevelType w:val="hybridMultilevel"/>
    <w:lvl w:ilvl="0">
      <w:lvlJc w:val="left"/>
      <w:lvlText w:val="(%1)"/>
      <w:numFmt w:val="decimal"/>
      <w:start w:val="1"/>
    </w:lvl>
  </w:abstractNum>
  <w:abstractNum w:abstractNumId="18">
    <w:nsid w:val="75A2A8D4"/>
    <w:multiLevelType w:val="hybridMultilevel"/>
    <w:lvl w:ilvl="0">
      <w:lvlJc w:val="left"/>
      <w:lvlText w:val="(%1)"/>
      <w:numFmt w:val="decimal"/>
      <w:start w:val="1"/>
    </w:lvl>
  </w:abstractNum>
  <w:abstractNum w:abstractNumId="19">
    <w:nsid w:val="8EDBDAB"/>
    <w:multiLevelType w:val="hybridMultilevel"/>
    <w:lvl w:ilvl="0">
      <w:lvlJc w:val="left"/>
      <w:lvlText w:val="(%1)"/>
      <w:numFmt w:val="decimal"/>
      <w:start w:val="1"/>
    </w:lvl>
  </w:abstractNum>
  <w:abstractNum w:abstractNumId="20">
    <w:nsid w:val="79838CB2"/>
    <w:multiLevelType w:val="hybridMultilevel"/>
    <w:lvl w:ilvl="0">
      <w:lvlJc w:val="left"/>
      <w:lvlText w:val="(%1)"/>
      <w:numFmt w:val="decimal"/>
      <w:start w:val="1"/>
    </w:lvl>
  </w:abstractNum>
  <w:abstractNum w:abstractNumId="21">
    <w:nsid w:val="4353D0CD"/>
    <w:multiLevelType w:val="hybridMultilevel"/>
    <w:lvl w:ilvl="0">
      <w:lvlJc w:val="left"/>
      <w:lvlText w:val="(%1)"/>
      <w:numFmt w:val="decimal"/>
      <w:start w:val="1"/>
    </w:lvl>
  </w:abstractNum>
  <w:abstractNum w:abstractNumId="22">
    <w:nsid w:val="B03E0C6"/>
    <w:multiLevelType w:val="hybridMultilevel"/>
    <w:lvl w:ilvl="0">
      <w:lvlJc w:val="left"/>
      <w:lvlText w:val="(%1)"/>
      <w:numFmt w:val="decimal"/>
      <w:start w:val="1"/>
    </w:lvl>
  </w:abstractNum>
  <w:abstractNum w:abstractNumId="23">
    <w:nsid w:val="189A769B"/>
    <w:multiLevelType w:val="hybridMultilevel"/>
    <w:lvl w:ilvl="0">
      <w:lvlJc w:val="left"/>
      <w:lvlText w:val="(%1)"/>
      <w:numFmt w:val="lowerRoman"/>
      <w:start w:val="1"/>
    </w:lvl>
  </w:abstractNum>
  <w:abstractNum w:abstractNumId="24">
    <w:nsid w:val="54E49EB4"/>
    <w:multiLevelType w:val="hybridMultilevel"/>
    <w:lvl w:ilvl="0">
      <w:lvlJc w:val="left"/>
      <w:lvlText w:val="(%1)"/>
      <w:numFmt w:val="lowerLetter"/>
      <w:start w:val="1"/>
    </w:lvl>
  </w:abstractNum>
  <w:abstractNum w:abstractNumId="25">
    <w:nsid w:val="71F32454"/>
    <w:multiLevelType w:val="hybridMultilevel"/>
    <w:lvl w:ilvl="0">
      <w:lvlJc w:val="left"/>
      <w:lvlText w:val="+"/>
      <w:numFmt w:val="bullet"/>
      <w:start w:val="1"/>
    </w:lvl>
  </w:abstractNum>
  <w:abstractNum w:abstractNumId="26">
    <w:nsid w:val="2CA88611"/>
    <w:multiLevelType w:val="hybridMultilevel"/>
    <w:lvl w:ilvl="0">
      <w:lvlJc w:val="left"/>
      <w:lvlText w:val="(%1)"/>
      <w:numFmt w:val="decimal"/>
      <w:start w:val="1"/>
    </w:lvl>
  </w:abstractNum>
  <w:abstractNum w:abstractNumId="27">
    <w:nsid w:val="836C40E"/>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28">
    <w:nsid w:val="2901D82"/>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jpe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2" Type="http://schemas.openxmlformats.org/officeDocument/2006/relationships/image" Target="media/image124.png"/><Relationship Id="rId133" Type="http://schemas.openxmlformats.org/officeDocument/2006/relationships/image" Target="media/image125.png"/><Relationship Id="rId134" Type="http://schemas.openxmlformats.org/officeDocument/2006/relationships/image" Target="media/image126.png"/><Relationship Id="rId135" Type="http://schemas.openxmlformats.org/officeDocument/2006/relationships/image" Target="media/image127.png"/><Relationship Id="rId136" Type="http://schemas.openxmlformats.org/officeDocument/2006/relationships/image" Target="media/image128.png"/><Relationship Id="rId137" Type="http://schemas.openxmlformats.org/officeDocument/2006/relationships/image" Target="media/image129.png"/><Relationship Id="rId138" Type="http://schemas.openxmlformats.org/officeDocument/2006/relationships/image" Target="media/image130.png"/><Relationship Id="rId139" Type="http://schemas.openxmlformats.org/officeDocument/2006/relationships/image" Target="media/image131.png"/><Relationship Id="rId140" Type="http://schemas.openxmlformats.org/officeDocument/2006/relationships/image" Target="media/image132.png"/><Relationship Id="rId141" Type="http://schemas.openxmlformats.org/officeDocument/2006/relationships/image" Target="media/image133.png"/><Relationship Id="rId142" Type="http://schemas.openxmlformats.org/officeDocument/2006/relationships/image" Target="media/image134.png"/><Relationship Id="rId143" Type="http://schemas.openxmlformats.org/officeDocument/2006/relationships/image" Target="media/image135.png"/><Relationship Id="rId144" Type="http://schemas.openxmlformats.org/officeDocument/2006/relationships/image" Target="media/image136.png"/><Relationship Id="rId145" Type="http://schemas.openxmlformats.org/officeDocument/2006/relationships/image" Target="media/image137.png"/><Relationship Id="rId146" Type="http://schemas.openxmlformats.org/officeDocument/2006/relationships/image" Target="media/image138.png"/><Relationship Id="rId147" Type="http://schemas.openxmlformats.org/officeDocument/2006/relationships/image" Target="media/image139.png"/><Relationship Id="rId148" Type="http://schemas.openxmlformats.org/officeDocument/2006/relationships/image" Target="media/image140.png"/><Relationship Id="rId131" Type="http://schemas.openxmlformats.org/officeDocument/2006/relationships/hyperlink" Target="http://www.sec.gov/Archives/edgar/data/33992/000135448814002619/kins_ex3a.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2025-05-15T15:07:32Z</dcterms:created>
  <dcterms:modified xsi:type="dcterms:W3CDTF">2025-05-15T15:07:32Z</dcterms:modified>
</cp:coreProperties>
</file>