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3" w:lineRule="exact"/>
        <w:rPr>
          <w:sz w:val="24"/>
          <w:szCs w:val="24"/>
          <w:color w:val="auto"/>
        </w:rPr>
      </w:pPr>
    </w:p>
    <w:p>
      <w:pPr>
        <w:ind w:left="460" w:right="3000" w:hanging="452"/>
        <w:spacing w:after="0" w:line="27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UNDER SECTION 13 OR 15(d) OF THE SECURITIES EXCHANGE ACT OF 1934 FOR THE FISCAL YEAR ENDED DECEMBER 31, 2017</w:t>
      </w:r>
    </w:p>
    <w:p>
      <w:pPr>
        <w:spacing w:after="0" w:line="174" w:lineRule="exact"/>
        <w:rPr>
          <w:sz w:val="24"/>
          <w:szCs w:val="24"/>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19"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3480" w:type="dxa"/>
            <w:vAlign w:val="bottom"/>
            <w:gridSpan w:val="6"/>
          </w:tcPr>
          <w:p>
            <w:pPr>
              <w:spacing w:after="0"/>
              <w:rPr>
                <w:sz w:val="20"/>
                <w:szCs w:val="20"/>
                <w:color w:val="auto"/>
              </w:rPr>
            </w:pPr>
            <w:r>
              <w:rPr>
                <w:rFonts w:ascii="Arial" w:cs="Arial" w:eastAsia="Arial" w:hAnsi="Arial"/>
                <w:sz w:val="18"/>
                <w:szCs w:val="18"/>
                <w:b w:val="1"/>
                <w:bCs w:val="1"/>
                <w:color w:val="auto"/>
              </w:rPr>
              <w:t>FOR THE TRANSITION PERIOD FROM</w:t>
            </w:r>
          </w:p>
        </w:tc>
        <w:tc>
          <w:tcPr>
            <w:tcW w:w="400" w:type="dxa"/>
            <w:vAlign w:val="bottom"/>
            <w:tcBorders>
              <w:bottom w:val="single" w:sz="8" w:color="auto"/>
            </w:tcBorders>
            <w:gridSpan w:val="2"/>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w:t>
            </w:r>
          </w:p>
        </w:tc>
        <w:tc>
          <w:tcPr>
            <w:tcW w:w="980" w:type="dxa"/>
            <w:vAlign w:val="bottom"/>
            <w:tcBorders>
              <w:bottom w:val="single" w:sz="8" w:color="auto"/>
            </w:tcBorders>
          </w:tcPr>
          <w:p>
            <w:pPr>
              <w:spacing w:after="0"/>
              <w:rPr>
                <w:sz w:val="17"/>
                <w:szCs w:val="17"/>
                <w:color w:val="auto"/>
              </w:rPr>
            </w:pPr>
          </w:p>
        </w:tc>
        <w:tc>
          <w:tcPr>
            <w:tcW w:w="6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center"/>
              <w:ind w:left="112"/>
              <w:spacing w:after="0"/>
              <w:rPr>
                <w:sz w:val="20"/>
                <w:szCs w:val="20"/>
                <w:color w:val="auto"/>
              </w:rPr>
            </w:pPr>
            <w:r>
              <w:rPr>
                <w:rFonts w:ascii="Arial" w:cs="Arial" w:eastAsia="Arial" w:hAnsi="Arial"/>
                <w:sz w:val="18"/>
                <w:szCs w:val="18"/>
                <w:color w:val="auto"/>
                <w:w w:val="89"/>
              </w:rPr>
              <w:t xml:space="preserve">Commission File Number </w:t>
            </w:r>
            <w:r>
              <w:rPr>
                <w:rFonts w:ascii="Arial" w:cs="Arial" w:eastAsia="Arial" w:hAnsi="Arial"/>
                <w:sz w:val="18"/>
                <w:szCs w:val="18"/>
                <w:b w:val="1"/>
                <w:bCs w:val="1"/>
                <w:color w:val="auto"/>
                <w:w w:val="89"/>
              </w:rPr>
              <w:t>0-1665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44"/>
        </w:trPr>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12"/>
          </w:tcPr>
          <w:p>
            <w:pPr>
              <w:jc w:val="center"/>
              <w:ind w:right="3040"/>
              <w:spacing w:after="0"/>
              <w:rPr>
                <w:sz w:val="20"/>
                <w:szCs w:val="20"/>
                <w:color w:val="auto"/>
              </w:rPr>
            </w:pPr>
            <w:r>
              <w:rPr>
                <w:rFonts w:ascii="Arial" w:cs="Arial" w:eastAsia="Arial" w:hAnsi="Arial"/>
                <w:sz w:val="18"/>
                <w:szCs w:val="18"/>
                <w:b w:val="1"/>
                <w:bCs w:val="1"/>
                <w:color w:val="auto"/>
                <w:w w:val="98"/>
              </w:rPr>
              <w:t>KINGSTONE COMPANIES, INC.</w:t>
            </w:r>
          </w:p>
        </w:tc>
      </w:tr>
      <w:tr>
        <w:trPr>
          <w:trHeight w:val="222"/>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20" w:type="dxa"/>
            <w:vAlign w:val="bottom"/>
            <w:gridSpan w:val="15"/>
          </w:tcPr>
          <w:p>
            <w:pPr>
              <w:jc w:val="center"/>
              <w:ind w:right="220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394"/>
        </w:trPr>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11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36-2476480</w:t>
            </w:r>
          </w:p>
        </w:tc>
        <w:tc>
          <w:tcPr>
            <w:tcW w:w="1120" w:type="dxa"/>
            <w:vAlign w:val="bottom"/>
          </w:tcPr>
          <w:p>
            <w:pPr>
              <w:spacing w:after="0"/>
              <w:rPr>
                <w:sz w:val="24"/>
                <w:szCs w:val="24"/>
                <w:color w:val="auto"/>
              </w:rPr>
            </w:pPr>
          </w:p>
        </w:tc>
      </w:tr>
      <w:tr>
        <w:trPr>
          <w:trHeight w:val="235"/>
        </w:trPr>
        <w:tc>
          <w:tcPr>
            <w:tcW w:w="6440" w:type="dxa"/>
            <w:vAlign w:val="bottom"/>
            <w:gridSpan w:val="14"/>
          </w:tcPr>
          <w:p>
            <w:pPr>
              <w:jc w:val="center"/>
              <w:ind w:right="164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120" w:type="dxa"/>
            <w:vAlign w:val="bottom"/>
          </w:tcPr>
          <w:p>
            <w:pPr>
              <w:spacing w:after="0"/>
              <w:rPr>
                <w:sz w:val="20"/>
                <w:szCs w:val="20"/>
                <w:color w:val="auto"/>
              </w:rPr>
            </w:pPr>
          </w:p>
        </w:tc>
        <w:tc>
          <w:tcPr>
            <w:tcW w:w="3100" w:type="dxa"/>
            <w:vAlign w:val="bottom"/>
            <w:gridSpan w:val="5"/>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394"/>
        </w:trPr>
        <w:tc>
          <w:tcPr>
            <w:tcW w:w="1120" w:type="dxa"/>
            <w:vAlign w:val="bottom"/>
          </w:tcPr>
          <w:p>
            <w:pPr>
              <w:spacing w:after="0"/>
              <w:rPr>
                <w:sz w:val="24"/>
                <w:szCs w:val="24"/>
                <w:color w:val="auto"/>
              </w:rPr>
            </w:pPr>
          </w:p>
        </w:tc>
        <w:tc>
          <w:tcPr>
            <w:tcW w:w="2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15 Joys Lane, Kingston, New York</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gridSpan w:val="4"/>
          </w:tcPr>
          <w:p>
            <w:pPr>
              <w:jc w:val="center"/>
              <w:ind w:left="1372"/>
              <w:spacing w:after="0"/>
              <w:rPr>
                <w:sz w:val="20"/>
                <w:szCs w:val="20"/>
                <w:color w:val="auto"/>
              </w:rPr>
            </w:pPr>
            <w:r>
              <w:rPr>
                <w:rFonts w:ascii="Arial" w:cs="Arial" w:eastAsia="Arial" w:hAnsi="Arial"/>
                <w:sz w:val="18"/>
                <w:szCs w:val="18"/>
                <w:b w:val="1"/>
                <w:bCs w:val="1"/>
                <w:color w:val="auto"/>
                <w:w w:val="83"/>
              </w:rPr>
              <w:t>12401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35"/>
        </w:trPr>
        <w:tc>
          <w:tcPr>
            <w:tcW w:w="3880" w:type="dxa"/>
            <w:vAlign w:val="bottom"/>
            <w:gridSpan w:val="8"/>
          </w:tcPr>
          <w:p>
            <w:pPr>
              <w:jc w:val="center"/>
              <w:ind w:left="852"/>
              <w:spacing w:after="0"/>
              <w:rPr>
                <w:sz w:val="20"/>
                <w:szCs w:val="20"/>
                <w:color w:val="auto"/>
              </w:rPr>
            </w:pPr>
            <w:r>
              <w:rPr>
                <w:rFonts w:ascii="Arial" w:cs="Arial" w:eastAsia="Arial" w:hAnsi="Arial"/>
                <w:sz w:val="18"/>
                <w:szCs w:val="18"/>
                <w:color w:val="auto"/>
                <w:w w:val="90"/>
              </w:rPr>
              <w:t>(Address of principal executive offices)</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gridSpan w:val="4"/>
          </w:tcPr>
          <w:p>
            <w:pPr>
              <w:jc w:val="center"/>
              <w:ind w:right="1120"/>
              <w:spacing w:after="0"/>
              <w:rPr>
                <w:sz w:val="20"/>
                <w:szCs w:val="20"/>
                <w:color w:val="auto"/>
              </w:rPr>
            </w:pPr>
            <w:r>
              <w:rPr>
                <w:rFonts w:ascii="Arial" w:cs="Arial" w:eastAsia="Arial" w:hAnsi="Arial"/>
                <w:sz w:val="18"/>
                <w:szCs w:val="18"/>
                <w:color w:val="auto"/>
                <w:w w:val="91"/>
              </w:rPr>
              <w:t>(Zip Code)</w:t>
            </w:r>
          </w:p>
        </w:tc>
      </w:tr>
      <w:tr>
        <w:trPr>
          <w:trHeight w:val="394"/>
        </w:trPr>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(845) 802-7900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5"/>
        </w:trPr>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20" w:type="dxa"/>
            <w:vAlign w:val="bottom"/>
            <w:gridSpan w:val="15"/>
          </w:tcPr>
          <w:p>
            <w:pPr>
              <w:jc w:val="center"/>
              <w:ind w:right="2180"/>
              <w:spacing w:after="0"/>
              <w:rPr>
                <w:sz w:val="20"/>
                <w:szCs w:val="20"/>
                <w:color w:val="auto"/>
              </w:rPr>
            </w:pPr>
            <w:r>
              <w:rPr>
                <w:rFonts w:ascii="Arial" w:cs="Arial" w:eastAsia="Arial" w:hAnsi="Arial"/>
                <w:sz w:val="18"/>
                <w:szCs w:val="18"/>
                <w:color w:val="auto"/>
                <w:w w:val="87"/>
              </w:rPr>
              <w:t>(Registrant’s telephone number, including area code)</w:t>
            </w:r>
          </w:p>
        </w:tc>
      </w:tr>
      <w:tr>
        <w:trPr>
          <w:trHeight w:val="426"/>
        </w:trPr>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20" w:type="dxa"/>
            <w:vAlign w:val="bottom"/>
            <w:gridSpan w:val="15"/>
          </w:tcPr>
          <w:p>
            <w:pPr>
              <w:jc w:val="center"/>
              <w:ind w:right="2180"/>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184"/>
        </w:trPr>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Borders>
              <w:bottom w:val="single" w:sz="8" w:color="auto"/>
            </w:tcBorders>
            <w:gridSpan w:val="3"/>
          </w:tcPr>
          <w:p>
            <w:pPr>
              <w:jc w:val="center"/>
              <w:spacing w:after="0" w:line="184" w:lineRule="exact"/>
              <w:rPr>
                <w:sz w:val="20"/>
                <w:szCs w:val="20"/>
                <w:color w:val="auto"/>
              </w:rPr>
            </w:pPr>
            <w:r>
              <w:rPr>
                <w:rFonts w:ascii="Arial" w:cs="Arial" w:eastAsia="Arial" w:hAnsi="Arial"/>
                <w:sz w:val="18"/>
                <w:szCs w:val="18"/>
                <w:color w:val="auto"/>
                <w:w w:val="87"/>
              </w:rPr>
              <w:t>Title of each class</w:t>
            </w:r>
          </w:p>
        </w:tc>
        <w:tc>
          <w:tcPr>
            <w:tcW w:w="84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Borders>
              <w:bottom w:val="single" w:sz="8" w:color="auto"/>
            </w:tcBorders>
            <w:gridSpan w:val="5"/>
          </w:tcPr>
          <w:p>
            <w:pPr>
              <w:jc w:val="center"/>
              <w:spacing w:after="0" w:line="184" w:lineRule="exact"/>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gridSpan w:val="6"/>
          </w:tcPr>
          <w:p>
            <w:pPr>
              <w:jc w:val="center"/>
              <w:ind w:right="860"/>
              <w:spacing w:after="0"/>
              <w:rPr>
                <w:sz w:val="20"/>
                <w:szCs w:val="20"/>
                <w:color w:val="auto"/>
              </w:rPr>
            </w:pPr>
            <w:r>
              <w:rPr>
                <w:rFonts w:ascii="Arial" w:cs="Arial" w:eastAsia="Arial" w:hAnsi="Arial"/>
                <w:sz w:val="18"/>
                <w:szCs w:val="18"/>
                <w:b w:val="1"/>
                <w:bCs w:val="1"/>
                <w:color w:val="auto"/>
                <w:w w:val="87"/>
              </w:rPr>
              <w:t>Common Stock</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4"/>
              </w:rPr>
              <w:t>NASDAQ</w:t>
            </w:r>
          </w:p>
        </w:tc>
      </w:tr>
    </w:tbl>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8" w:right="259" w:bottom="0" w:gutter="0" w:footer="0" w:header="0"/>
        </w:sectPr>
      </w:pP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 __</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060" w:space="720"/>
            <w:col w:w="3620"/>
          </w:cols>
          <w:pgMar w:left="240" w:top="238" w:right="25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__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__</w:t>
      </w:r>
    </w:p>
    <w:p>
      <w:pPr>
        <w:spacing w:after="0" w:line="200" w:lineRule="exact"/>
        <w:rPr>
          <w:sz w:val="24"/>
          <w:szCs w:val="24"/>
          <w:color w:val="auto"/>
        </w:rPr>
      </w:pPr>
    </w:p>
    <w:p>
      <w:pPr>
        <w:sectPr>
          <w:pgSz w:w="11900" w:h="16838" w:orient="portrait"/>
          <w:cols w:equalWidth="0" w:num="2">
            <w:col w:w="7060" w:space="720"/>
            <w:col w:w="3620"/>
          </w:cols>
          <w:pgMar w:left="240" w:top="238" w:right="25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company__</w:t>
      </w:r>
    </w:p>
    <w:p>
      <w:pPr>
        <w:sectPr>
          <w:pgSz w:w="11900" w:h="16838" w:orient="portrait"/>
          <w:cols w:equalWidth="0" w:num="1">
            <w:col w:w="11400"/>
          </w:cols>
          <w:pgMar w:left="240" w:top="238" w:right="259" w:bottom="0" w:gutter="0" w:footer="0" w:header="0"/>
          <w:type w:val="continuous"/>
        </w:sectPr>
      </w:pPr>
    </w:p>
    <w:p>
      <w:pPr>
        <w:spacing w:after="0" w:line="2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332" w:lineRule="auto"/>
        <w:rPr>
          <w:sz w:val="20"/>
          <w:szCs w:val="20"/>
          <w:color w:val="auto"/>
        </w:rPr>
      </w:pPr>
      <w:r>
        <w:rPr>
          <w:rFonts w:ascii="Arial" w:cs="Arial" w:eastAsia="Arial" w:hAnsi="Arial"/>
          <w:sz w:val="16"/>
          <w:szCs w:val="16"/>
          <w:color w:val="auto"/>
        </w:rPr>
        <w:t>As of June 30, 2017, the aggregate market value of the registrant’s common stock held by non-affiliates of the registrant was $149,176,821 based on the closing sale price as reported on the NASDAQ Capital Market. As of March 12, 2018, there were 10,684,329 shares of common stock outstanding.</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ind w:left="10360"/>
        <w:spacing w:after="0"/>
        <w:rPr>
          <w:sz w:val="20"/>
          <w:szCs w:val="20"/>
          <w:color w:val="auto"/>
        </w:rPr>
      </w:pPr>
      <w:r>
        <w:rPr>
          <w:rFonts w:ascii="Arial" w:cs="Arial" w:eastAsia="Arial" w:hAnsi="Arial"/>
          <w:sz w:val="18"/>
          <w:szCs w:val="18"/>
          <w:b w:val="1"/>
          <w:bCs w:val="1"/>
          <w:u w:val="single" w:color="auto"/>
          <w:color w:val="auto"/>
        </w:rPr>
        <w:t>Page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9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9065"/>
                    </a:xfrm>
                    <a:prstGeom prst="rect">
                      <a:avLst/>
                    </a:prstGeom>
                    <a:noFill/>
                  </pic:spPr>
                </pic:pic>
              </a:graphicData>
            </a:graphic>
          </wp:anchor>
        </w:drawing>
      </w:r>
    </w:p>
    <w:p>
      <w:pPr>
        <w:sectPr>
          <w:pgSz w:w="11900" w:h="16838" w:orient="portrait"/>
          <w:cols w:equalWidth="0" w:num="1">
            <w:col w:w="11400"/>
          </w:cols>
          <w:pgMar w:left="240" w:top="238"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320" w:type="dxa"/>
            <w:vAlign w:val="bottom"/>
            <w:gridSpan w:val="30"/>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gridSpan w:val="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9200" w:type="dxa"/>
            <w:vAlign w:val="bottom"/>
            <w:gridSpan w:val="23"/>
          </w:tcPr>
          <w:p>
            <w:pPr>
              <w:ind w:left="3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1B.</w:t>
              </w:r>
            </w:hyperlink>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0" w:type="dxa"/>
            <w:vAlign w:val="bottom"/>
            <w:gridSpan w:val="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520" w:type="dxa"/>
            <w:vAlign w:val="bottom"/>
            <w:gridSpan w:val="3"/>
          </w:tcPr>
          <w:p>
            <w:pPr>
              <w:spacing w:after="0"/>
              <w:rPr>
                <w:sz w:val="15"/>
                <w:szCs w:val="15"/>
                <w:color w:val="auto"/>
              </w:rPr>
            </w:pPr>
          </w:p>
        </w:tc>
        <w:tc>
          <w:tcPr>
            <w:tcW w:w="9200" w:type="dxa"/>
            <w:vAlign w:val="bottom"/>
            <w:gridSpan w:val="23"/>
          </w:tcPr>
          <w:p>
            <w:pPr>
              <w:ind w:left="3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9200" w:type="dxa"/>
            <w:vAlign w:val="bottom"/>
            <w:gridSpan w:val="23"/>
          </w:tcPr>
          <w:p>
            <w:pPr>
              <w:ind w:left="3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gridSpan w:val="7"/>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9200" w:type="dxa"/>
            <w:vAlign w:val="bottom"/>
            <w:gridSpan w:val="23"/>
          </w:tcPr>
          <w:p>
            <w:pPr>
              <w:ind w:left="360"/>
              <w:spacing w:after="0" w:line="176"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Market for Registrant’s Common Equity, Related Stockholder Matters and Issuer Purchases of Equity Securities.</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7.</w:t>
              </w:r>
            </w:hyperlink>
          </w:p>
        </w:tc>
        <w:tc>
          <w:tcPr>
            <w:tcW w:w="9200" w:type="dxa"/>
            <w:vAlign w:val="bottom"/>
            <w:gridSpan w:val="23"/>
          </w:tcPr>
          <w:p>
            <w:pPr>
              <w:ind w:left="3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Item 7A.</w:t>
              </w:r>
            </w:hyperlink>
          </w:p>
        </w:tc>
        <w:tc>
          <w:tcPr>
            <w:tcW w:w="500" w:type="dxa"/>
            <w:vAlign w:val="bottom"/>
            <w:gridSpan w:val="2"/>
            <w:shd w:val="clear" w:color="auto" w:fill="CCEEFF"/>
          </w:tcPr>
          <w:p>
            <w:pPr>
              <w:spacing w:after="0"/>
              <w:rPr>
                <w:sz w:val="15"/>
                <w:szCs w:val="15"/>
                <w:color w:val="auto"/>
              </w:rPr>
            </w:pPr>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5"/>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8.</w:t>
              </w:r>
            </w:hyperlink>
          </w:p>
        </w:tc>
        <w:tc>
          <w:tcPr>
            <w:tcW w:w="500" w:type="dxa"/>
            <w:vAlign w:val="bottom"/>
            <w:gridSpan w:val="2"/>
          </w:tcPr>
          <w:p>
            <w:pPr>
              <w:spacing w:after="0"/>
              <w:rPr>
                <w:sz w:val="15"/>
                <w:szCs w:val="15"/>
                <w:color w:val="auto"/>
              </w:rPr>
            </w:pPr>
          </w:p>
        </w:tc>
        <w:tc>
          <w:tcPr>
            <w:tcW w:w="9200" w:type="dxa"/>
            <w:vAlign w:val="bottom"/>
            <w:gridSpan w:val="23"/>
          </w:tcPr>
          <w:p>
            <w:pPr>
              <w:ind w:left="3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9.</w:t>
              </w:r>
            </w:hyperlink>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9A.</w:t>
              </w:r>
            </w:hyperlink>
          </w:p>
        </w:tc>
        <w:tc>
          <w:tcPr>
            <w:tcW w:w="9200" w:type="dxa"/>
            <w:vAlign w:val="bottom"/>
            <w:gridSpan w:val="23"/>
          </w:tcPr>
          <w:p>
            <w:pPr>
              <w:ind w:left="3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7"/>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9B.</w:t>
              </w:r>
            </w:hyperlink>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gridSpan w:val="7"/>
          </w:tcPr>
          <w:p>
            <w:pPr>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Item 10.</w:t>
              </w:r>
            </w:hyperlink>
          </w:p>
        </w:tc>
        <w:tc>
          <w:tcPr>
            <w:tcW w:w="540" w:type="dxa"/>
            <w:vAlign w:val="bottom"/>
            <w:gridSpan w:val="4"/>
            <w:shd w:val="clear" w:color="auto" w:fill="CCEEFF"/>
          </w:tcPr>
          <w:p>
            <w:pPr>
              <w:spacing w:after="0"/>
              <w:rPr>
                <w:sz w:val="15"/>
                <w:szCs w:val="15"/>
                <w:color w:val="auto"/>
              </w:rPr>
            </w:pPr>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3"/>
          </w:tcPr>
          <w:p>
            <w:pPr>
              <w:spacing w:after="0" w:line="17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Item 11.</w:t>
              </w:r>
            </w:hyperlink>
          </w:p>
        </w:tc>
        <w:tc>
          <w:tcPr>
            <w:tcW w:w="540" w:type="dxa"/>
            <w:vAlign w:val="bottom"/>
            <w:gridSpan w:val="4"/>
          </w:tcPr>
          <w:p>
            <w:pPr>
              <w:spacing w:after="0"/>
              <w:rPr>
                <w:sz w:val="15"/>
                <w:szCs w:val="15"/>
                <w:color w:val="auto"/>
              </w:rPr>
            </w:pPr>
          </w:p>
        </w:tc>
        <w:tc>
          <w:tcPr>
            <w:tcW w:w="9200" w:type="dxa"/>
            <w:vAlign w:val="bottom"/>
            <w:gridSpan w:val="23"/>
          </w:tcPr>
          <w:p>
            <w:pPr>
              <w:ind w:left="36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Item 12.</w:t>
              </w:r>
            </w:hyperlink>
          </w:p>
        </w:tc>
        <w:tc>
          <w:tcPr>
            <w:tcW w:w="540" w:type="dxa"/>
            <w:vAlign w:val="bottom"/>
            <w:gridSpan w:val="4"/>
            <w:shd w:val="clear" w:color="auto" w:fill="CCEEFF"/>
          </w:tcPr>
          <w:p>
            <w:pPr>
              <w:spacing w:after="0"/>
              <w:rPr>
                <w:sz w:val="15"/>
                <w:szCs w:val="15"/>
                <w:color w:val="auto"/>
              </w:rPr>
            </w:pPr>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 Stockholder Matters.</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3"/>
          </w:tcPr>
          <w:p>
            <w:pPr>
              <w:spacing w:after="0" w:line="176" w:lineRule="exact"/>
              <w:rPr>
                <w:rFonts w:ascii="Arial" w:cs="Arial" w:eastAsia="Arial" w:hAnsi="Arial"/>
                <w:sz w:val="18"/>
                <w:szCs w:val="18"/>
                <w:color w:val="0000EE"/>
                <w:w w:val="86"/>
              </w:rPr>
            </w:pPr>
            <w:hyperlink w:anchor="page77">
              <w:r>
                <w:rPr>
                  <w:rFonts w:ascii="Arial" w:cs="Arial" w:eastAsia="Arial" w:hAnsi="Arial"/>
                  <w:sz w:val="18"/>
                  <w:szCs w:val="18"/>
                  <w:color w:val="0000EE"/>
                  <w:w w:val="86"/>
                </w:rPr>
                <w:t>Item 13.</w:t>
              </w:r>
            </w:hyperlink>
          </w:p>
        </w:tc>
        <w:tc>
          <w:tcPr>
            <w:tcW w:w="540" w:type="dxa"/>
            <w:vAlign w:val="bottom"/>
            <w:gridSpan w:val="4"/>
          </w:tcPr>
          <w:p>
            <w:pPr>
              <w:spacing w:after="0"/>
              <w:rPr>
                <w:sz w:val="15"/>
                <w:szCs w:val="15"/>
                <w:color w:val="auto"/>
              </w:rPr>
            </w:pPr>
          </w:p>
        </w:tc>
        <w:tc>
          <w:tcPr>
            <w:tcW w:w="9200" w:type="dxa"/>
            <w:vAlign w:val="bottom"/>
            <w:gridSpan w:val="23"/>
          </w:tcPr>
          <w:p>
            <w:pPr>
              <w:ind w:left="36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Certain Relationships and Related Transactions, and Director Independence.</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Item 14.</w:t>
              </w:r>
            </w:hyperlink>
          </w:p>
        </w:tc>
        <w:tc>
          <w:tcPr>
            <w:tcW w:w="540" w:type="dxa"/>
            <w:vAlign w:val="bottom"/>
            <w:gridSpan w:val="4"/>
            <w:shd w:val="clear" w:color="auto" w:fill="CCEEFF"/>
          </w:tcPr>
          <w:p>
            <w:pPr>
              <w:spacing w:after="0"/>
              <w:rPr>
                <w:sz w:val="15"/>
                <w:szCs w:val="15"/>
                <w:color w:val="auto"/>
              </w:rPr>
            </w:pPr>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Accountant Fees and Services.</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gridSpan w:val="7"/>
          </w:tcPr>
          <w:p>
            <w:pPr>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79">
              <w:r>
                <w:rPr>
                  <w:rFonts w:ascii="Arial" w:cs="Arial" w:eastAsia="Arial" w:hAnsi="Arial"/>
                  <w:sz w:val="18"/>
                  <w:szCs w:val="18"/>
                  <w:color w:val="0000EE"/>
                  <w:w w:val="86"/>
                </w:rPr>
                <w:t>Item 15.</w:t>
              </w:r>
            </w:hyperlink>
          </w:p>
        </w:tc>
        <w:tc>
          <w:tcPr>
            <w:tcW w:w="540" w:type="dxa"/>
            <w:vAlign w:val="bottom"/>
            <w:gridSpan w:val="4"/>
            <w:shd w:val="clear" w:color="auto" w:fill="CCEEFF"/>
          </w:tcPr>
          <w:p>
            <w:pPr>
              <w:spacing w:after="0"/>
              <w:rPr>
                <w:sz w:val="15"/>
                <w:szCs w:val="15"/>
                <w:color w:val="auto"/>
              </w:rPr>
            </w:pPr>
          </w:p>
        </w:tc>
        <w:tc>
          <w:tcPr>
            <w:tcW w:w="9200" w:type="dxa"/>
            <w:vAlign w:val="bottom"/>
            <w:gridSpan w:val="23"/>
            <w:shd w:val="clear" w:color="auto" w:fill="CCEEFF"/>
          </w:tcPr>
          <w:p>
            <w:pPr>
              <w:ind w:left="360"/>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Exhibits and Financial Statement Schedules.</w:t>
              </w:r>
            </w:hyperlink>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3"/>
          </w:tcPr>
          <w:p>
            <w:pPr>
              <w:spacing w:after="0" w:line="176"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Item 16.</w:t>
              </w:r>
            </w:hyperlink>
          </w:p>
        </w:tc>
        <w:tc>
          <w:tcPr>
            <w:tcW w:w="540" w:type="dxa"/>
            <w:vAlign w:val="bottom"/>
            <w:gridSpan w:val="4"/>
          </w:tcPr>
          <w:p>
            <w:pPr>
              <w:spacing w:after="0"/>
              <w:rPr>
                <w:sz w:val="15"/>
                <w:szCs w:val="15"/>
                <w:color w:val="auto"/>
              </w:rPr>
            </w:pPr>
          </w:p>
        </w:tc>
        <w:tc>
          <w:tcPr>
            <w:tcW w:w="9200" w:type="dxa"/>
            <w:vAlign w:val="bottom"/>
            <w:gridSpan w:val="23"/>
          </w:tcPr>
          <w:p>
            <w:pPr>
              <w:ind w:left="36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Form 10-K Summary.</w:t>
              </w:r>
            </w:hyperlink>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Signatures</w:t>
              </w:r>
            </w:hyperlink>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Annual Report contains forward-looking statements as that term is defined in the federal securities laws. The events described in forward-looking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affect our results include, but are not limited to, the risks and uncertainties discussed in Item 7 of this Annual Report under “Factors That May Affect Future Results and Financial Condition”.</w:t>
      </w:r>
    </w:p>
    <w:p>
      <w:pPr>
        <w:spacing w:after="0" w:line="10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r>
        <w:rPr>
          <w:rFonts w:ascii="Arial" w:cs="Arial" w:eastAsia="Arial" w:hAnsi="Arial"/>
          <w:sz w:val="16"/>
          <w:szCs w:val="16"/>
          <w:color w:val="auto"/>
        </w:rPr>
        <w:t>.</w:t>
      </w:r>
    </w:p>
    <w:p>
      <w:pPr>
        <w:spacing w:after="0" w:line="225"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Development</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As used in this Annual Report on Form 10-K (the “Annual Report”), references to the “Company”, “we”, “us”, or “our” refer to Kingstone Companies, Inc. (“Kingstone”) and its subsidiaries.</w:t>
      </w:r>
    </w:p>
    <w:p>
      <w:pPr>
        <w:spacing w:after="0" w:line="18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offer property and casualty insurance products to individuals and small businesses through our wholly owned subsidiary, Kingstone Insurance Company (“KICO”). KICO is a licensed property and casualty insurance company in New York, New Jersey, Connecticut, Massachusetts, Pennsylvania, Rhode Island and Texas. KICO is currently offering its property and casualty insurance products in New York, New Jersey, Rhode Island and Pennsylvania. Although in 2017 KICO wrote 98.5% of its direct written premiums in New York, we believe that New Jersey, Rhode Island and other states will represent an increasing portion of the total over the next several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2017</w:t>
      </w:r>
    </w:p>
    <w:p>
      <w:pPr>
        <w:spacing w:after="0" w:line="25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January and February 2017, we sold a total of 2,692,500 newly issued shares of common stock in an underwritten public offering at a public offering price of $12.00 per share. We received net proceeds from the public offering of approximately $30,137,000 after deducting underwriting discounts and commissions, and other offering expenses. Concurrently, selling shareholders sold a total of 700,000 shares of our common stock. On March 1, 2017, we used $23,000,000 of the net proceeds from the offering to contribute capital to KICO in support of our ratings upgrade plan and anticipated growth, including geographic and product expansion.</w:t>
      </w:r>
    </w:p>
    <w:p>
      <w:pPr>
        <w:spacing w:after="0" w:line="22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A.M. Best Rating</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April 2017, A.M. Best upgraded our financial strength rating from B++ (Good) to A- (Excellent). This upgrade means that KICO has achieved its long-standing goal of becoming an A-rated carrier. The upgrade has resulted in increased growth from existing agents and additional opportunities with new agents and in new markets.</w:t>
      </w:r>
    </w:p>
    <w:p>
      <w:pPr>
        <w:spacing w:after="0" w:line="19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Expanded Licensing; New Jersey, Rhode Island and Massachusetts Expansion</w:t>
      </w:r>
    </w:p>
    <w:p>
      <w:pPr>
        <w:spacing w:after="0" w:line="225" w:lineRule="exact"/>
        <w:rPr>
          <w:sz w:val="20"/>
          <w:szCs w:val="20"/>
          <w:color w:val="auto"/>
        </w:rPr>
      </w:pPr>
    </w:p>
    <w:p>
      <w:pPr>
        <w:jc w:val="both"/>
        <w:ind w:right="40" w:firstLine="648"/>
        <w:spacing w:after="0" w:line="306" w:lineRule="auto"/>
        <w:rPr>
          <w:sz w:val="20"/>
          <w:szCs w:val="20"/>
          <w:color w:val="auto"/>
        </w:rPr>
      </w:pPr>
      <w:r>
        <w:rPr>
          <w:rFonts w:ascii="Arial" w:cs="Arial" w:eastAsia="Arial" w:hAnsi="Arial"/>
          <w:sz w:val="16"/>
          <w:szCs w:val="16"/>
          <w:color w:val="auto"/>
        </w:rPr>
        <w:t>In 2017, KICO expanded its ability to write property and casualty insurance by obtaining a license to write insurance policies in Massachusetts. Also in 2017, KICO’s homeowners insurance products were launched in New Jersey and Rhode Island. We began writing New Jersey homeowners business in May and Rhode Island homeowners business in December. We anticipate to start writing business in Massachusetts in 2018.</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30" w:right="3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Rate of Dividends Declared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2017, we increased the quarterly dividends on our common stock from $.0625 per share to $.08 per share.</w:t>
      </w:r>
    </w:p>
    <w:p>
      <w:pPr>
        <w:spacing w:after="0" w:line="225" w:lineRule="exact"/>
        <w:rPr>
          <w:sz w:val="20"/>
          <w:szCs w:val="20"/>
          <w:color w:val="auto"/>
        </w:rPr>
      </w:pPr>
    </w:p>
    <w:p>
      <w:pPr>
        <w:ind w:right="140" w:firstLine="648"/>
        <w:spacing w:after="0" w:line="332" w:lineRule="auto"/>
        <w:rPr>
          <w:sz w:val="20"/>
          <w:szCs w:val="20"/>
          <w:color w:val="auto"/>
        </w:rPr>
      </w:pPr>
      <w:r>
        <w:rPr>
          <w:rFonts w:ascii="Arial" w:cs="Arial" w:eastAsia="Arial" w:hAnsi="Arial"/>
          <w:sz w:val="16"/>
          <w:szCs w:val="16"/>
          <w:color w:val="auto"/>
        </w:rPr>
        <w:t>A dividend of $.0625 per share was declared on February 7, 2017 and was paid on March 15, 2017. Dividends of $.08 per share were declared on May 10, 2017, August 9, 2017 and November 8, 2017 and were paid on June 15, 2017, September 15, 2017, and December 15, 2017, respectively.</w:t>
      </w:r>
    </w:p>
    <w:p>
      <w:pPr>
        <w:spacing w:after="0" w:line="13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Reduced Reliance on Quota Share Reinsurance</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Effective July 1, 2017, KICO reduced the ceding percentage for its personal lines quota share reinsurance treaty from 40% to 20%. The reduction of the quota share ceding percentage allows KICO to retain a higher portion of its premiums and resultant expected profits.</w:t>
      </w:r>
    </w:p>
    <w:p>
      <w:pPr>
        <w:spacing w:after="0" w:line="18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Catastrophe Reinsurance Coverage</w:t>
      </w:r>
    </w:p>
    <w:p>
      <w:pPr>
        <w:spacing w:after="0" w:line="225"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Effective July 1, 2017, KICO increased the top limit of its catastrophe reinsurance coverage to $320,000,000, which equates to more than a 1-in-250 year storm event according to the primary industry catastrophe model that we follow.</w:t>
      </w:r>
    </w:p>
    <w:p>
      <w:pPr>
        <w:spacing w:after="0" w:line="18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Member of the Federal Home Loan Bank of New York (“FHLBNY”),</w:t>
      </w:r>
    </w:p>
    <w:p>
      <w:pPr>
        <w:spacing w:after="0" w:line="225" w:lineRule="exact"/>
        <w:rPr>
          <w:sz w:val="20"/>
          <w:szCs w:val="20"/>
          <w:color w:val="auto"/>
        </w:rPr>
      </w:pPr>
    </w:p>
    <w:p>
      <w:pPr>
        <w:ind w:firstLine="648"/>
        <w:spacing w:after="0" w:line="335" w:lineRule="auto"/>
        <w:rPr>
          <w:sz w:val="20"/>
          <w:szCs w:val="20"/>
          <w:color w:val="auto"/>
        </w:rPr>
      </w:pPr>
      <w:r>
        <w:rPr>
          <w:rFonts w:ascii="Arial" w:cs="Arial" w:eastAsia="Arial" w:hAnsi="Arial"/>
          <w:sz w:val="15"/>
          <w:szCs w:val="15"/>
          <w:color w:val="auto"/>
        </w:rPr>
        <w:t>In July 2017, KICO became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includes residential and commercial mortgage backed securities, along with U.S. Treasury and agency securities.</w:t>
      </w:r>
    </w:p>
    <w:p>
      <w:pPr>
        <w:spacing w:after="0" w:line="169"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Public Debt offering</w:t>
      </w:r>
    </w:p>
    <w:p>
      <w:pPr>
        <w:spacing w:after="0" w:line="22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On December 19, 2017, we issued $30,000,000 of our 5.50% Senior Unsecured Notes due December 30, 2022, in an underwritten public offering. The net proceeds to us were approximately $29,122,000. On December 20, 2017, we used $25,000,000 of the net proceeds from the debt offering to contribute capital to KICO, to support additional growth. The remainder of the net proceeds will be used for general corporate purposes. Interest will be payable semi-annually in arrears on June 30 and December 30 of each year, beginning on June 30 2018 at the rate of 5.50% per year from December 19, 2017.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2016</w:t>
      </w:r>
    </w:p>
    <w:p>
      <w:pPr>
        <w:spacing w:after="0" w:line="25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Expanded Licensing to Additional State; New Jersey Rate Approval</w:t>
      </w:r>
    </w:p>
    <w:p>
      <w:pPr>
        <w:spacing w:after="0" w:line="225" w:lineRule="exact"/>
        <w:rPr>
          <w:sz w:val="20"/>
          <w:szCs w:val="20"/>
          <w:color w:val="auto"/>
        </w:rPr>
      </w:pPr>
    </w:p>
    <w:p>
      <w:pPr>
        <w:ind w:left="180" w:right="180" w:firstLine="486"/>
        <w:spacing w:after="0" w:line="332" w:lineRule="auto"/>
        <w:rPr>
          <w:sz w:val="20"/>
          <w:szCs w:val="20"/>
          <w:color w:val="auto"/>
        </w:rPr>
      </w:pPr>
      <w:r>
        <w:rPr>
          <w:rFonts w:ascii="Arial" w:cs="Arial" w:eastAsia="Arial" w:hAnsi="Arial"/>
          <w:sz w:val="16"/>
          <w:szCs w:val="16"/>
          <w:color w:val="auto"/>
        </w:rPr>
        <w:t>In 2016, KICO expanded its ability to write property and casualty insurance by obtaining a license to write insurance policies in Rhode Island. Also in 2016, KICO’s homeowners insurance rate, rule, and policy form filing was approved by the New Jersey Department of Banking and Insurance.</w:t>
      </w:r>
    </w:p>
    <w:p>
      <w:pPr>
        <w:spacing w:after="0" w:line="16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A.M. Best Rating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0" w:right="27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180" w:right="240" w:firstLine="486"/>
        <w:spacing w:after="0" w:line="268" w:lineRule="auto"/>
        <w:rPr>
          <w:sz w:val="20"/>
          <w:szCs w:val="20"/>
          <w:color w:val="auto"/>
        </w:rPr>
      </w:pPr>
      <w:r>
        <w:rPr>
          <w:rFonts w:ascii="Arial" w:cs="Arial" w:eastAsia="Arial" w:hAnsi="Arial"/>
          <w:sz w:val="18"/>
          <w:szCs w:val="18"/>
          <w:color w:val="auto"/>
        </w:rPr>
        <w:t>In 2016, A.M. Best revised the outlook to positive from stable for the issuer credit rating (“ICR”) of KICO. A.M. Best also affirmed KICO’s financial strength rating of B++ (Good) and ICR of “bbb”, and affirmed our ICR of “bb”.</w:t>
      </w:r>
    </w:p>
    <w:p>
      <w:pPr>
        <w:spacing w:after="0" w:line="213" w:lineRule="exact"/>
        <w:rPr>
          <w:sz w:val="20"/>
          <w:szCs w:val="20"/>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Increased Catastrophe Reinsurance Coverage</w:t>
      </w:r>
    </w:p>
    <w:p>
      <w:pPr>
        <w:spacing w:after="0" w:line="22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Effective July 1, 2016, KICO increased the top limit of its catastrophe reinsurance coverage to $252,000,000, which at that time equated to more than a 1-in-250 year storm event according to the primary industry catastrophe model that we follow.</w:t>
      </w:r>
    </w:p>
    <w:p>
      <w:pPr>
        <w:spacing w:after="0" w:line="14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Quarterly Dividends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Dividends of $.0625 per share were declared on each of February 8, 2016, May 12, 2016, August 11, 2016 and November 10, 2016 and were paid on March 15, 2016, June 15, 2016, September 15, 2016 and December 15, 2016, respectively.</w:t>
      </w:r>
    </w:p>
    <w:p>
      <w:pPr>
        <w:spacing w:after="0" w:line="21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Private Placement of Common Stock</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April 2016, we sold 595,238 newly issued shares of common stock to RenaissanceRe Ventures Ltd., a subsidiary of RenaissanceRe Holdings Ltd. (“RenaissanceRe”), for a purchase price of $8.40 per share. We received $4,808,000 in net proceeds from the sale. RenaissanceRe is a global provider of catastrophe and specialty reinsurance and insurance.</w:t>
      </w:r>
    </w:p>
    <w:p>
      <w:pPr>
        <w:spacing w:after="0" w:line="188" w:lineRule="exact"/>
        <w:rPr>
          <w:sz w:val="20"/>
          <w:szCs w:val="20"/>
          <w:color w:val="auto"/>
        </w:rPr>
      </w:pPr>
    </w:p>
    <w:p>
      <w:pPr>
        <w:ind w:left="660" w:hanging="608"/>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5"/>
          <w:szCs w:val="15"/>
          <w:color w:val="auto"/>
        </w:rPr>
        <w:t>Generally, property and casualty insurance companies write insurance policies in exchange for premiums paid by their customers (the “insureds”). An insurance policy is a contract between the insurance company and its insureds where the insurance company agrees to pay for losses suffered by the insured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building, inventory and equipment. Casualty insurance (often referred to as liability insurance) generally covers the financial consequences related to the legal liability of an individual or an organization resulting from negligent acts and omissions causing bodily injury and/or property damage to a third party. Claims for property coverage generally are reported and settled in a relatively short period of time, whereas those for casualty coverage can take many years to settle.</w:t>
      </w:r>
    </w:p>
    <w:p>
      <w:pPr>
        <w:spacing w:after="0" w:line="15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generate revenues from earned premiums, ceding commissions from quota share reinsurance, net investment income generated from our investment portfolio, and net realized gains and losses on investment securities. We also receive installment fee income and fees charged to reinstate a policy after it has been cancelled for non-payment. Earned premiums represent premiums received from insureds, which are recognized as revenue over the period of time that insurance coverage is provided (i.e., ratably over the life of the policy). All of our policies are 12 month policies; therefore a significant period of time can elapse between the receipt of insurance premiums and the payment of insurance claims. During this time, KICO invests the premiums, earns investment income and generates net realized and unrealized investment gains and losses on investments.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Insurance companies incur a significant amount of their total expenses from policyholder losses, which are commonly referred to as claims. In settling policyholder losses, various loss adjustment expenses (“LAE”) are incurred such as insurance adjusters’ fees and legal expenses. In addition, insurance companies incur policy acquisition expenses, such as commissions paid to producers and premium taxes, and other expenses related to the underwriting process, including their employees’ compensation and benefits.</w:t>
      </w:r>
    </w:p>
    <w:p>
      <w:pPr>
        <w:spacing w:after="0" w:line="19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key measure of relative underwriting performance for an insurance company is the combined ratio. An insurance company’s combined ratio is calculated by taking the ratio of incurred loss and LAE to earned premiums (the “loss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Strategy</w:t>
      </w:r>
    </w:p>
    <w:p>
      <w:pPr>
        <w:spacing w:after="0" w:line="225" w:lineRule="exact"/>
        <w:rPr>
          <w:sz w:val="20"/>
          <w:szCs w:val="20"/>
          <w:color w:val="auto"/>
        </w:rPr>
      </w:pPr>
    </w:p>
    <w:p>
      <w:pPr>
        <w:ind w:right="20" w:firstLine="689"/>
        <w:spacing w:after="0" w:line="256" w:lineRule="auto"/>
        <w:rPr>
          <w:sz w:val="20"/>
          <w:szCs w:val="20"/>
          <w:color w:val="auto"/>
        </w:rPr>
      </w:pPr>
      <w:r>
        <w:rPr>
          <w:rFonts w:ascii="Arial" w:cs="Arial" w:eastAsia="Arial" w:hAnsi="Arial"/>
          <w:sz w:val="18"/>
          <w:szCs w:val="18"/>
          <w:color w:val="auto"/>
        </w:rPr>
        <w:t>We are a property and casualty insurance holding company whose principal operating subsidiary is Kingstone Insurance Company (“KICO”), domiciled in the State of New York. We are a multi-line regional property and casualty insurance company writing business exclusively through independent retail and wholesale agents and brokers (“producers”). We are licensed to write insurance policies in New York, New Jersey, Connecticut, Massachusetts, Pennsylvania, Rhode Island and Texas.</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policyholders and claimants and provide a consistent market with stable and competitive rate and commission structures. We offer a wide array of personal and commercial lines products, which further differentiate us from other insurance companies that also distribute through our selected producers.</w:t>
      </w:r>
    </w:p>
    <w:p>
      <w:pPr>
        <w:spacing w:after="0" w:line="17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principal objectives are to increase the volume of profitable business that we write while managing risk through prudent use of reinsurance in order to preserve and grow our capital base. We seek to generate underwriting income by writing profitable insurance policies and by effectively managing our other underwriting and operating expenses. We are pursuing profitable growth by selectively expanding the geographic regions in which we operate, increasing the volume of business that we write with existing producers, developing new selected producer relationships, and introducing niche insurance products that are relevant to our producers and policyholders.</w:t>
      </w:r>
    </w:p>
    <w:p>
      <w:pPr>
        <w:spacing w:after="0" w:line="197"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For the year ended December 31, 2017, our gross written premiums totaled $121.6 million, an increase of 17.8% from the $103.2 million in gross written premium for the year ended December 31, 2016.</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Lines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i w:val="1"/>
          <w:iCs w:val="1"/>
          <w:color w:val="auto"/>
        </w:rPr>
        <w:t xml:space="preserve">Personal lines - </w:t>
      </w:r>
      <w:r>
        <w:rPr>
          <w:rFonts w:ascii="Arial" w:cs="Arial" w:eastAsia="Arial" w:hAnsi="Arial"/>
          <w:sz w:val="16"/>
          <w:szCs w:val="16"/>
          <w:color w:val="auto"/>
        </w:rPr>
        <w:t>Our largest line of business is personal lines, consisting of homeowners and dwelling fire multi-peril, cooperative/condominiums,</w:t>
      </w:r>
      <w:r>
        <w:rPr>
          <w:rFonts w:ascii="Arial" w:cs="Arial" w:eastAsia="Arial" w:hAnsi="Arial"/>
          <w:sz w:val="16"/>
          <w:szCs w:val="16"/>
          <w:i w:val="1"/>
          <w:iCs w:val="1"/>
          <w:color w:val="auto"/>
        </w:rPr>
        <w:t xml:space="preserve"> </w:t>
      </w:r>
      <w:r>
        <w:rPr>
          <w:rFonts w:ascii="Arial" w:cs="Arial" w:eastAsia="Arial" w:hAnsi="Arial"/>
          <w:sz w:val="16"/>
          <w:szCs w:val="16"/>
          <w:color w:val="auto"/>
        </w:rPr>
        <w:t>renters, and personal umbrella policies. Personal lines policies accounted for 78.9% of our gross written premiums for the year ended December 31, 2017.</w:t>
      </w:r>
    </w:p>
    <w:p>
      <w:pPr>
        <w:spacing w:after="0" w:line="72"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i w:val="1"/>
          <w:iCs w:val="1"/>
          <w:color w:val="auto"/>
        </w:rPr>
        <w:t xml:space="preserve">Commercial liability - </w:t>
      </w:r>
      <w:r>
        <w:rPr>
          <w:rFonts w:ascii="Arial" w:cs="Arial" w:eastAsia="Arial" w:hAnsi="Arial"/>
          <w:sz w:val="18"/>
          <w:szCs w:val="18"/>
          <w:color w:val="auto"/>
        </w:rPr>
        <w:t>We offer businessowners policies which consist primarily of small business retail, service and office risks without a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We also write artisan’s liability policies for small independent contractors with seven or fewer employees. In addition, we write special multi-peril policies for larger and more specialized risks businessowners risks, including those with limited residential exposures. Further, we write commercial umbrella policies above our supporting commercial lines policies. Commercial lines policies accounted for 12.0% of our gross written premiums for the year ended December 31, 2017.</w:t>
      </w:r>
    </w:p>
    <w:p>
      <w:pPr>
        <w:spacing w:after="0" w:line="1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i w:val="1"/>
          <w:iCs w:val="1"/>
          <w:color w:val="auto"/>
        </w:rPr>
        <w:t xml:space="preserve">Livery physical damage - </w:t>
      </w:r>
      <w:r>
        <w:rPr>
          <w:rFonts w:ascii="Arial" w:cs="Arial" w:eastAsia="Arial" w:hAnsi="Arial"/>
          <w:sz w:val="18"/>
          <w:szCs w:val="18"/>
          <w:color w:val="auto"/>
        </w:rPr>
        <w:t>We write for-hire vehicle physical damage only policies for livery and car service vehicles and taxicabs, primarily based in</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City. These policies insure only the physical damage portion of insurance for such vehicles, with no liability coverage included. These policies accounted for 8.8% of our gross written premiums for the year ended December 31, 2017.</w:t>
      </w:r>
    </w:p>
    <w:p>
      <w:pPr>
        <w:spacing w:after="0" w:line="194"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We write canine legal liability policies and also have a small participation in mandatory state joint underwriting associations. These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0.3% of our gross written premiums for the year ended December 31, 2017.</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History of Growing Our Profitable Operations</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Our insurance company subsidiary, KICO, has been in operation in the State of New York for over 130 years. We have consistently increased the amount of profitable business that we write by introducing new insurance products, increasing the volume of business that we write with our selected producers and developing new producer relationships. KICO has earned an underwriting profit in each of the past ten years, including in 2012 and 2013 when our financial results were adversely impacted by Superstorm Sandy. The extensive heritage of our insurance company subsidiary and our commitment to the markets in which we operate is a competitive advantage with producers and policyholders.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Strong Producer Relationships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Within our selected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 In the biennial performance surveys conducted by the Professional Insurance Agents of New York and New Jersey of its membership since 2010, KICO was rated as one of the top performing insurance companies in New York, twice ranking as the top rated carrier among all those surveyed. Our relationship with selected producers was further strengthened by the A.M. Best upgrade to a financial strength rating of A- (Excellent) in April 2017. This has allowed us to provide many producers with an A- rated carrier option that was not previously available to them in the markets where we operate.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We offer our selected producers the ability to write a wide array of personal lines and commercial lines policies, including some which are unique to us. Many of our producers write multiple lines of business with us which provides an advantage over those competitors who are focused on a single product. We provide a multi-policy discount on homeowners policies in order to attract and retain more of this multi-line business. We have had a consistent presence in the New York market and we believe that producers value the longevity of our relationship with them. We believe that the excellent service we provide to our selected producers, our broad product offerings, and our consistent prices and financial stability provide a strong foundation for continued profitable growth.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Sophisticated Underwriting and Risk Management Practices</w:t>
      </w:r>
    </w:p>
    <w:p>
      <w:pPr>
        <w:spacing w:after="0" w:line="225" w:lineRule="exact"/>
        <w:rPr>
          <w:sz w:val="20"/>
          <w:szCs w:val="20"/>
          <w:color w:val="auto"/>
        </w:rPr>
      </w:pPr>
    </w:p>
    <w:p>
      <w:pPr>
        <w:jc w:val="both"/>
        <w:ind w:right="140" w:firstLine="648"/>
        <w:spacing w:after="0" w:line="298" w:lineRule="auto"/>
        <w:rPr>
          <w:sz w:val="20"/>
          <w:szCs w:val="20"/>
          <w:color w:val="auto"/>
        </w:rPr>
      </w:pPr>
      <w:r>
        <w:rPr>
          <w:rFonts w:ascii="Arial" w:cs="Arial" w:eastAsia="Arial" w:hAnsi="Arial"/>
          <w:sz w:val="16"/>
          <w:szCs w:val="16"/>
          <w:color w:val="auto"/>
        </w:rPr>
        <w:t>We believe that we have a significant underwriting advantage due to our local market presence and expertise. Our underwriting process evaluates and screens out certain risks based on property reports, individual insurance scoring, information collected from physical property inspections, and driving records. We maintain certain policy exclusions that reduce our exposure to risks that can create severe losses. We target a more preferred risk profile in order to reduce adverse selection from risks seeking the lowest premiums and minimal coverage levels.</w:t>
      </w:r>
    </w:p>
    <w:p>
      <w:pPr>
        <w:spacing w:after="0" w:line="167" w:lineRule="exact"/>
        <w:rPr>
          <w:sz w:val="20"/>
          <w:szCs w:val="20"/>
          <w:color w:val="auto"/>
        </w:rPr>
      </w:pPr>
    </w:p>
    <w:p>
      <w:pPr>
        <w:jc w:val="both"/>
        <w:ind w:right="160" w:firstLine="648"/>
        <w:spacing w:after="0" w:line="306" w:lineRule="auto"/>
        <w:rPr>
          <w:sz w:val="20"/>
          <w:szCs w:val="20"/>
          <w:color w:val="auto"/>
        </w:rPr>
      </w:pPr>
      <w:r>
        <w:rPr>
          <w:rFonts w:ascii="Arial" w:cs="Arial" w:eastAsia="Arial" w:hAnsi="Arial"/>
          <w:sz w:val="16"/>
          <w:szCs w:val="16"/>
          <w:color w:val="auto"/>
        </w:rPr>
        <w:t>Our underwriting procedures, premium rates and policy terms support the underwriting profitability of our personal lines policies. We apply premium surcharges for certain coastal properties and maintain deductibles for hurricane-prone exposures in order to provide an appropriate premium rate for the risk of loss. We manage coastal risk exposure through the use of individual catastrophe risk scoring and through prudent use of reinsurance.</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underwriting expertise and risk management practices enable us to profitably write personal and commercial lines business in our markets without the need for frequent rate adjustments, in contrast to many of our competitors. We believe that the consistency in rates and the reliable availability of our insurance products are important factors in maintaining our selected producer relationships.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Effective Utilization of Reinsurance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spacing w:after="0" w:line="19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reinsurance program also provides income as a result of ceding commissions earned pursuant to the quota share reinsurance contracts. The income we earn from ceding commissions typically exceeds our fixed operating costs, which consist of other underwriting expenses. Quota share reinsurance treaties transfer a portion of the profit (or loss) associated with the subject insurance policies to the reinsurers. We believe that a prudent reduction in our reliance on quota share reinsurance could increase our overall net underwriting profits.</w:t>
      </w: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30" w:right="3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Experienced Management Team</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Our management team has significant expertise in underwriting, agency management and claims management. Barry Goldstein, our Chairman and Chief Executive Officer, has extensive experience in the insurance industry and managing public companies, serving in his current capacity since 2001. Benjamin Walden, Executive Vice President and Chief Actuary of KICO, has 28 years of experience with both large and small insurance carriers and has also worked for actuarial consulting firms. Throughout his career, he has specialized in many of the markets that are a primary focus for KICO. Our underwriting and claims managers have extensive experience in the insurance industry averaging over of 28 years of experience in the markets we serve.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Scalable, Low-Cost Operations</w:t>
      </w:r>
    </w:p>
    <w:p>
      <w:pPr>
        <w:spacing w:after="0" w:line="225" w:lineRule="exact"/>
        <w:rPr>
          <w:sz w:val="20"/>
          <w:szCs w:val="20"/>
          <w:color w:val="auto"/>
        </w:rPr>
      </w:pPr>
    </w:p>
    <w:p>
      <w:pPr>
        <w:jc w:val="both"/>
        <w:ind w:right="60" w:firstLine="689"/>
        <w:spacing w:after="0" w:line="298" w:lineRule="auto"/>
        <w:rPr>
          <w:sz w:val="20"/>
          <w:szCs w:val="20"/>
          <w:color w:val="auto"/>
        </w:rPr>
      </w:pPr>
      <w:r>
        <w:rPr>
          <w:rFonts w:ascii="Arial" w:cs="Arial" w:eastAsia="Arial" w:hAnsi="Arial"/>
          <w:sz w:val="16"/>
          <w:szCs w:val="16"/>
          <w:color w:val="auto"/>
        </w:rPr>
        <w:t>We focus on keeping expenses low, but invest in tools and processes that improve the efficiency and effectiveness of underwriting risks and processing claims. We evaluate the costs and benefits of each new tool or process in order to achieve optimal results. While the majority of our policies are written for risks in downstate New York, our Kingston, New York location provides a lower cost operating environment. We also take a proactive approach to settling outstanding claims rather than engaging in protracted litigation, which results in more favorable claim outcomes and reduced reserve uncertainty.</w:t>
      </w:r>
    </w:p>
    <w:p>
      <w:pPr>
        <w:spacing w:after="0" w:line="16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made investments to develop online application and quoting systems for many of our personal lines and commercial products. Since 2015, we have leveraged a paperless workflow management and document storage tool in order to improve efficiency and reduce costs. In late 2017, we introduced an online payment portal that provides the ability for insureds to make payments and to view policy information for all of our products in one location. We now have a dedicated customer service unit located in our Kingston office that has significantly improved the speed at which we respond to our customers. We have enhanced our website to improve our handling of underwriting, claims, and billing related questions. Our ability to control the growth of our operating and other expenses while expanding our operations and growing revenue at a higher rate is a key component of our business model and is important to our future financial success.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and Claims Management Philosophy</w:t>
      </w:r>
    </w:p>
    <w:p>
      <w:pPr>
        <w:spacing w:after="0" w:line="225" w:lineRule="exact"/>
        <w:rPr>
          <w:sz w:val="20"/>
          <w:szCs w:val="20"/>
          <w:color w:val="auto"/>
        </w:rPr>
      </w:pPr>
    </w:p>
    <w:p>
      <w:pPr>
        <w:ind w:right="400" w:firstLine="648"/>
        <w:spacing w:after="0" w:line="332" w:lineRule="auto"/>
        <w:rPr>
          <w:sz w:val="20"/>
          <w:szCs w:val="20"/>
          <w:color w:val="auto"/>
        </w:rPr>
      </w:pPr>
      <w:r>
        <w:rPr>
          <w:rFonts w:ascii="Arial" w:cs="Arial" w:eastAsia="Arial" w:hAnsi="Arial"/>
          <w:sz w:val="16"/>
          <w:szCs w:val="16"/>
          <w:color w:val="auto"/>
        </w:rPr>
        <w:t>Our underwriting philosophy is to target niche risk segments for which we have detailed expertise and can take advantage of market conditions. We monitor results on a regular basis and all of our selected producers are reviewed by management on at least a quarterly basis.</w:t>
      </w:r>
    </w:p>
    <w:p>
      <w:pPr>
        <w:spacing w:after="0" w:line="1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believe that our rates are competitive with other carriers’ rates in our markets. We believe that rate consistency and the reliable availability of our insurance products is important to our producers. We do not seek to grow by competing based solely upon price. We seek to develop long-term relationships with our selected producers who understand and appreciate the consistent path we have chosen. We carefully underwrite our business utilizing the Comprehensive Loss Underwriting Exchange industry claims database, insurance scoring reports, physical inspection of risks and other individual risk underwriting tools. In the event that a material misrepresentation is discovered in the underwriting application, the policy is voided. If a material misrepresentation is discovered after a claim is presented, we deny the claim. We write homeowners and dwelling fire business in coastal markets and are cognizant of our exposure to hurricanes. We have mitigated this risk through appropriate catastrophe reinsurance and application of mandatory hurricane deductibles. Our claims and underwriting expertise in these markets enables us to profitably write personal lines business in all the territories in which we write.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w:t>
      </w:r>
    </w:p>
    <w:p>
      <w:pPr>
        <w:spacing w:after="0" w:line="225" w:lineRule="exact"/>
        <w:rPr>
          <w:sz w:val="20"/>
          <w:szCs w:val="20"/>
          <w:color w:val="auto"/>
        </w:rPr>
      </w:pPr>
    </w:p>
    <w:p>
      <w:pPr>
        <w:ind w:right="40" w:firstLine="648"/>
        <w:spacing w:after="0" w:line="318" w:lineRule="auto"/>
        <w:rPr>
          <w:sz w:val="20"/>
          <w:szCs w:val="20"/>
          <w:color w:val="auto"/>
        </w:rPr>
      </w:pPr>
      <w:r>
        <w:rPr>
          <w:rFonts w:ascii="Arial" w:cs="Arial" w:eastAsia="Arial" w:hAnsi="Arial"/>
          <w:sz w:val="15"/>
          <w:szCs w:val="15"/>
          <w:color w:val="auto"/>
        </w:rPr>
        <w:t>We generate business through our relationships with over 400 independent producers. We carefully select our producers by evaluating numerous factors such as their need for our products, premium production potential, loss history with other insurance companies that they represent, product and market knowledge, and the size of the agency. We only distribute through independent agents and have never sought to distribute our products direct to the consumer. We will not appoint any agency owned or controlled by another carrier that distributes its products direct to the consumer. We monitor and evaluate the performance of our producers through periodic reviews of volume and profitability. Our senior executives are actively involved in managing our producer relationships.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producer is assigned to a personal and commercial lines underwriter and the producer can call that underwriter directly on any matter. We believe that the close relationship with their underwriters is a principal reason producers place their business with us. Our producers have access to a KICO website portal that provides them the ability to quote risks for various products and to review policy forms and underwriting guidelines for all lines of business. We send out frequent “Producer Grams” in order to inform our producers of updates at KICO. In addition, we have an active Producer Council and have at least one annual meeting with all of our producers.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 Market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insurance industry is highly competitive. We constantly assess and project the market conditions and prices for our products, but we cannot fully know our profitability until all claims have been reported and settled.</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policyholders are located primarily in the downstate regions of New York State, but we are actively growing into nearby markets, and introduced homeowners products in New Jersey and Rhode Island during 2017. In addition, we are licensed to write insurance policies in Connecticut, Massachusetts, Pennsylvania, and Texas. We anticipate launching a homeowners product in Massachusetts in 2018. These new homeowners markets align well with the niche markets that have generated profitable results in New York, and we believe that our market expertise can be effectively utilized in these new markets.</w:t>
      </w:r>
    </w:p>
    <w:p>
      <w:pPr>
        <w:spacing w:after="0" w:line="167"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2016, KICO was the 18th largest writer of homeowners and dwelling fire insurance in the State of New York, according to data compiled by SNL Financial LC. Based on the same data, in 2016, we had a 1.0% market share for this combined group of personal lines property business. We compete with large national carriers as well as regional and local carriers in the property and casualty marketplace in New York and other states. We believe that many national and regional carriers have chosen to limit their rate of premium growth or to decrease their presence in northeastern states due to the relatively high coastal population and associated catastrophe risk that exists in the region.</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Given present market conditions, we believe that we have the opportunity to significantly expand the size of our personal and commercial lines business in New York and other northeastern states in which we are licensed.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and Loss Adjustment Expense Reserves</w:t>
      </w:r>
    </w:p>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We are required to establish reserves for incurred losses that are unpaid, including reserves for claims and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Loss reserves fall into two categories: case reserves for reported losses and LAE associated with specific reported claims, and reserves for losses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LAE that are incurred but not reported (“IBNR”). We establish these two categories of loss reserves as follows: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Reserves for reported losses </w:t>
      </w:r>
      <w:r>
        <w:rPr>
          <w:rFonts w:ascii="Arial" w:cs="Arial" w:eastAsia="Arial" w:hAnsi="Arial"/>
          <w:sz w:val="18"/>
          <w:szCs w:val="18"/>
          <w:color w:val="auto"/>
        </w:rPr>
        <w:t>- When a claim is received, we establish a case reserve for the estimated amount of its ultimate settlement and its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loss expenses. We establish case reserves based upon the known facts about each claim at the time the claim is reported and we may subsequently increase or reduce the case reserves as additional facts and information about each claim develops.</w:t>
      </w:r>
    </w:p>
    <w:p>
      <w:pPr>
        <w:spacing w:after="0" w:line="19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IBNR reserves </w:t>
      </w:r>
      <w:r>
        <w:rPr>
          <w:rFonts w:ascii="Arial" w:cs="Arial" w:eastAsia="Arial" w:hAnsi="Arial"/>
          <w:sz w:val="16"/>
          <w:szCs w:val="16"/>
          <w:color w:val="auto"/>
        </w:rPr>
        <w:t>- We also estimate and establish reserves for loss and LAE amounts incurred but not yet reported (“IBNR”). IBNR reserves are calculated</w:t>
      </w:r>
      <w:r>
        <w:rPr>
          <w:rFonts w:ascii="Arial" w:cs="Arial" w:eastAsia="Arial" w:hAnsi="Arial"/>
          <w:sz w:val="16"/>
          <w:szCs w:val="16"/>
          <w:i w:val="1"/>
          <w:iCs w:val="1"/>
          <w:color w:val="auto"/>
        </w:rPr>
        <w:t xml:space="preserve"> </w:t>
      </w:r>
      <w:r>
        <w:rPr>
          <w:rFonts w:ascii="Arial" w:cs="Arial" w:eastAsia="Arial" w:hAnsi="Arial"/>
          <w:sz w:val="16"/>
          <w:szCs w:val="16"/>
          <w:color w:val="auto"/>
        </w:rPr>
        <w:t>in bulk as an estimate of ultimate losses and LAE less reported losses and LAE. There are two types of IBNR; the first is a provision for claims that have occurred but are not yet reported or known. We refer to this as ‘Pure’ IBNR, and due to the fact that we write primarily quickly reported property lines of business, this type of IBNR does not make up a large portion of KICO’s total IBNR. The second type of IBNR is a provision for expected future development on known claims, from the evaluation date until the time claims are settled and closed. We refer to this as ‘Case Development’ IBNR and it makes up the majority of the IBNR that KICO records. Ultimate losses driving the determination of appropriate IBNR levels are projected by using generally accepted actuarial techniques.</w:t>
      </w:r>
    </w:p>
    <w:p>
      <w:pPr>
        <w:spacing w:after="0" w:line="17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liability for loss and LAE represents our best estimate of the ultimate cost of all reported and unreported losses that are unpaid as of the balance sheet evaluation date. The liability for loss and LAE is estimated on an undiscounted basis, using individual case-basis valuations, statistical analyses and various actuarial procedures. The projection of future claim payment and reporting is based on an analysis of our historical experience, supplemented by analyses of industry loss data. We believe that the reserves for loss and LAE are adequate to cover the ultimate cost of losses and claims to date. However, because of the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such adjustments are reflected in the period in which the estimates are changed. Because of the nature of the business historically written, we believe that we have limited exposure to asbestos and environmental claim liabilities.</w:t>
      </w:r>
    </w:p>
    <w:p>
      <w:pPr>
        <w:spacing w:after="0" w:line="17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engage an independent external actuarial specialist (the ‘Appointed Actuary’) to opine on our recorded statutory reserves. The Appointed Actuary estimates a range of ultimate losses, along with a range and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Reconciliation of Loss and Loss Adjustment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the reconciliation of loss and LAE on a gross and net basis, reflecting changes in losses incurred and paid losses: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720" w:type="dxa"/>
            <w:vAlign w:val="bottom"/>
            <w:gridSpan w:val="2"/>
          </w:tcPr>
          <w:p>
            <w:pPr>
              <w:jc w:val="right"/>
              <w:ind w:right="874"/>
              <w:spacing w:after="0"/>
              <w:rPr>
                <w:sz w:val="20"/>
                <w:szCs w:val="20"/>
                <w:color w:val="auto"/>
              </w:rPr>
            </w:pPr>
            <w:r>
              <w:rPr>
                <w:rFonts w:ascii="Arial" w:cs="Arial" w:eastAsia="Arial" w:hAnsi="Arial"/>
                <w:sz w:val="15"/>
                <w:szCs w:val="15"/>
                <w:b w:val="1"/>
                <w:bCs w:val="1"/>
                <w:color w:val="auto"/>
              </w:rPr>
              <w:t>Years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720" w:type="dxa"/>
            <w:vAlign w:val="bottom"/>
            <w:tcBorders>
              <w:bottom w:val="single" w:sz="8" w:color="auto"/>
            </w:tcBorders>
            <w:gridSpan w:val="2"/>
          </w:tcPr>
          <w:p>
            <w:pPr>
              <w:jc w:val="right"/>
              <w:ind w:right="83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38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2017</w:t>
            </w: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3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   41,736,719</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39,876,500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(15,776,880)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(16,706,364)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1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25,959,839</w:t>
            </w: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23,170,136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year</w:t>
            </w: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34,246,081</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27,853,010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years</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(60,544)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incurred</w:t>
            </w: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34,185,537</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27,789,661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Paid related to:</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3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18,194,860</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16,496,648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Prior years</w:t>
            </w: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9,899,802</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8,503,310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paid</w:t>
            </w:r>
          </w:p>
        </w:tc>
        <w:tc>
          <w:tcPr>
            <w:tcW w:w="1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28,094,662</w:t>
            </w: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24,999,958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Net balance at end of period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Add reinsurance recoverables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jc w:val="both"/>
        <w:ind w:left="300"/>
        <w:spacing w:after="0"/>
        <w:tabs>
          <w:tab w:leader="none" w:pos="1660" w:val="left"/>
        </w:tabs>
        <w:rPr>
          <w:sz w:val="20"/>
          <w:szCs w:val="20"/>
          <w:color w:val="auto"/>
        </w:rPr>
      </w:pPr>
      <w:r>
        <w:rPr>
          <w:rFonts w:ascii="Arial" w:cs="Arial" w:eastAsia="Arial" w:hAnsi="Arial"/>
          <w:sz w:val="18"/>
          <w:szCs w:val="18"/>
          <w:color w:val="auto"/>
        </w:rPr>
        <w:t>32,050,714</w:t>
      </w:r>
      <w:r>
        <w:rPr>
          <w:sz w:val="20"/>
          <w:szCs w:val="20"/>
          <w:color w:val="auto"/>
        </w:rPr>
        <w:tab/>
      </w:r>
      <w:r>
        <w:rPr>
          <w:rFonts w:ascii="Arial" w:cs="Arial" w:eastAsia="Arial" w:hAnsi="Arial"/>
          <w:sz w:val="18"/>
          <w:szCs w:val="18"/>
          <w:color w:val="auto"/>
        </w:rPr>
        <w:t>25,959,839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16,748,908</w:t>
      </w:r>
      <w:r>
        <w:rPr>
          <w:sz w:val="20"/>
          <w:szCs w:val="20"/>
          <w:color w:val="auto"/>
        </w:rPr>
        <w:tab/>
      </w:r>
      <w:r>
        <w:rPr>
          <w:rFonts w:ascii="Arial" w:cs="Arial" w:eastAsia="Arial" w:hAnsi="Arial"/>
          <w:sz w:val="18"/>
          <w:szCs w:val="18"/>
          <w:color w:val="auto"/>
        </w:rPr>
        <w:t>15,776,880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10795</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70" w:lineRule="exact"/>
        <w:rPr>
          <w:sz w:val="20"/>
          <w:szCs w:val="20"/>
          <w:color w:val="auto"/>
        </w:rPr>
      </w:pPr>
    </w:p>
    <w:p>
      <w:pPr>
        <w:spacing w:after="0"/>
        <w:tabs>
          <w:tab w:leader="none" w:pos="280" w:val="left"/>
          <w:tab w:leader="none" w:pos="1360" w:val="left"/>
          <w:tab w:leader="none" w:pos="1660" w:val="left"/>
        </w:tabs>
        <w:rPr>
          <w:sz w:val="20"/>
          <w:szCs w:val="20"/>
          <w:color w:val="auto"/>
        </w:rPr>
      </w:pPr>
      <w:r>
        <w:rPr>
          <w:rFonts w:ascii="Arial" w:cs="Arial" w:eastAsia="Arial" w:hAnsi="Arial"/>
          <w:sz w:val="18"/>
          <w:szCs w:val="18"/>
          <w:color w:val="auto"/>
        </w:rPr>
        <w:t>$</w:t>
        <w:tab/>
        <w:t>48,799,622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41,736,719</w:t>
      </w:r>
    </w:p>
    <w:p>
      <w:pPr>
        <w:spacing w:after="0" w:line="200" w:lineRule="exact"/>
        <w:rPr>
          <w:sz w:val="20"/>
          <w:szCs w:val="20"/>
          <w:color w:val="auto"/>
        </w:rPr>
      </w:pPr>
    </w:p>
    <w:p>
      <w:pPr>
        <w:sectPr>
          <w:pgSz w:w="11900" w:h="16838" w:orient="portrait"/>
          <w:cols w:equalWidth="0" w:num="2">
            <w:col w:w="8100" w:space="720"/>
            <w:col w:w="2600"/>
          </w:cols>
          <w:pgMar w:left="240" w:top="130" w:right="239" w:bottom="1440" w:gutter="0" w:footer="0" w:header="0"/>
          <w:type w:val="continuous"/>
        </w:sectPr>
      </w:pP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claims reserving practices are designed to set reserves that, in the aggregate, are adequate to pay all claims at their ultimate settlement value.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Loss Adjustment Expenses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net loss development of reserves held as of each calendar year-end from 2007 through 2017.</w:t>
      </w:r>
    </w:p>
    <w:p>
      <w:pPr>
        <w:spacing w:after="0" w:line="225" w:lineRule="exact"/>
        <w:rPr>
          <w:sz w:val="20"/>
          <w:szCs w:val="20"/>
          <w:color w:val="auto"/>
        </w:rPr>
      </w:pPr>
    </w:p>
    <w:p>
      <w:pPr>
        <w:ind w:right="240" w:firstLine="648"/>
        <w:spacing w:after="0" w:line="294" w:lineRule="auto"/>
        <w:rPr>
          <w:sz w:val="20"/>
          <w:szCs w:val="20"/>
          <w:color w:val="auto"/>
        </w:rPr>
      </w:pPr>
      <w:r>
        <w:rPr>
          <w:rFonts w:ascii="Arial" w:cs="Arial" w:eastAsia="Arial" w:hAnsi="Arial"/>
          <w:sz w:val="16"/>
          <w:szCs w:val="16"/>
          <w:color w:val="auto"/>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For example, with respect to the net loss and LAE reserves of $6,001,000 as of December 31, 2009, by December 31, 2011 (two years later), $3,992,000 had actually been paid in settlement of the claims that relate to liabilities as of December 31, 2009.</w:t>
      </w:r>
    </w:p>
    <w:p>
      <w:pPr>
        <w:spacing w:after="0" w:line="17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“cumulative redundancy (deficiency)” represents, as of December 31, 2017, the difference between the latest re-estimated liability and the amounts as originally estimated. A redundancy means that the original estimate was higher than the current estimate. A deficiency means that the current estimate is higher than the original estimate. Estimates for the liabilities in place as of more recent evaluation dates have developed more favorably than those from older evaluation points, especially as a percentage of the starting estimate.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53"/>
              <w:spacing w:after="0"/>
              <w:rPr>
                <w:sz w:val="20"/>
                <w:szCs w:val="20"/>
                <w:color w:val="auto"/>
              </w:rPr>
            </w:pPr>
            <w:r>
              <w:rPr>
                <w:rFonts w:ascii="Arial" w:cs="Arial" w:eastAsia="Arial" w:hAnsi="Arial"/>
                <w:sz w:val="15"/>
                <w:szCs w:val="15"/>
                <w:b w:val="1"/>
                <w:bCs w:val="1"/>
                <w:color w:val="auto"/>
              </w:rPr>
              <w:t>2007</w:t>
            </w:r>
          </w:p>
        </w:tc>
        <w:tc>
          <w:tcPr>
            <w:tcW w:w="920" w:type="dxa"/>
            <w:vAlign w:val="bottom"/>
          </w:tcPr>
          <w:p>
            <w:pPr>
              <w:jc w:val="right"/>
              <w:ind w:right="353"/>
              <w:spacing w:after="0"/>
              <w:rPr>
                <w:sz w:val="20"/>
                <w:szCs w:val="20"/>
                <w:color w:val="auto"/>
              </w:rPr>
            </w:pPr>
            <w:r>
              <w:rPr>
                <w:rFonts w:ascii="Arial" w:cs="Arial" w:eastAsia="Arial" w:hAnsi="Arial"/>
                <w:sz w:val="15"/>
                <w:szCs w:val="15"/>
                <w:b w:val="1"/>
                <w:bCs w:val="1"/>
                <w:color w:val="auto"/>
              </w:rPr>
              <w:t>2008</w:t>
            </w:r>
          </w:p>
        </w:tc>
        <w:tc>
          <w:tcPr>
            <w:tcW w:w="920" w:type="dxa"/>
            <w:vAlign w:val="bottom"/>
          </w:tcPr>
          <w:p>
            <w:pPr>
              <w:jc w:val="right"/>
              <w:ind w:right="373"/>
              <w:spacing w:after="0"/>
              <w:rPr>
                <w:sz w:val="20"/>
                <w:szCs w:val="20"/>
                <w:color w:val="auto"/>
              </w:rPr>
            </w:pPr>
            <w:r>
              <w:rPr>
                <w:rFonts w:ascii="Arial" w:cs="Arial" w:eastAsia="Arial" w:hAnsi="Arial"/>
                <w:sz w:val="15"/>
                <w:szCs w:val="15"/>
                <w:b w:val="1"/>
                <w:bCs w:val="1"/>
                <w:color w:val="auto"/>
              </w:rPr>
              <w:t>2009</w:t>
            </w:r>
          </w:p>
        </w:tc>
        <w:tc>
          <w:tcPr>
            <w:tcW w:w="920" w:type="dxa"/>
            <w:vAlign w:val="bottom"/>
          </w:tcPr>
          <w:p>
            <w:pPr>
              <w:jc w:val="right"/>
              <w:ind w:right="373"/>
              <w:spacing w:after="0"/>
              <w:rPr>
                <w:sz w:val="20"/>
                <w:szCs w:val="20"/>
                <w:color w:val="auto"/>
              </w:rPr>
            </w:pPr>
            <w:r>
              <w:rPr>
                <w:rFonts w:ascii="Arial" w:cs="Arial" w:eastAsia="Arial" w:hAnsi="Arial"/>
                <w:sz w:val="15"/>
                <w:szCs w:val="15"/>
                <w:b w:val="1"/>
                <w:bCs w:val="1"/>
                <w:color w:val="auto"/>
              </w:rPr>
              <w:t>2010</w:t>
            </w:r>
          </w:p>
        </w:tc>
        <w:tc>
          <w:tcPr>
            <w:tcW w:w="900" w:type="dxa"/>
            <w:vAlign w:val="bottom"/>
          </w:tcPr>
          <w:p>
            <w:pPr>
              <w:jc w:val="right"/>
              <w:ind w:right="353"/>
              <w:spacing w:after="0"/>
              <w:rPr>
                <w:sz w:val="20"/>
                <w:szCs w:val="20"/>
                <w:color w:val="auto"/>
              </w:rPr>
            </w:pPr>
            <w:r>
              <w:rPr>
                <w:rFonts w:ascii="Arial" w:cs="Arial" w:eastAsia="Arial" w:hAnsi="Arial"/>
                <w:sz w:val="15"/>
                <w:szCs w:val="15"/>
                <w:b w:val="1"/>
                <w:bCs w:val="1"/>
                <w:color w:val="auto"/>
              </w:rPr>
              <w:t>2011</w:t>
            </w:r>
          </w:p>
        </w:tc>
        <w:tc>
          <w:tcPr>
            <w:tcW w:w="940" w:type="dxa"/>
            <w:vAlign w:val="bottom"/>
          </w:tcPr>
          <w:p>
            <w:pPr>
              <w:jc w:val="right"/>
              <w:ind w:right="374"/>
              <w:spacing w:after="0"/>
              <w:rPr>
                <w:sz w:val="20"/>
                <w:szCs w:val="20"/>
                <w:color w:val="auto"/>
              </w:rPr>
            </w:pPr>
            <w:r>
              <w:rPr>
                <w:rFonts w:ascii="Arial" w:cs="Arial" w:eastAsia="Arial" w:hAnsi="Arial"/>
                <w:sz w:val="15"/>
                <w:szCs w:val="15"/>
                <w:b w:val="1"/>
                <w:bCs w:val="1"/>
                <w:color w:val="auto"/>
              </w:rPr>
              <w:t>2012</w:t>
            </w:r>
          </w:p>
        </w:tc>
        <w:tc>
          <w:tcPr>
            <w:tcW w:w="900" w:type="dxa"/>
            <w:vAlign w:val="bottom"/>
          </w:tcPr>
          <w:p>
            <w:pPr>
              <w:jc w:val="right"/>
              <w:ind w:right="354"/>
              <w:spacing w:after="0"/>
              <w:rPr>
                <w:sz w:val="20"/>
                <w:szCs w:val="20"/>
                <w:color w:val="auto"/>
              </w:rPr>
            </w:pPr>
            <w:r>
              <w:rPr>
                <w:rFonts w:ascii="Arial" w:cs="Arial" w:eastAsia="Arial" w:hAnsi="Arial"/>
                <w:sz w:val="15"/>
                <w:szCs w:val="15"/>
                <w:b w:val="1"/>
                <w:bCs w:val="1"/>
                <w:color w:val="auto"/>
              </w:rPr>
              <w:t>2013</w:t>
            </w:r>
          </w:p>
        </w:tc>
        <w:tc>
          <w:tcPr>
            <w:tcW w:w="900" w:type="dxa"/>
            <w:vAlign w:val="bottom"/>
          </w:tcPr>
          <w:p>
            <w:pPr>
              <w:jc w:val="right"/>
              <w:ind w:right="354"/>
              <w:spacing w:after="0"/>
              <w:rPr>
                <w:sz w:val="20"/>
                <w:szCs w:val="20"/>
                <w:color w:val="auto"/>
              </w:rPr>
            </w:pPr>
            <w:r>
              <w:rPr>
                <w:rFonts w:ascii="Arial" w:cs="Arial" w:eastAsia="Arial" w:hAnsi="Arial"/>
                <w:sz w:val="15"/>
                <w:szCs w:val="15"/>
                <w:b w:val="1"/>
                <w:bCs w:val="1"/>
                <w:color w:val="auto"/>
              </w:rPr>
              <w:t>2014</w:t>
            </w:r>
          </w:p>
        </w:tc>
        <w:tc>
          <w:tcPr>
            <w:tcW w:w="900" w:type="dxa"/>
            <w:vAlign w:val="bottom"/>
          </w:tcPr>
          <w:p>
            <w:pPr>
              <w:jc w:val="right"/>
              <w:ind w:right="354"/>
              <w:spacing w:after="0"/>
              <w:rPr>
                <w:sz w:val="20"/>
                <w:szCs w:val="20"/>
                <w:color w:val="auto"/>
              </w:rPr>
            </w:pPr>
            <w:r>
              <w:rPr>
                <w:rFonts w:ascii="Arial" w:cs="Arial" w:eastAsia="Arial" w:hAnsi="Arial"/>
                <w:sz w:val="15"/>
                <w:szCs w:val="15"/>
                <w:b w:val="1"/>
                <w:bCs w:val="1"/>
                <w:color w:val="auto"/>
              </w:rPr>
              <w:t>2015</w:t>
            </w:r>
          </w:p>
        </w:tc>
        <w:tc>
          <w:tcPr>
            <w:tcW w:w="920" w:type="dxa"/>
            <w:vAlign w:val="bottom"/>
          </w:tcPr>
          <w:p>
            <w:pPr>
              <w:jc w:val="right"/>
              <w:ind w:right="354"/>
              <w:spacing w:after="0"/>
              <w:rPr>
                <w:sz w:val="20"/>
                <w:szCs w:val="20"/>
                <w:color w:val="auto"/>
              </w:rPr>
            </w:pPr>
            <w:r>
              <w:rPr>
                <w:rFonts w:ascii="Arial" w:cs="Arial" w:eastAsia="Arial" w:hAnsi="Arial"/>
                <w:sz w:val="15"/>
                <w:szCs w:val="15"/>
                <w:b w:val="1"/>
                <w:bCs w:val="1"/>
                <w:color w:val="auto"/>
              </w:rPr>
              <w:t>2016</w:t>
            </w:r>
          </w:p>
        </w:tc>
        <w:tc>
          <w:tcPr>
            <w:tcW w:w="760" w:type="dxa"/>
            <w:vAlign w:val="bottom"/>
          </w:tcPr>
          <w:p>
            <w:pPr>
              <w:jc w:val="right"/>
              <w:ind w:right="217"/>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loss</w:t>
            </w:r>
          </w:p>
        </w:tc>
        <w:tc>
          <w:tcPr>
            <w:tcW w:w="10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and loss</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expenses, net of</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reinsurance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recoverables</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4,799</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5,823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6,001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7,280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8,520</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12,065</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17,139</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21,663</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23,170</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25,960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32,051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Net reserve</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estimated as of</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One year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5,430</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6,119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6,235</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7,483</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9,261</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13,886</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18,903</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21,200</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23,107</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25,899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Two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5,867</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6,609</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6,393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8,289</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11,022</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16,875</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18,332</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21,501</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24,413</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8"/>
              </w:rPr>
              <w:t>Three years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6,433</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6,729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6,486</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9,170</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12,968</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16,624</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18,687</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22,576</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Four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6,569</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6,711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7,182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10,128</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12,552</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16,767</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19,386</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Five years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6,683</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7,261</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7,766</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9,925</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12,440</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16,985</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Six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7,245</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7,727</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7,602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9,932</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12,367</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5"/>
              </w:rPr>
              <w:t>Seven years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7,721</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7,554</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7,615</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9,779</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Eight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7,568</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7,511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7,455</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Nine years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7,527</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7,330</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Ten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7,347</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Net cumulative</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redundancy</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(deficiency)</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(2,548)</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(1,507)</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(1,454)</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(2,499)</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(3,847)</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(4,920)</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(2,247)</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(913)</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(1,243)</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61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97"/>
              </w:rPr>
              <w:t>(in thousands of</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53"/>
              <w:spacing w:after="0"/>
              <w:rPr>
                <w:sz w:val="20"/>
                <w:szCs w:val="20"/>
                <w:color w:val="auto"/>
              </w:rPr>
            </w:pPr>
            <w:r>
              <w:rPr>
                <w:rFonts w:ascii="Arial" w:cs="Arial" w:eastAsia="Arial" w:hAnsi="Arial"/>
                <w:sz w:val="15"/>
                <w:szCs w:val="15"/>
                <w:b w:val="1"/>
                <w:bCs w:val="1"/>
                <w:color w:val="auto"/>
              </w:rPr>
              <w:t>2007</w:t>
            </w:r>
          </w:p>
        </w:tc>
        <w:tc>
          <w:tcPr>
            <w:tcW w:w="920" w:type="dxa"/>
            <w:vAlign w:val="bottom"/>
          </w:tcPr>
          <w:p>
            <w:pPr>
              <w:jc w:val="right"/>
              <w:ind w:right="353"/>
              <w:spacing w:after="0"/>
              <w:rPr>
                <w:sz w:val="20"/>
                <w:szCs w:val="20"/>
                <w:color w:val="auto"/>
              </w:rPr>
            </w:pPr>
            <w:r>
              <w:rPr>
                <w:rFonts w:ascii="Arial" w:cs="Arial" w:eastAsia="Arial" w:hAnsi="Arial"/>
                <w:sz w:val="15"/>
                <w:szCs w:val="15"/>
                <w:b w:val="1"/>
                <w:bCs w:val="1"/>
                <w:color w:val="auto"/>
              </w:rPr>
              <w:t>2008</w:t>
            </w:r>
          </w:p>
        </w:tc>
        <w:tc>
          <w:tcPr>
            <w:tcW w:w="920" w:type="dxa"/>
            <w:vAlign w:val="bottom"/>
          </w:tcPr>
          <w:p>
            <w:pPr>
              <w:jc w:val="right"/>
              <w:ind w:right="373"/>
              <w:spacing w:after="0"/>
              <w:rPr>
                <w:sz w:val="20"/>
                <w:szCs w:val="20"/>
                <w:color w:val="auto"/>
              </w:rPr>
            </w:pPr>
            <w:r>
              <w:rPr>
                <w:rFonts w:ascii="Arial" w:cs="Arial" w:eastAsia="Arial" w:hAnsi="Arial"/>
                <w:sz w:val="15"/>
                <w:szCs w:val="15"/>
                <w:b w:val="1"/>
                <w:bCs w:val="1"/>
                <w:color w:val="auto"/>
              </w:rPr>
              <w:t>2009</w:t>
            </w:r>
          </w:p>
        </w:tc>
        <w:tc>
          <w:tcPr>
            <w:tcW w:w="920" w:type="dxa"/>
            <w:vAlign w:val="bottom"/>
          </w:tcPr>
          <w:p>
            <w:pPr>
              <w:jc w:val="right"/>
              <w:ind w:right="373"/>
              <w:spacing w:after="0"/>
              <w:rPr>
                <w:sz w:val="20"/>
                <w:szCs w:val="20"/>
                <w:color w:val="auto"/>
              </w:rPr>
            </w:pPr>
            <w:r>
              <w:rPr>
                <w:rFonts w:ascii="Arial" w:cs="Arial" w:eastAsia="Arial" w:hAnsi="Arial"/>
                <w:sz w:val="15"/>
                <w:szCs w:val="15"/>
                <w:b w:val="1"/>
                <w:bCs w:val="1"/>
                <w:color w:val="auto"/>
              </w:rPr>
              <w:t>2010</w:t>
            </w:r>
          </w:p>
        </w:tc>
        <w:tc>
          <w:tcPr>
            <w:tcW w:w="900" w:type="dxa"/>
            <w:vAlign w:val="bottom"/>
          </w:tcPr>
          <w:p>
            <w:pPr>
              <w:jc w:val="right"/>
              <w:ind w:right="353"/>
              <w:spacing w:after="0"/>
              <w:rPr>
                <w:sz w:val="20"/>
                <w:szCs w:val="20"/>
                <w:color w:val="auto"/>
              </w:rPr>
            </w:pPr>
            <w:r>
              <w:rPr>
                <w:rFonts w:ascii="Arial" w:cs="Arial" w:eastAsia="Arial" w:hAnsi="Arial"/>
                <w:sz w:val="15"/>
                <w:szCs w:val="15"/>
                <w:b w:val="1"/>
                <w:bCs w:val="1"/>
                <w:color w:val="auto"/>
              </w:rPr>
              <w:t>2011</w:t>
            </w:r>
          </w:p>
        </w:tc>
        <w:tc>
          <w:tcPr>
            <w:tcW w:w="940" w:type="dxa"/>
            <w:vAlign w:val="bottom"/>
          </w:tcPr>
          <w:p>
            <w:pPr>
              <w:jc w:val="right"/>
              <w:ind w:right="374"/>
              <w:spacing w:after="0"/>
              <w:rPr>
                <w:sz w:val="20"/>
                <w:szCs w:val="20"/>
                <w:color w:val="auto"/>
              </w:rPr>
            </w:pPr>
            <w:r>
              <w:rPr>
                <w:rFonts w:ascii="Arial" w:cs="Arial" w:eastAsia="Arial" w:hAnsi="Arial"/>
                <w:sz w:val="15"/>
                <w:szCs w:val="15"/>
                <w:b w:val="1"/>
                <w:bCs w:val="1"/>
                <w:color w:val="auto"/>
              </w:rPr>
              <w:t>2012</w:t>
            </w:r>
          </w:p>
        </w:tc>
        <w:tc>
          <w:tcPr>
            <w:tcW w:w="900" w:type="dxa"/>
            <w:vAlign w:val="bottom"/>
          </w:tcPr>
          <w:p>
            <w:pPr>
              <w:jc w:val="right"/>
              <w:ind w:right="354"/>
              <w:spacing w:after="0"/>
              <w:rPr>
                <w:sz w:val="20"/>
                <w:szCs w:val="20"/>
                <w:color w:val="auto"/>
              </w:rPr>
            </w:pPr>
            <w:r>
              <w:rPr>
                <w:rFonts w:ascii="Arial" w:cs="Arial" w:eastAsia="Arial" w:hAnsi="Arial"/>
                <w:sz w:val="15"/>
                <w:szCs w:val="15"/>
                <w:b w:val="1"/>
                <w:bCs w:val="1"/>
                <w:color w:val="auto"/>
              </w:rPr>
              <w:t>2013</w:t>
            </w:r>
          </w:p>
        </w:tc>
        <w:tc>
          <w:tcPr>
            <w:tcW w:w="900" w:type="dxa"/>
            <w:vAlign w:val="bottom"/>
          </w:tcPr>
          <w:p>
            <w:pPr>
              <w:jc w:val="right"/>
              <w:ind w:right="354"/>
              <w:spacing w:after="0"/>
              <w:rPr>
                <w:sz w:val="20"/>
                <w:szCs w:val="20"/>
                <w:color w:val="auto"/>
              </w:rPr>
            </w:pPr>
            <w:r>
              <w:rPr>
                <w:rFonts w:ascii="Arial" w:cs="Arial" w:eastAsia="Arial" w:hAnsi="Arial"/>
                <w:sz w:val="15"/>
                <w:szCs w:val="15"/>
                <w:b w:val="1"/>
                <w:bCs w:val="1"/>
                <w:color w:val="auto"/>
              </w:rPr>
              <w:t>2014</w:t>
            </w:r>
          </w:p>
        </w:tc>
        <w:tc>
          <w:tcPr>
            <w:tcW w:w="900" w:type="dxa"/>
            <w:vAlign w:val="bottom"/>
          </w:tcPr>
          <w:p>
            <w:pPr>
              <w:jc w:val="right"/>
              <w:ind w:right="354"/>
              <w:spacing w:after="0"/>
              <w:rPr>
                <w:sz w:val="20"/>
                <w:szCs w:val="20"/>
                <w:color w:val="auto"/>
              </w:rPr>
            </w:pPr>
            <w:r>
              <w:rPr>
                <w:rFonts w:ascii="Arial" w:cs="Arial" w:eastAsia="Arial" w:hAnsi="Arial"/>
                <w:sz w:val="15"/>
                <w:szCs w:val="15"/>
                <w:b w:val="1"/>
                <w:bCs w:val="1"/>
                <w:color w:val="auto"/>
              </w:rPr>
              <w:t>2015</w:t>
            </w:r>
          </w:p>
        </w:tc>
        <w:tc>
          <w:tcPr>
            <w:tcW w:w="920" w:type="dxa"/>
            <w:vAlign w:val="bottom"/>
          </w:tcPr>
          <w:p>
            <w:pPr>
              <w:jc w:val="right"/>
              <w:ind w:right="354"/>
              <w:spacing w:after="0"/>
              <w:rPr>
                <w:sz w:val="20"/>
                <w:szCs w:val="20"/>
                <w:color w:val="auto"/>
              </w:rPr>
            </w:pPr>
            <w:r>
              <w:rPr>
                <w:rFonts w:ascii="Arial" w:cs="Arial" w:eastAsia="Arial" w:hAnsi="Arial"/>
                <w:sz w:val="15"/>
                <w:szCs w:val="15"/>
                <w:b w:val="1"/>
                <w:bCs w:val="1"/>
                <w:color w:val="auto"/>
              </w:rPr>
              <w:t>2016</w:t>
            </w:r>
          </w:p>
        </w:tc>
        <w:tc>
          <w:tcPr>
            <w:tcW w:w="760" w:type="dxa"/>
            <w:vAlign w:val="bottom"/>
          </w:tcPr>
          <w:p>
            <w:pPr>
              <w:jc w:val="right"/>
              <w:ind w:right="217"/>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Cumulative</w:t>
            </w:r>
          </w:p>
        </w:tc>
        <w:tc>
          <w:tcPr>
            <w:tcW w:w="10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2"/>
              </w:rPr>
              <w:t>amount of reserve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paid, net of</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reinsurance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recoverable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through</w:t>
            </w: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80" w:type="dxa"/>
            <w:vAlign w:val="bottom"/>
            <w:gridSpan w:val="2"/>
          </w:tcPr>
          <w:p>
            <w:pPr>
              <w:spacing w:after="0"/>
              <w:rPr>
                <w:sz w:val="20"/>
                <w:szCs w:val="20"/>
                <w:color w:val="auto"/>
              </w:rPr>
            </w:pPr>
            <w:r>
              <w:rPr>
                <w:rFonts w:ascii="Arial" w:cs="Arial" w:eastAsia="Arial" w:hAnsi="Arial"/>
                <w:sz w:val="18"/>
                <w:szCs w:val="18"/>
                <w:color w:val="auto"/>
              </w:rPr>
              <w:t>One year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1,855</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2,533</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2,307</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3,201</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3,237</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4,804</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6,156</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8,500</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8,503</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9,900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Two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3,339</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3,974</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3,992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4,947</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5,661</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8,833</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10,629</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12,853</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14,456</w:t>
            </w:r>
          </w:p>
        </w:tc>
        <w:tc>
          <w:tcPr>
            <w:tcW w:w="9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80" w:type="dxa"/>
            <w:vAlign w:val="bottom"/>
            <w:gridSpan w:val="2"/>
          </w:tcPr>
          <w:p>
            <w:pPr>
              <w:spacing w:after="0"/>
              <w:rPr>
                <w:sz w:val="20"/>
                <w:szCs w:val="20"/>
                <w:color w:val="auto"/>
              </w:rPr>
            </w:pPr>
            <w:r>
              <w:rPr>
                <w:rFonts w:ascii="Arial" w:cs="Arial" w:eastAsia="Arial" w:hAnsi="Arial"/>
                <w:sz w:val="18"/>
                <w:szCs w:val="18"/>
                <w:color w:val="auto"/>
                <w:w w:val="99"/>
              </w:rPr>
              <w:t>Three years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4,339</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5,054</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4,659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6,199</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8,221</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11,873</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13,571</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16,564</w:t>
            </w: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Four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5,146</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5,373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5,238</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7,737</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10,100</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13,785</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16,166</w:t>
            </w: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80" w:type="dxa"/>
            <w:vAlign w:val="bottom"/>
            <w:gridSpan w:val="2"/>
          </w:tcPr>
          <w:p>
            <w:pPr>
              <w:spacing w:after="0"/>
              <w:rPr>
                <w:sz w:val="20"/>
                <w:szCs w:val="20"/>
                <w:color w:val="auto"/>
              </w:rPr>
            </w:pPr>
            <w:r>
              <w:rPr>
                <w:rFonts w:ascii="Arial" w:cs="Arial" w:eastAsia="Arial" w:hAnsi="Arial"/>
                <w:sz w:val="18"/>
                <w:szCs w:val="18"/>
                <w:color w:val="auto"/>
              </w:rPr>
              <w:t>Five years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5,424</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5,717</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5,997</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8,585</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10,903</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15,479</w:t>
            </w: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Six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5,738</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6,224</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6,562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8,941</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11,417</w:t>
            </w:r>
          </w:p>
        </w:tc>
        <w:tc>
          <w:tcPr>
            <w:tcW w:w="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80" w:type="dxa"/>
            <w:vAlign w:val="bottom"/>
            <w:gridSpan w:val="2"/>
          </w:tcPr>
          <w:p>
            <w:pPr>
              <w:spacing w:after="0"/>
              <w:rPr>
                <w:sz w:val="20"/>
                <w:szCs w:val="20"/>
                <w:color w:val="auto"/>
              </w:rPr>
            </w:pPr>
            <w:r>
              <w:rPr>
                <w:rFonts w:ascii="Arial" w:cs="Arial" w:eastAsia="Arial" w:hAnsi="Arial"/>
                <w:sz w:val="18"/>
                <w:szCs w:val="18"/>
                <w:color w:val="auto"/>
                <w:w w:val="97"/>
              </w:rPr>
              <w:t>Seven years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6,247</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6,718</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6,749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9,275</w:t>
            </w: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Eight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6,740</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6,853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7,022</w:t>
            </w: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80" w:type="dxa"/>
            <w:vAlign w:val="bottom"/>
            <w:gridSpan w:val="2"/>
          </w:tcPr>
          <w:p>
            <w:pPr>
              <w:spacing w:after="0"/>
              <w:rPr>
                <w:sz w:val="20"/>
                <w:szCs w:val="20"/>
                <w:color w:val="auto"/>
              </w:rPr>
            </w:pPr>
            <w:r>
              <w:rPr>
                <w:rFonts w:ascii="Arial" w:cs="Arial" w:eastAsia="Arial" w:hAnsi="Arial"/>
                <w:sz w:val="18"/>
                <w:szCs w:val="18"/>
                <w:color w:val="auto"/>
              </w:rPr>
              <w:t>Nine years later</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6,875</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7,103</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Ten years later</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7,123</w:t>
            </w: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Net reserve -</w:t>
            </w:r>
          </w:p>
        </w:tc>
        <w:tc>
          <w:tcPr>
            <w:tcW w:w="10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December 31,</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4,799</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5,823</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6,001</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7,280</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8,520</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12,065</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17,139</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21,663</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23,170</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25,960</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32,051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 Reinsurance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Recoverable</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6,693</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9,766</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10,512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10,432</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9,960</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18,420</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17,364</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18,250</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16,707</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15,777</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2"/>
              </w:rPr>
              <w:t>* Gross reserves -</w:t>
            </w:r>
          </w:p>
        </w:tc>
        <w:tc>
          <w:tcPr>
            <w:tcW w:w="1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11,492</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15,589</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16,513</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17,712</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18,480</w:t>
            </w:r>
          </w:p>
        </w:tc>
        <w:tc>
          <w:tcPr>
            <w:tcW w:w="9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30,485</w:t>
            </w: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34,503</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39,913</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39,877</w:t>
            </w:r>
          </w:p>
        </w:tc>
        <w:tc>
          <w:tcPr>
            <w:tcW w:w="9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41,737</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48,800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Net re-estimated</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reserve</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7,347</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7,330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7,455</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9,779</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12,367</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16,985</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19,386</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22,576</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24,413</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25,899</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Re-estimated</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reinsurance</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80" w:type="dxa"/>
            <w:vAlign w:val="bottom"/>
            <w:gridSpan w:val="2"/>
          </w:tcPr>
          <w:p>
            <w:pPr>
              <w:spacing w:after="0"/>
              <w:rPr>
                <w:sz w:val="20"/>
                <w:szCs w:val="20"/>
                <w:color w:val="auto"/>
              </w:rPr>
            </w:pPr>
            <w:r>
              <w:rPr>
                <w:rFonts w:ascii="Arial" w:cs="Arial" w:eastAsia="Arial" w:hAnsi="Arial"/>
                <w:sz w:val="18"/>
                <w:szCs w:val="18"/>
                <w:color w:val="auto"/>
              </w:rPr>
              <w:t>recoverable</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10,896</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12,589</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12,642</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13,280</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13,881</w:t>
            </w: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28,337</w:t>
            </w: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20,740</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20,280</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17,663</w:t>
            </w: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16,221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Gross re-estimated</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18,243</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19,919</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20,097</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23,059</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26,248</w:t>
            </w:r>
          </w:p>
        </w:tc>
        <w:tc>
          <w:tcPr>
            <w:tcW w:w="9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45,322</w:t>
            </w: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40,126</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42,856</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42,076</w:t>
            </w:r>
          </w:p>
        </w:tc>
        <w:tc>
          <w:tcPr>
            <w:tcW w:w="9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42,120</w:t>
            </w:r>
          </w:p>
        </w:tc>
        <w:tc>
          <w:tcPr>
            <w:tcW w:w="7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6"/>
              </w:rPr>
              <w:t>Gross cumulative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redundancy</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(deficiency)</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(6,751)</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(4,330)</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(3,584)</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(5,347)</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(7,768)</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(14,837)</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(5,623)</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(2,943)</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(2,199)</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(383)</w:t>
            </w:r>
          </w:p>
        </w:tc>
        <w:tc>
          <w:tcPr>
            <w:tcW w:w="7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60" w:firstLine="692"/>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 – Factors That May Affect Future Results and Financial Condition” in Item 7 of this Annual Report.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jc w:val="both"/>
        <w:ind w:right="380" w:firstLine="648"/>
        <w:spacing w:after="0" w:line="306" w:lineRule="auto"/>
        <w:rPr>
          <w:sz w:val="20"/>
          <w:szCs w:val="20"/>
          <w:color w:val="auto"/>
        </w:rPr>
      </w:pPr>
      <w:r>
        <w:rPr>
          <w:rFonts w:ascii="Arial" w:cs="Arial" w:eastAsia="Arial" w:hAnsi="Arial"/>
          <w:sz w:val="16"/>
          <w:szCs w:val="16"/>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w:t>
      </w:r>
    </w:p>
    <w:p>
      <w:pPr>
        <w:spacing w:after="0" w:line="161"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color w:val="auto"/>
        </w:rPr>
        <w:t>Reinsurance via quota share allows for a carrier to write business without increasing its underwriting leverage above a ratio determined by management. The business written under a quota share reinsurance structure obligates a reinsurer to assume some portion of the risks involved, and gives the reinsurer the profit (or loss) associated with such in exchange for a ceding commission. We have determined it to be in the best interests of our shareholders to prudently reduce our reliance on quota share reinsurance. This will result in higher earned premiums and a reduction in ceding commission revenue in future years, but will allow us to retain more net income from our profitable business.</w:t>
      </w:r>
    </w:p>
    <w:p>
      <w:pPr>
        <w:spacing w:after="0" w:line="17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Our quota share reinsurance treaties in effect for the year ended December 31, 2017 for our personal lines business, which primarily consists of homeowners policies, were covered under the July 1, 2016/June 30, 2017 treaty year (“2016/2017 Treaty”) and July 1, 2017/June 30, 2018 treaty year (“2017/2019 Treaty”) (two year treaty). The expired 2016/2017 Treaty was at a 40% quota share percentage and the current 2017/2019 Treaty is at a 20% quota share percentage.</w:t>
      </w:r>
    </w:p>
    <w:p>
      <w:pPr>
        <w:spacing w:after="0" w:line="197" w:lineRule="exact"/>
        <w:rPr>
          <w:sz w:val="20"/>
          <w:szCs w:val="20"/>
          <w:color w:val="auto"/>
        </w:rPr>
      </w:pPr>
    </w:p>
    <w:p>
      <w:pPr>
        <w:ind w:firstLine="692"/>
        <w:spacing w:after="0" w:line="318" w:lineRule="auto"/>
        <w:rPr>
          <w:sz w:val="20"/>
          <w:szCs w:val="20"/>
          <w:color w:val="auto"/>
        </w:rPr>
      </w:pPr>
      <w:r>
        <w:rPr>
          <w:rFonts w:ascii="Arial" w:cs="Arial" w:eastAsia="Arial" w:hAnsi="Arial"/>
          <w:sz w:val="15"/>
          <w:szCs w:val="15"/>
          <w:color w:val="auto"/>
        </w:rPr>
        <w:t>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quota share and excess of loss treaties for any one personal lines occurrence for dates of loss on or after July 1, 2017 is $800,000. Commercial lines policies are not subject to a quota share reinsurance treaty. Our maximum net retention under the excess of loss treaties for any one commercial general liability occurrence for dates of loss on or after July 1, 2017 is $750,000.</w:t>
      </w:r>
    </w:p>
    <w:p>
      <w:pPr>
        <w:spacing w:after="0" w:line="154"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We earn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provides minimum and maximum ceding commission rates in relation to specified ultimate loss ratios.</w:t>
      </w:r>
    </w:p>
    <w:p>
      <w:pPr>
        <w:spacing w:after="0" w:line="194"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Under the 2017/2019 Treaty and 2016/2017 Treaty, KICO is receiving a higher upfront fixed provisional rate than in prior years’ treaties. In exchange for the higher provisional rate, KICO has a reduced opportunity to earn sliding scale contingent commissions.</w:t>
      </w:r>
    </w:p>
    <w:p>
      <w:pPr>
        <w:spacing w:after="0" w:line="18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2017/2019 Treaty and the 2016/2017 Treaty are on a “net” of catastrophe reinsurance basis, as opposed to the “gross” arrangement that existed in prior treaties. Under a “net” arrangement, all catastrophe reinsurance coverage is purchased directly by us. Since we pay for all of the catastrophe coverage, none of the losses covered under a catastrophic event will be included in the quota share ceded amounts, drastically reducing the adverse impact that a catastrophic event can have on ceding commissions.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jc w:val="both"/>
        <w:ind w:right="360" w:firstLine="648"/>
        <w:spacing w:after="0" w:line="303" w:lineRule="auto"/>
        <w:rPr>
          <w:sz w:val="20"/>
          <w:szCs w:val="20"/>
          <w:color w:val="auto"/>
        </w:rPr>
      </w:pPr>
      <w:r>
        <w:rPr>
          <w:rFonts w:ascii="Arial" w:cs="Arial" w:eastAsia="Arial" w:hAnsi="Arial"/>
          <w:sz w:val="15"/>
          <w:szCs w:val="15"/>
          <w:color w:val="auto"/>
        </w:rPr>
        <w:t>In 2017, we purchased catastrophe reinsurance to provide coverage of up to $320,000,000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one-in-250 year storm event. The direct retention for any single catastrophe event is $5,000,000.</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Effective July 1, 2017 losses on personal lines policies are subject to the 20% quota share treaty, which results in a net retention by us of $4,000,000 of exposure per catastrophe occurrence. Effective July 1, 2017, we have reinstatement premium protection on the first $145,000,000 layer of catastrophe coverage in excess of $5,000,000. This protects us from having to pay an additional premium to reinstate catastrophe coverage for an event up to this level.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Our investment portfolio, including cash and cash equivalents, and short term investments, as of December 31, 2017 and 2016, is summarized in the table below by type of investment.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2740" w:type="dxa"/>
            <w:vAlign w:val="bottom"/>
            <w:tcBorders>
              <w:bottom w:val="single" w:sz="8" w:color="auto"/>
            </w:tcBorders>
            <w:gridSpan w:val="2"/>
          </w:tcPr>
          <w:p>
            <w:pPr>
              <w:ind w:left="380"/>
              <w:spacing w:after="0"/>
              <w:rPr>
                <w:sz w:val="20"/>
                <w:szCs w:val="20"/>
                <w:color w:val="auto"/>
              </w:rPr>
            </w:pPr>
            <w:r>
              <w:rPr>
                <w:rFonts w:ascii="Arial" w:cs="Arial" w:eastAsia="Arial" w:hAnsi="Arial"/>
                <w:sz w:val="22"/>
                <w:szCs w:val="22"/>
                <w:b w:val="1"/>
                <w:bCs w:val="1"/>
                <w:color w:val="auto"/>
              </w:rPr>
              <w:t>December 31, 2017</w:t>
            </w:r>
          </w:p>
        </w:tc>
        <w:tc>
          <w:tcPr>
            <w:tcW w:w="2720" w:type="dxa"/>
            <w:vAlign w:val="bottom"/>
            <w:tcBorders>
              <w:bottom w:val="single" w:sz="8" w:color="auto"/>
            </w:tcBorders>
            <w:gridSpan w:val="2"/>
          </w:tcPr>
          <w:p>
            <w:pPr>
              <w:ind w:left="380"/>
              <w:spacing w:after="0"/>
              <w:rPr>
                <w:sz w:val="20"/>
                <w:szCs w:val="20"/>
                <w:color w:val="auto"/>
              </w:rPr>
            </w:pPr>
            <w:r>
              <w:rPr>
                <w:rFonts w:ascii="Arial" w:cs="Arial" w:eastAsia="Arial" w:hAnsi="Arial"/>
                <w:sz w:val="22"/>
                <w:szCs w:val="22"/>
                <w:b w:val="1"/>
                <w:bCs w:val="1"/>
                <w:color w:val="auto"/>
              </w:rPr>
              <w:t>December 31, 2016</w:t>
            </w:r>
          </w:p>
        </w:tc>
      </w:tr>
      <w:tr>
        <w:trPr>
          <w:trHeight w:val="216"/>
        </w:trPr>
        <w:tc>
          <w:tcPr>
            <w:tcW w:w="138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95"/>
              </w:rPr>
              <w:t>Carrying</w:t>
            </w:r>
          </w:p>
        </w:tc>
        <w:tc>
          <w:tcPr>
            <w:tcW w:w="136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98"/>
              </w:rPr>
              <w:t>% of</w:t>
            </w:r>
          </w:p>
        </w:tc>
        <w:tc>
          <w:tcPr>
            <w:tcW w:w="138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92"/>
              </w:rPr>
              <w:t>Carrying</w:t>
            </w:r>
          </w:p>
        </w:tc>
        <w:tc>
          <w:tcPr>
            <w:tcW w:w="134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94"/>
              </w:rPr>
              <w:t>% of</w:t>
            </w:r>
          </w:p>
        </w:tc>
      </w:tr>
      <w:tr>
        <w:trPr>
          <w:trHeight w:val="271"/>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90"/>
              </w:rPr>
              <w:t>Portfolio</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c>
          <w:tcPr>
            <w:tcW w:w="1340" w:type="dxa"/>
            <w:vAlign w:val="bottom"/>
          </w:tcPr>
          <w:p>
            <w:pPr>
              <w:jc w:val="center"/>
              <w:spacing w:after="0"/>
              <w:rPr>
                <w:sz w:val="20"/>
                <w:szCs w:val="20"/>
                <w:color w:val="auto"/>
              </w:rPr>
            </w:pPr>
            <w:r>
              <w:rPr>
                <w:rFonts w:ascii="Arial" w:cs="Arial" w:eastAsia="Arial" w:hAnsi="Arial"/>
                <w:sz w:val="22"/>
                <w:szCs w:val="22"/>
                <w:b w:val="1"/>
                <w:bCs w:val="1"/>
                <w:color w:val="auto"/>
                <w:w w:val="90"/>
              </w:rPr>
              <w:t>Portfolio</w:t>
            </w:r>
          </w:p>
        </w:tc>
      </w:tr>
    </w:tbl>
    <w:p>
      <w:pPr>
        <w:spacing w:after="0" w:line="1" w:lineRule="exact"/>
        <w:rPr>
          <w:sz w:val="20"/>
          <w:szCs w:val="20"/>
          <w:color w:val="auto"/>
        </w:rPr>
      </w:pPr>
    </w:p>
    <w:p>
      <w:pPr>
        <w:sectPr>
          <w:pgSz w:w="11900" w:h="16838" w:orient="portrait"/>
          <w:cols w:equalWidth="0" w:num="2">
            <w:col w:w="5240" w:space="720"/>
            <w:col w:w="546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300" w:type="dxa"/>
            <w:vAlign w:val="bottom"/>
            <w:tcBorders>
              <w:top w:val="single" w:sz="8" w:color="auto"/>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48,381,633</w:t>
            </w:r>
          </w:p>
        </w:tc>
        <w:tc>
          <w:tcPr>
            <w:tcW w:w="108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12,044,520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Arial" w:cs="Arial" w:eastAsia="Arial" w:hAnsi="Arial"/>
                <w:sz w:val="18"/>
                <w:szCs w:val="18"/>
                <w:color w:val="auto"/>
              </w:rPr>
              <w:t>Held to maturity</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 and</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obligations of U.S. government</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corporations and agencies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729,466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606,427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 of states,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territories and possessions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998,984</w:t>
            </w: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1,349,916</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Corporate and other bonds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 and miscellaneous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3,141,358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3,138,559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 for sale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Political subdivisions of states,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territories and possessions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11,315,443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8,205,888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 bonds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Industrial and miscellaneous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88,141,465</w:t>
            </w:r>
          </w:p>
        </w:tc>
        <w:tc>
          <w:tcPr>
            <w:tcW w:w="108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53,685,189</w:t>
            </w:r>
          </w:p>
        </w:tc>
        <w:tc>
          <w:tcPr>
            <w:tcW w:w="1020" w:type="dxa"/>
            <w:vAlign w:val="bottom"/>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300" w:type="dxa"/>
            <w:vAlign w:val="bottom"/>
          </w:tcPr>
          <w:p>
            <w:pPr>
              <w:ind w:left="220"/>
              <w:spacing w:after="0"/>
              <w:rPr>
                <w:sz w:val="20"/>
                <w:szCs w:val="20"/>
                <w:color w:val="auto"/>
              </w:rPr>
            </w:pPr>
            <w:r>
              <w:rPr>
                <w:rFonts w:ascii="Arial" w:cs="Arial" w:eastAsia="Arial" w:hAnsi="Arial"/>
                <w:sz w:val="18"/>
                <w:szCs w:val="18"/>
                <w:color w:val="auto"/>
              </w:rPr>
              <w:t>Residential mortgage backed securities</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20,531,348</w:t>
            </w: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18,537,751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Preferred stocks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7,000,941</w:t>
            </w: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5,685,001</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Common stocks</w:t>
            </w:r>
          </w:p>
        </w:tc>
        <w:tc>
          <w:tcPr>
            <w:tcW w:w="1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7,285,257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4,302,685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1"/>
              </w:rPr>
              <w:t>187,525,895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1"/>
              </w:rPr>
              <w:t>107,555,936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430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jc w:val="right"/>
              <w:ind w:right="72"/>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credit quality of our fixed-maturity securities available-for-sale as of December 31, 2017 and 2016 as rated by Standard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Poor’s (or if unavailable from Standard and Poor’s, then Moody’s or Fitch):</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b w:val="1"/>
                <w:bCs w:val="1"/>
                <w:color w:val="auto"/>
              </w:rPr>
              <w:t>December 31, 2017</w:t>
            </w: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b w:val="1"/>
                <w:bCs w:val="1"/>
                <w:color w:val="auto"/>
              </w:rPr>
              <w:t>December 31, 2016</w:t>
            </w:r>
          </w:p>
        </w:tc>
        <w:tc>
          <w:tcPr>
            <w:tcW w:w="1660" w:type="dxa"/>
            <w:vAlign w:val="bottom"/>
            <w:tcBorders>
              <w:bottom w:val="single" w:sz="8" w:color="auto"/>
            </w:tcBorders>
          </w:tcPr>
          <w:p>
            <w:pPr>
              <w:spacing w:after="0"/>
              <w:rPr>
                <w:sz w:val="15"/>
                <w:szCs w:val="15"/>
                <w:color w:val="auto"/>
              </w:rPr>
            </w:pPr>
          </w:p>
        </w:tc>
      </w:tr>
      <w:tr>
        <w:trPr>
          <w:trHeight w:val="260"/>
        </w:trPr>
        <w:tc>
          <w:tcPr>
            <w:tcW w:w="2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86"/>
              </w:rPr>
              <w:t>Percentage of</w:t>
            </w: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60" w:type="dxa"/>
            <w:vAlign w:val="bottom"/>
          </w:tcPr>
          <w:p>
            <w:pPr>
              <w:jc w:val="center"/>
              <w:ind w:right="514"/>
              <w:spacing w:after="0"/>
              <w:rPr>
                <w:sz w:val="20"/>
                <w:szCs w:val="20"/>
                <w:color w:val="auto"/>
              </w:rPr>
            </w:pPr>
            <w:r>
              <w:rPr>
                <w:rFonts w:ascii="Arial" w:cs="Arial" w:eastAsia="Arial" w:hAnsi="Arial"/>
                <w:sz w:val="15"/>
                <w:szCs w:val="15"/>
                <w:b w:val="1"/>
                <w:bCs w:val="1"/>
                <w:color w:val="auto"/>
                <w:w w:val="86"/>
              </w:rPr>
              <w:t>Percentage of</w:t>
            </w:r>
          </w:p>
        </w:tc>
      </w:tr>
      <w:tr>
        <w:trPr>
          <w:trHeight w:val="243"/>
        </w:trPr>
        <w:tc>
          <w:tcPr>
            <w:tcW w:w="2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60" w:type="dxa"/>
            <w:vAlign w:val="bottom"/>
          </w:tcPr>
          <w:p>
            <w:pPr>
              <w:jc w:val="right"/>
              <w:ind w:right="1274"/>
              <w:spacing w:after="0"/>
              <w:rPr>
                <w:sz w:val="20"/>
                <w:szCs w:val="20"/>
                <w:color w:val="auto"/>
              </w:rPr>
            </w:pPr>
            <w:r>
              <w:rPr>
                <w:rFonts w:ascii="Arial" w:cs="Arial" w:eastAsia="Arial" w:hAnsi="Arial"/>
                <w:sz w:val="15"/>
                <w:szCs w:val="15"/>
                <w:b w:val="1"/>
                <w:bCs w:val="1"/>
                <w:color w:val="auto"/>
              </w:rPr>
              <w:t>Fair Market</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7"/>
              </w:rPr>
              <w:t>Fair Market</w:t>
            </w: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60" w:type="dxa"/>
            <w:vAlign w:val="bottom"/>
          </w:tcPr>
          <w:p>
            <w:pPr>
              <w:jc w:val="right"/>
              <w:ind w:right="1274"/>
              <w:spacing w:after="0"/>
              <w:rPr>
                <w:sz w:val="20"/>
                <w:szCs w:val="20"/>
                <w:color w:val="auto"/>
              </w:rPr>
            </w:pPr>
            <w:r>
              <w:rPr>
                <w:rFonts w:ascii="Arial" w:cs="Arial" w:eastAsia="Arial" w:hAnsi="Arial"/>
                <w:sz w:val="15"/>
                <w:szCs w:val="15"/>
                <w:b w:val="1"/>
                <w:bCs w:val="1"/>
                <w:color w:val="auto"/>
              </w:rPr>
              <w:t>Fair Market</w:t>
            </w:r>
          </w:p>
        </w:tc>
        <w:tc>
          <w:tcPr>
            <w:tcW w:w="1660" w:type="dxa"/>
            <w:vAlign w:val="bottom"/>
          </w:tcPr>
          <w:p>
            <w:pPr>
              <w:jc w:val="center"/>
              <w:ind w:right="514"/>
              <w:spacing w:after="0"/>
              <w:rPr>
                <w:sz w:val="20"/>
                <w:szCs w:val="20"/>
                <w:color w:val="auto"/>
              </w:rPr>
            </w:pPr>
            <w:r>
              <w:rPr>
                <w:rFonts w:ascii="Arial" w:cs="Arial" w:eastAsia="Arial" w:hAnsi="Arial"/>
                <w:sz w:val="15"/>
                <w:szCs w:val="15"/>
                <w:b w:val="1"/>
                <w:bCs w:val="1"/>
                <w:color w:val="auto"/>
                <w:w w:val="97"/>
              </w:rPr>
              <w:t>Fair Market</w:t>
            </w:r>
          </w:p>
        </w:tc>
      </w:tr>
      <w:tr>
        <w:trPr>
          <w:trHeight w:val="233"/>
        </w:trPr>
        <w:tc>
          <w:tcPr>
            <w:tcW w:w="2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494"/>
              <w:spacing w:after="0"/>
              <w:rPr>
                <w:sz w:val="20"/>
                <w:szCs w:val="20"/>
                <w:color w:val="auto"/>
              </w:rPr>
            </w:pPr>
            <w:r>
              <w:rPr>
                <w:rFonts w:ascii="Arial" w:cs="Arial" w:eastAsia="Arial" w:hAnsi="Arial"/>
                <w:sz w:val="15"/>
                <w:szCs w:val="15"/>
                <w:b w:val="1"/>
                <w:bCs w:val="1"/>
                <w:color w:val="auto"/>
              </w:rPr>
              <w:t>Value</w:t>
            </w:r>
          </w:p>
        </w:tc>
        <w:tc>
          <w:tcPr>
            <w:tcW w:w="1000" w:type="dxa"/>
            <w:vAlign w:val="bottom"/>
            <w:tcBorders>
              <w:bottom w:val="single" w:sz="8" w:color="auto"/>
            </w:tcBorders>
          </w:tcPr>
          <w:p>
            <w:pPr>
              <w:jc w:val="center"/>
              <w:ind w:left="6"/>
              <w:spacing w:after="0"/>
              <w:rPr>
                <w:sz w:val="20"/>
                <w:szCs w:val="20"/>
                <w:color w:val="auto"/>
              </w:rPr>
            </w:pPr>
            <w:r>
              <w:rPr>
                <w:rFonts w:ascii="Arial" w:cs="Arial" w:eastAsia="Arial" w:hAnsi="Arial"/>
                <w:sz w:val="15"/>
                <w:szCs w:val="15"/>
                <w:b w:val="1"/>
                <w:bCs w:val="1"/>
                <w:color w:val="auto"/>
                <w:w w:val="89"/>
              </w:rPr>
              <w:t>Value</w:t>
            </w:r>
          </w:p>
        </w:tc>
        <w:tc>
          <w:tcPr>
            <w:tcW w:w="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474"/>
              <w:spacing w:after="0"/>
              <w:rPr>
                <w:sz w:val="20"/>
                <w:szCs w:val="20"/>
                <w:color w:val="auto"/>
              </w:rPr>
            </w:pPr>
            <w:r>
              <w:rPr>
                <w:rFonts w:ascii="Arial" w:cs="Arial" w:eastAsia="Arial" w:hAnsi="Arial"/>
                <w:sz w:val="15"/>
                <w:szCs w:val="15"/>
                <w:b w:val="1"/>
                <w:bCs w:val="1"/>
                <w:color w:val="auto"/>
              </w:rPr>
              <w:t>Value</w:t>
            </w:r>
          </w:p>
        </w:tc>
        <w:tc>
          <w:tcPr>
            <w:tcW w:w="1660" w:type="dxa"/>
            <w:vAlign w:val="bottom"/>
            <w:tcBorders>
              <w:bottom w:val="single" w:sz="8" w:color="auto"/>
            </w:tcBorders>
          </w:tcPr>
          <w:p>
            <w:pPr>
              <w:jc w:val="center"/>
              <w:ind w:right="494"/>
              <w:spacing w:after="0"/>
              <w:rPr>
                <w:sz w:val="20"/>
                <w:szCs w:val="20"/>
                <w:color w:val="auto"/>
              </w:rPr>
            </w:pPr>
            <w:r>
              <w:rPr>
                <w:rFonts w:ascii="Arial" w:cs="Arial" w:eastAsia="Arial" w:hAnsi="Arial"/>
                <w:sz w:val="15"/>
                <w:szCs w:val="15"/>
                <w:b w:val="1"/>
                <w:bCs w:val="1"/>
                <w:color w:val="auto"/>
                <w:w w:val="89"/>
              </w:rPr>
              <w:t>Value</w:t>
            </w:r>
          </w:p>
        </w:tc>
      </w:tr>
      <w:tr>
        <w:trPr>
          <w:trHeight w:val="243"/>
        </w:trPr>
        <w:tc>
          <w:tcPr>
            <w:tcW w:w="2300" w:type="dxa"/>
            <w:vAlign w:val="bottom"/>
            <w:shd w:val="clear" w:color="auto" w:fill="CCEEFF"/>
          </w:tcPr>
          <w:p>
            <w:pPr>
              <w:ind w:left="60"/>
              <w:spacing w:after="0" w:line="243" w:lineRule="exact"/>
              <w:rPr>
                <w:sz w:val="20"/>
                <w:szCs w:val="20"/>
                <w:color w:val="auto"/>
              </w:rPr>
            </w:pPr>
            <w:r>
              <w:rPr>
                <w:rFonts w:ascii="Arial" w:cs="Arial" w:eastAsia="Arial" w:hAnsi="Arial"/>
                <w:sz w:val="22"/>
                <w:szCs w:val="22"/>
                <w:b w:val="1"/>
                <w:bCs w:val="1"/>
                <w:color w:val="auto"/>
              </w:rPr>
              <w:t>Rating</w:t>
            </w:r>
          </w:p>
        </w:tc>
        <w:tc>
          <w:tcPr>
            <w:tcW w:w="54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50"/>
        </w:trPr>
        <w:tc>
          <w:tcPr>
            <w:tcW w:w="23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w:t>
            </w: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41"/>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Corporate and municipal bonds</w:t>
            </w:r>
          </w:p>
        </w:tc>
        <w:tc>
          <w:tcPr>
            <w:tcW w:w="54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45"/>
        </w:trPr>
        <w:tc>
          <w:tcPr>
            <w:tcW w:w="23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42"/>
        </w:trPr>
        <w:tc>
          <w:tcPr>
            <w:tcW w:w="2300" w:type="dxa"/>
            <w:vAlign w:val="bottom"/>
          </w:tcPr>
          <w:p>
            <w:pPr>
              <w:ind w:left="380"/>
              <w:spacing w:after="0"/>
              <w:rPr>
                <w:sz w:val="20"/>
                <w:szCs w:val="20"/>
                <w:color w:val="auto"/>
              </w:rPr>
            </w:pPr>
            <w:r>
              <w:rPr>
                <w:rFonts w:ascii="Arial" w:cs="Arial" w:eastAsia="Arial" w:hAnsi="Arial"/>
                <w:sz w:val="18"/>
                <w:szCs w:val="18"/>
                <w:color w:val="auto"/>
              </w:rPr>
              <w:t>AAA</w:t>
            </w:r>
          </w:p>
        </w:tc>
        <w:tc>
          <w:tcPr>
            <w:tcW w:w="540" w:type="dxa"/>
            <w:vAlign w:val="bottom"/>
          </w:tcPr>
          <w:p>
            <w:pPr>
              <w:spacing w:after="0"/>
              <w:rPr>
                <w:sz w:val="21"/>
                <w:szCs w:val="21"/>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1,358,143</w:t>
            </w:r>
          </w:p>
        </w:tc>
        <w:tc>
          <w:tcPr>
            <w:tcW w:w="10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1"/>
                <w:szCs w:val="21"/>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1,801,106</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4"/>
        </w:trPr>
        <w:tc>
          <w:tcPr>
            <w:tcW w:w="2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AA</w:t>
            </w:r>
          </w:p>
        </w:tc>
        <w:tc>
          <w:tcPr>
            <w:tcW w:w="54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11,319,057</w:t>
            </w:r>
          </w:p>
        </w:tc>
        <w:tc>
          <w:tcPr>
            <w:tcW w:w="10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7,236,457</w:t>
            </w:r>
          </w:p>
        </w:tc>
        <w:tc>
          <w:tcPr>
            <w:tcW w:w="1660" w:type="dxa"/>
            <w:vAlign w:val="bottom"/>
            <w:shd w:val="clear" w:color="auto" w:fill="CCEEFF"/>
          </w:tcPr>
          <w:p>
            <w:pPr>
              <w:spacing w:after="0"/>
              <w:rPr>
                <w:sz w:val="21"/>
                <w:szCs w:val="21"/>
                <w:color w:val="auto"/>
              </w:rPr>
            </w:pPr>
          </w:p>
        </w:tc>
      </w:tr>
      <w:tr>
        <w:trPr>
          <w:trHeight w:val="216"/>
        </w:trPr>
        <w:tc>
          <w:tcPr>
            <w:tcW w:w="2300" w:type="dxa"/>
            <w:vAlign w:val="bottom"/>
          </w:tcPr>
          <w:p>
            <w:pPr>
              <w:ind w:left="380"/>
              <w:spacing w:after="0"/>
              <w:rPr>
                <w:sz w:val="20"/>
                <w:szCs w:val="20"/>
                <w:color w:val="auto"/>
              </w:rPr>
            </w:pPr>
            <w:r>
              <w:rPr>
                <w:rFonts w:ascii="Arial" w:cs="Arial" w:eastAsia="Arial" w:hAnsi="Arial"/>
                <w:sz w:val="18"/>
                <w:szCs w:val="18"/>
                <w:color w:val="auto"/>
              </w:rPr>
              <w:t>A</w:t>
            </w:r>
          </w:p>
        </w:tc>
        <w:tc>
          <w:tcPr>
            <w:tcW w:w="540" w:type="dxa"/>
            <w:vAlign w:val="bottom"/>
          </w:tcPr>
          <w:p>
            <w:pPr>
              <w:spacing w:after="0"/>
              <w:rPr>
                <w:sz w:val="18"/>
                <w:szCs w:val="18"/>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17,199,631</w:t>
            </w:r>
          </w:p>
        </w:tc>
        <w:tc>
          <w:tcPr>
            <w:tcW w:w="10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18"/>
                <w:szCs w:val="18"/>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13,944,784</w:t>
            </w:r>
          </w:p>
        </w:tc>
        <w:tc>
          <w:tcPr>
            <w:tcW w:w="16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2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BBB</w:t>
            </w:r>
          </w:p>
        </w:tc>
        <w:tc>
          <w:tcPr>
            <w:tcW w:w="54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68,704,768</w:t>
            </w:r>
          </w:p>
        </w:tc>
        <w:tc>
          <w:tcPr>
            <w:tcW w:w="10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57.3%</w:t>
            </w:r>
          </w:p>
        </w:tc>
        <w:tc>
          <w:tcPr>
            <w:tcW w:w="48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38,908,731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50"/>
        </w:trPr>
        <w:tc>
          <w:tcPr>
            <w:tcW w:w="2300" w:type="dxa"/>
            <w:vAlign w:val="bottom"/>
          </w:tcPr>
          <w:p>
            <w:pPr>
              <w:ind w:left="380"/>
              <w:spacing w:after="0"/>
              <w:rPr>
                <w:sz w:val="20"/>
                <w:szCs w:val="20"/>
                <w:color w:val="auto"/>
              </w:rPr>
            </w:pPr>
            <w:r>
              <w:rPr>
                <w:rFonts w:ascii="Arial" w:cs="Arial" w:eastAsia="Arial" w:hAnsi="Arial"/>
                <w:sz w:val="18"/>
                <w:szCs w:val="18"/>
                <w:color w:val="auto"/>
              </w:rPr>
              <w:t>BB</w:t>
            </w:r>
          </w:p>
        </w:tc>
        <w:tc>
          <w:tcPr>
            <w:tcW w:w="5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875,310</w:t>
            </w:r>
          </w:p>
        </w:tc>
        <w:tc>
          <w:tcPr>
            <w:tcW w:w="10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0.7%</w:t>
            </w:r>
          </w:p>
        </w:tc>
        <w:tc>
          <w:tcPr>
            <w:tcW w:w="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08"/>
        </w:trPr>
        <w:tc>
          <w:tcPr>
            <w:tcW w:w="2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corporate and</w:t>
            </w:r>
          </w:p>
        </w:tc>
        <w:tc>
          <w:tcPr>
            <w:tcW w:w="5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58"/>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municipal bonds</w:t>
            </w:r>
          </w:p>
        </w:tc>
        <w:tc>
          <w:tcPr>
            <w:tcW w:w="54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rPr>
              <w:t>99,456,909</w:t>
            </w:r>
          </w:p>
        </w:tc>
        <w:tc>
          <w:tcPr>
            <w:tcW w:w="10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82.8%</w:t>
            </w:r>
          </w:p>
        </w:tc>
        <w:tc>
          <w:tcPr>
            <w:tcW w:w="48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rPr>
              <w:t>61,891,078</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451"/>
        </w:trPr>
        <w:tc>
          <w:tcPr>
            <w:tcW w:w="2300" w:type="dxa"/>
            <w:vAlign w:val="bottom"/>
          </w:tcPr>
          <w:p>
            <w:pPr>
              <w:spacing w:after="0"/>
              <w:rPr>
                <w:sz w:val="20"/>
                <w:szCs w:val="20"/>
                <w:color w:val="auto"/>
              </w:rPr>
            </w:pPr>
            <w:r>
              <w:rPr>
                <w:rFonts w:ascii="Arial" w:cs="Arial" w:eastAsia="Arial" w:hAnsi="Arial"/>
                <w:sz w:val="18"/>
                <w:szCs w:val="18"/>
                <w:color w:val="auto"/>
                <w:w w:val="97"/>
              </w:rPr>
              <w:t>Residential mortgage backed</w:t>
            </w:r>
          </w:p>
        </w:tc>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securities</w:t>
            </w:r>
          </w:p>
        </w:tc>
        <w:tc>
          <w:tcPr>
            <w:tcW w:w="5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5"/>
        </w:trPr>
        <w:tc>
          <w:tcPr>
            <w:tcW w:w="2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43"/>
        </w:trPr>
        <w:tc>
          <w:tcPr>
            <w:tcW w:w="2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AAA</w:t>
            </w:r>
          </w:p>
        </w:tc>
        <w:tc>
          <w:tcPr>
            <w:tcW w:w="54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2,013,010</w:t>
            </w:r>
          </w:p>
        </w:tc>
        <w:tc>
          <w:tcPr>
            <w:tcW w:w="10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42"/>
        </w:trPr>
        <w:tc>
          <w:tcPr>
            <w:tcW w:w="2300" w:type="dxa"/>
            <w:vAlign w:val="bottom"/>
          </w:tcPr>
          <w:p>
            <w:pPr>
              <w:ind w:left="380"/>
              <w:spacing w:after="0"/>
              <w:rPr>
                <w:sz w:val="20"/>
                <w:szCs w:val="20"/>
                <w:color w:val="auto"/>
              </w:rPr>
            </w:pPr>
            <w:r>
              <w:rPr>
                <w:rFonts w:ascii="Arial" w:cs="Arial" w:eastAsia="Arial" w:hAnsi="Arial"/>
                <w:sz w:val="18"/>
                <w:szCs w:val="18"/>
                <w:color w:val="auto"/>
              </w:rPr>
              <w:t>AA</w:t>
            </w:r>
          </w:p>
        </w:tc>
        <w:tc>
          <w:tcPr>
            <w:tcW w:w="540" w:type="dxa"/>
            <w:vAlign w:val="bottom"/>
          </w:tcPr>
          <w:p>
            <w:pPr>
              <w:spacing w:after="0"/>
              <w:rPr>
                <w:sz w:val="21"/>
                <w:szCs w:val="21"/>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11,021,144</w:t>
            </w:r>
          </w:p>
        </w:tc>
        <w:tc>
          <w:tcPr>
            <w:tcW w:w="10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21"/>
                <w:szCs w:val="21"/>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14,143,828</w:t>
            </w:r>
          </w:p>
        </w:tc>
        <w:tc>
          <w:tcPr>
            <w:tcW w:w="16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487"/>
        </w:trPr>
        <w:tc>
          <w:tcPr>
            <w:tcW w:w="2300" w:type="dxa"/>
            <w:vAlign w:val="bottom"/>
            <w:shd w:val="clear" w:color="auto" w:fill="CCEEFF"/>
          </w:tcPr>
          <w:p>
            <w:pPr>
              <w:spacing w:after="0"/>
              <w:rPr>
                <w:sz w:val="20"/>
                <w:szCs w:val="20"/>
                <w:color w:val="auto"/>
              </w:rPr>
            </w:pPr>
            <w:r>
              <w:rPr>
                <w:rFonts w:ascii="Arial" w:cs="Arial" w:eastAsia="Arial" w:hAnsi="Arial"/>
                <w:sz w:val="22"/>
                <w:szCs w:val="22"/>
                <w:color w:val="auto"/>
              </w:rPr>
              <w:t>A</w:t>
            </w:r>
          </w:p>
        </w:tc>
        <w:tc>
          <w:tcPr>
            <w:tcW w:w="540" w:type="dxa"/>
            <w:vAlign w:val="bottom"/>
            <w:shd w:val="clear" w:color="auto" w:fill="CCEEFF"/>
          </w:tcPr>
          <w:p>
            <w:pPr>
              <w:spacing w:after="0"/>
              <w:rPr>
                <w:sz w:val="24"/>
                <w:szCs w:val="24"/>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3,902,768</w:t>
            </w:r>
          </w:p>
        </w:tc>
        <w:tc>
          <w:tcPr>
            <w:tcW w:w="10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24"/>
                <w:szCs w:val="24"/>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173,973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2"/>
        </w:trPr>
        <w:tc>
          <w:tcPr>
            <w:tcW w:w="2300" w:type="dxa"/>
            <w:vAlign w:val="bottom"/>
          </w:tcPr>
          <w:p>
            <w:pPr>
              <w:ind w:left="380"/>
              <w:spacing w:after="0"/>
              <w:rPr>
                <w:sz w:val="20"/>
                <w:szCs w:val="20"/>
                <w:color w:val="auto"/>
              </w:rPr>
            </w:pPr>
            <w:r>
              <w:rPr>
                <w:rFonts w:ascii="Arial" w:cs="Arial" w:eastAsia="Arial" w:hAnsi="Arial"/>
                <w:sz w:val="18"/>
                <w:szCs w:val="18"/>
                <w:color w:val="auto"/>
              </w:rPr>
              <w:t>CCC</w:t>
            </w:r>
          </w:p>
        </w:tc>
        <w:tc>
          <w:tcPr>
            <w:tcW w:w="540" w:type="dxa"/>
            <w:vAlign w:val="bottom"/>
          </w:tcPr>
          <w:p>
            <w:pPr>
              <w:spacing w:after="0"/>
              <w:rPr>
                <w:sz w:val="21"/>
                <w:szCs w:val="21"/>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1,420,296</w:t>
            </w:r>
          </w:p>
        </w:tc>
        <w:tc>
          <w:tcPr>
            <w:tcW w:w="10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1"/>
                <w:szCs w:val="21"/>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513,369</w:t>
            </w:r>
          </w:p>
        </w:tc>
        <w:tc>
          <w:tcPr>
            <w:tcW w:w="16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44"/>
        </w:trPr>
        <w:tc>
          <w:tcPr>
            <w:tcW w:w="2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CC</w:t>
            </w:r>
          </w:p>
        </w:tc>
        <w:tc>
          <w:tcPr>
            <w:tcW w:w="54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120,742</w:t>
            </w:r>
          </w:p>
        </w:tc>
        <w:tc>
          <w:tcPr>
            <w:tcW w:w="10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729"/>
        </w:trPr>
        <w:tc>
          <w:tcPr>
            <w:tcW w:w="2300" w:type="dxa"/>
            <w:vAlign w:val="bottom"/>
          </w:tcPr>
          <w:p>
            <w:pPr>
              <w:spacing w:after="0"/>
              <w:rPr>
                <w:sz w:val="20"/>
                <w:szCs w:val="20"/>
                <w:color w:val="auto"/>
              </w:rPr>
            </w:pPr>
            <w:r>
              <w:rPr>
                <w:rFonts w:ascii="Arial" w:cs="Arial" w:eastAsia="Arial" w:hAnsi="Arial"/>
                <w:sz w:val="22"/>
                <w:szCs w:val="22"/>
                <w:color w:val="auto"/>
              </w:rPr>
              <w:t>C</w:t>
            </w:r>
          </w:p>
        </w:tc>
        <w:tc>
          <w:tcPr>
            <w:tcW w:w="540" w:type="dxa"/>
            <w:vAlign w:val="bottom"/>
          </w:tcPr>
          <w:p>
            <w:pPr>
              <w:spacing w:after="0"/>
              <w:rPr>
                <w:sz w:val="24"/>
                <w:szCs w:val="24"/>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28,963</w:t>
            </w:r>
          </w:p>
        </w:tc>
        <w:tc>
          <w:tcPr>
            <w:tcW w:w="100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24"/>
                <w:szCs w:val="24"/>
                <w:color w:val="auto"/>
              </w:rPr>
            </w:pPr>
          </w:p>
        </w:tc>
        <w:tc>
          <w:tcPr>
            <w:tcW w:w="2360" w:type="dxa"/>
            <w:vAlign w:val="bottom"/>
          </w:tcPr>
          <w:p>
            <w:pPr>
              <w:jc w:val="right"/>
              <w:ind w:right="774"/>
              <w:spacing w:after="0"/>
              <w:rPr>
                <w:sz w:val="20"/>
                <w:szCs w:val="20"/>
                <w:color w:val="auto"/>
              </w:rPr>
            </w:pPr>
            <w:r>
              <w:rPr>
                <w:rFonts w:ascii="Arial" w:cs="Arial" w:eastAsia="Arial" w:hAnsi="Arial"/>
                <w:sz w:val="18"/>
                <w:szCs w:val="18"/>
                <w:color w:val="auto"/>
              </w:rPr>
              <w:t>112,136</w:t>
            </w:r>
          </w:p>
        </w:tc>
        <w:tc>
          <w:tcPr>
            <w:tcW w:w="16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486"/>
        </w:trPr>
        <w:tc>
          <w:tcPr>
            <w:tcW w:w="2300" w:type="dxa"/>
            <w:vAlign w:val="bottom"/>
            <w:shd w:val="clear" w:color="auto" w:fill="CCEEFF"/>
          </w:tcPr>
          <w:p>
            <w:pPr>
              <w:spacing w:after="0"/>
              <w:rPr>
                <w:sz w:val="20"/>
                <w:szCs w:val="20"/>
                <w:color w:val="auto"/>
              </w:rPr>
            </w:pPr>
            <w:r>
              <w:rPr>
                <w:rFonts w:ascii="Arial" w:cs="Arial" w:eastAsia="Arial" w:hAnsi="Arial"/>
                <w:sz w:val="22"/>
                <w:szCs w:val="22"/>
                <w:color w:val="auto"/>
              </w:rPr>
              <w:t>D</w:t>
            </w:r>
          </w:p>
        </w:tc>
        <w:tc>
          <w:tcPr>
            <w:tcW w:w="540" w:type="dxa"/>
            <w:vAlign w:val="bottom"/>
            <w:shd w:val="clear" w:color="auto" w:fill="CCEEFF"/>
          </w:tcPr>
          <w:p>
            <w:pPr>
              <w:spacing w:after="0"/>
              <w:rPr>
                <w:sz w:val="24"/>
                <w:szCs w:val="24"/>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1,659,479</w:t>
            </w:r>
          </w:p>
        </w:tc>
        <w:tc>
          <w:tcPr>
            <w:tcW w:w="10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24"/>
                <w:szCs w:val="24"/>
                <w:color w:val="auto"/>
              </w:rPr>
            </w:pPr>
          </w:p>
        </w:tc>
        <w:tc>
          <w:tcPr>
            <w:tcW w:w="23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3,594,444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0"/>
        </w:trPr>
        <w:tc>
          <w:tcPr>
            <w:tcW w:w="2300" w:type="dxa"/>
            <w:vAlign w:val="bottom"/>
          </w:tcPr>
          <w:p>
            <w:pPr>
              <w:ind w:left="380"/>
              <w:spacing w:after="0"/>
              <w:rPr>
                <w:sz w:val="20"/>
                <w:szCs w:val="20"/>
                <w:color w:val="auto"/>
              </w:rPr>
            </w:pPr>
            <w:r>
              <w:rPr>
                <w:rFonts w:ascii="Arial" w:cs="Arial" w:eastAsia="Arial" w:hAnsi="Arial"/>
                <w:sz w:val="18"/>
                <w:szCs w:val="18"/>
                <w:color w:val="auto"/>
              </w:rPr>
              <w:t>Non rated</w:t>
            </w:r>
          </w:p>
        </w:tc>
        <w:tc>
          <w:tcPr>
            <w:tcW w:w="5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364,945</w:t>
            </w:r>
          </w:p>
        </w:tc>
        <w:tc>
          <w:tcPr>
            <w:tcW w:w="10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0.3%</w:t>
            </w:r>
          </w:p>
        </w:tc>
        <w:tc>
          <w:tcPr>
            <w:tcW w:w="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451"/>
        </w:trPr>
        <w:tc>
          <w:tcPr>
            <w:tcW w:w="2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residential</w:t>
            </w:r>
          </w:p>
        </w:tc>
        <w:tc>
          <w:tcPr>
            <w:tcW w:w="5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58"/>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backed securities</w:t>
            </w:r>
          </w:p>
        </w:tc>
        <w:tc>
          <w:tcPr>
            <w:tcW w:w="54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rPr>
              <w:t>20,531,347</w:t>
            </w:r>
          </w:p>
        </w:tc>
        <w:tc>
          <w:tcPr>
            <w:tcW w:w="10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c>
          <w:tcPr>
            <w:tcW w:w="48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rPr>
              <w:t>18,537,750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69"/>
        </w:trPr>
        <w:tc>
          <w:tcPr>
            <w:tcW w:w="2300" w:type="dxa"/>
            <w:vAlign w:val="bottom"/>
          </w:tcPr>
          <w:p>
            <w:pPr>
              <w:ind w:left="30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119,988,256</w:t>
            </w:r>
          </w:p>
        </w:tc>
        <w:tc>
          <w:tcPr>
            <w:tcW w:w="10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100.0%</w:t>
            </w: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80,428,828</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2"/>
        </w:trPr>
        <w:tc>
          <w:tcPr>
            <w:tcW w:w="2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financial information regarding our investments is presented under the subheading “Investments” in Item 7 of this Annual Report.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Ratings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Many insurance buyers, agents, brokers and secured lenders use the ratings assigned by A.M. Best and other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A.M. Best financial strength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A.M. Best financial strength ratings are intended to provide an independent opinion of an insurer’s ability to meet its obligations to policyholders and are not an evaluation directed at investors.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color w:val="auto"/>
        </w:rPr>
        <w:t>In November 2016, we commenced a plan of action to upgrade KICO’s A. M. Best rating. In April 2017, A.M. Best upgraded the Financial Strength Rating (FSR) of KICO to A- (Excellent) from B++ (Good). The A.M. Best financial strength rating of A- (Excellent) has created significant additional demand from our existing producers, particularly for our New York homeowners business where we compete against many carriers that are not A- rated by A.M. Best. Other ratings assigned to KICO and Kingstone by A.M Best and Kroll Bond Rating Agency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Kingstone</w:t>
            </w:r>
          </w:p>
        </w:tc>
      </w:tr>
      <w:tr>
        <w:trPr>
          <w:trHeight w:val="182"/>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640" w:type="dxa"/>
            <w:vAlign w:val="bottom"/>
          </w:tcPr>
          <w:p>
            <w:pPr>
              <w:jc w:val="right"/>
              <w:ind w:right="1214"/>
              <w:spacing w:after="0"/>
              <w:rPr>
                <w:sz w:val="20"/>
                <w:szCs w:val="20"/>
                <w:color w:val="auto"/>
              </w:rPr>
            </w:pPr>
            <w:r>
              <w:rPr>
                <w:rFonts w:ascii="Arial" w:cs="Arial" w:eastAsia="Arial" w:hAnsi="Arial"/>
                <w:sz w:val="15"/>
                <w:szCs w:val="15"/>
                <w:b w:val="1"/>
                <w:bCs w:val="1"/>
                <w:color w:val="auto"/>
              </w:rPr>
              <w:t>KICO</w:t>
            </w:r>
          </w:p>
        </w:tc>
        <w:tc>
          <w:tcPr>
            <w:tcW w:w="19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Companies</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A.M. Best Long-Term issuer credit rating (ICR)</w:t>
            </w:r>
          </w:p>
        </w:tc>
        <w:tc>
          <w:tcPr>
            <w:tcW w:w="264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a- (stable outlook)</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bbb- (stable outlook)</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 Best Long-Term issue credit rating (IR)</w:t>
            </w:r>
          </w:p>
        </w:tc>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$30.0 million, 5.50% senior unsecured notes due Dec. 30, 2022</w:t>
            </w:r>
          </w:p>
        </w:tc>
        <w:tc>
          <w:tcPr>
            <w:tcW w:w="26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n/a</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bbb- (stable outlook)</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Kroll Bond Rating Agency insurance financial strength rating (IFSR)</w:t>
            </w:r>
          </w:p>
        </w:tc>
        <w:tc>
          <w:tcPr>
            <w:tcW w:w="2640" w:type="dxa"/>
            <w:vAlign w:val="bottom"/>
          </w:tcPr>
          <w:p>
            <w:pPr>
              <w:jc w:val="right"/>
              <w:ind w:right="274"/>
              <w:spacing w:after="0"/>
              <w:rPr>
                <w:sz w:val="20"/>
                <w:szCs w:val="20"/>
                <w:color w:val="auto"/>
              </w:rPr>
            </w:pPr>
            <w:r>
              <w:rPr>
                <w:rFonts w:ascii="Arial" w:cs="Arial" w:eastAsia="Arial" w:hAnsi="Arial"/>
                <w:sz w:val="18"/>
                <w:szCs w:val="18"/>
                <w:color w:val="auto"/>
              </w:rPr>
              <w:t>A- (stable outlook)</w:t>
            </w:r>
          </w:p>
        </w:tc>
        <w:tc>
          <w:tcPr>
            <w:tcW w:w="192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Kroll Bond Rating Agency issuer rating</w:t>
            </w:r>
          </w:p>
        </w:tc>
        <w:tc>
          <w:tcPr>
            <w:tcW w:w="26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n/a</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BBB- (stable outlook)</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$30.0 million, 5.50% senior unsecured notes due Dec. 30, 2022</w:t>
            </w:r>
          </w:p>
        </w:tc>
        <w:tc>
          <w:tcPr>
            <w:tcW w:w="2640" w:type="dxa"/>
            <w:vAlign w:val="bottom"/>
          </w:tcPr>
          <w:p>
            <w:pPr>
              <w:jc w:val="right"/>
              <w:ind w:right="274"/>
              <w:spacing w:after="0"/>
              <w:rPr>
                <w:sz w:val="20"/>
                <w:szCs w:val="20"/>
                <w:color w:val="auto"/>
              </w:rPr>
            </w:pPr>
            <w:r>
              <w:rPr>
                <w:rFonts w:ascii="Arial" w:cs="Arial" w:eastAsia="Arial" w:hAnsi="Arial"/>
                <w:sz w:val="18"/>
                <w:szCs w:val="18"/>
                <w:color w:val="auto"/>
              </w:rPr>
              <w:t>n/a</w:t>
            </w:r>
          </w:p>
        </w:tc>
        <w:tc>
          <w:tcPr>
            <w:tcW w:w="1920" w:type="dxa"/>
            <w:vAlign w:val="bottom"/>
          </w:tcPr>
          <w:p>
            <w:pPr>
              <w:jc w:val="right"/>
              <w:spacing w:after="0"/>
              <w:rPr>
                <w:sz w:val="20"/>
                <w:szCs w:val="20"/>
                <w:color w:val="auto"/>
              </w:rPr>
            </w:pPr>
            <w:r>
              <w:rPr>
                <w:rFonts w:ascii="Arial" w:cs="Arial" w:eastAsia="Arial" w:hAnsi="Arial"/>
                <w:sz w:val="18"/>
                <w:szCs w:val="18"/>
                <w:color w:val="auto"/>
              </w:rPr>
              <w:t>BBB- (stable outlook)</w:t>
            </w:r>
          </w:p>
        </w:tc>
        <w:tc>
          <w:tcPr>
            <w:tcW w:w="20" w:type="dxa"/>
            <w:vAlign w:val="bottom"/>
          </w:tcPr>
          <w:p>
            <w:pPr>
              <w:spacing w:after="0"/>
              <w:rPr>
                <w:sz w:val="19"/>
                <w:szCs w:val="19"/>
                <w:color w:val="auto"/>
              </w:rPr>
            </w:pPr>
          </w:p>
        </w:tc>
      </w:tr>
    </w:tbl>
    <w:p>
      <w:pPr>
        <w:spacing w:after="0" w:line="201"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KICO also has a Demotech financial stability rating of A (Exceptional) which generally makes its policies acceptable to mortgage lenders that require homeowners to purchase insurance from highly rated carriers.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Severe Winter Weather</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predominant market, downstate New York, suffered severe weather during the winter of 2016. We include severe winter weather in our definition of catastrophe. The catastrophe component of the 2016 severe winter was determined by the number of claims in excess of our threshold of average claims from severe winter weather. These claims were primarily from losses due to frozen pipes and related water damage resulting from abnormally low temperatures for an extended period. The effects of severe winter weather increased our net loss ratio by 2.3 percentage points in 2016. However, the relatively mild winter of 2017 resulted in no catastrophe impact.</w:t>
      </w:r>
    </w:p>
    <w:p>
      <w:pPr>
        <w:spacing w:after="0" w:line="197"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The computation to determine contingent ceding commission revenue includes direct catastrophe losses and loss adjustment expenses incurred from severe winter weather. Catastrophe losses for 2016 had no impact on our contingent ceding commission revenue since the ultimate loss ratio used to determine these commissions was not affected by the 2016 severe winter weather.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Holding Company Regulation</w:t>
      </w:r>
    </w:p>
    <w:p>
      <w:pPr>
        <w:spacing w:after="0" w:line="225"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Insurance Regulation</w:t>
      </w:r>
    </w:p>
    <w:p>
      <w:pPr>
        <w:spacing w:after="0" w:line="225" w:lineRule="exact"/>
        <w:rPr>
          <w:sz w:val="20"/>
          <w:szCs w:val="20"/>
          <w:color w:val="auto"/>
        </w:rPr>
      </w:pPr>
    </w:p>
    <w:p>
      <w:pPr>
        <w:ind w:right="280" w:firstLine="648"/>
        <w:spacing w:after="0" w:line="294" w:lineRule="auto"/>
        <w:rPr>
          <w:sz w:val="20"/>
          <w:szCs w:val="20"/>
          <w:color w:val="auto"/>
        </w:rPr>
      </w:pPr>
      <w:r>
        <w:rPr>
          <w:rFonts w:ascii="Arial" w:cs="Arial" w:eastAsia="Arial" w:hAnsi="Arial"/>
          <w:sz w:val="16"/>
          <w:szCs w:val="16"/>
          <w:color w:val="auto"/>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w:t>
      </w:r>
    </w:p>
    <w:p>
      <w:pPr>
        <w:spacing w:after="0" w:line="170"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disapprove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auto market in New York State in 2015.</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and State Legislative and Regulatory Changes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which proposals have been enacted) to conform portions of their insurance laws and regulations to various model acts adopted by the National Association of Insurance Commissioners (the “NAIC”).</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In 2017, the DFS implemented new comprehensive cybersecurity regulations which became effective on March 1, 2017 with transitional implementation periods. When fully implemented, the regulations require covered entities, including KICO, to establish a cybersecurity policy, a chief information security officer, oversight over third party service providers, penetration and vulnerability assessments, secure systems to maintain an audit trail, risk assessments to include access privileges to nonpublic information, use of multi-factor authentication, and an incident response plan, among other provisions. Commencing February 15, 2018, and annually thereafter, KICO must certify compliance to the DFS with the applicable cybersecurity regulatory provisions.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In December 2013, the FIO issued a report (as required under the Dodd-Frank Act) entitled “How to Modernize and Improve the System of Insurance Regulation in the United States” (the “Report”),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 In 2017, the new President indicated that the provisions of this law should be reviewed. In its September 2017 Annual Report on the Insurance Industry, FIO provided a survey of Insurance Industry Financial Overview, Domestic Regulatory and Market Developments, and U.S. Competitiveness in Global Markets.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Regulatory Examinations</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New York DFS commenced its examination of KICO in 2016 as of December 31, 2015. The examination was completed in 2017 and had no material adverse findings.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Risk-Based Capital Regulations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KICO’s TAC is far above the ACL and is in compliance with New York’s RBC requirements as of December 31, 2017.</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Limitations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ability to receive dividends from KICO is restricted by the state laws and insurance regulations of New York. These restrictions are related to surplus and net investment income. Dividends are restricted to the lesser of 10% of surplus or 100% of investment income (on a statutory accounting basis) for the trailing 36 months, less dividends by KICO paid during such period.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Regulatory Information System Ratios</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w:t>
      </w:r>
    </w:p>
    <w:p>
      <w:pPr>
        <w:spacing w:after="0" w:line="197" w:lineRule="exact"/>
        <w:rPr>
          <w:sz w:val="20"/>
          <w:szCs w:val="20"/>
          <w:color w:val="auto"/>
        </w:rPr>
      </w:pPr>
    </w:p>
    <w:p>
      <w:pPr>
        <w:ind w:right="220" w:firstLine="648"/>
        <w:spacing w:after="0" w:line="332" w:lineRule="auto"/>
        <w:rPr>
          <w:sz w:val="20"/>
          <w:szCs w:val="20"/>
          <w:color w:val="auto"/>
        </w:rPr>
      </w:pPr>
      <w:r>
        <w:rPr>
          <w:rFonts w:ascii="Arial" w:cs="Arial" w:eastAsia="Arial" w:hAnsi="Arial"/>
          <w:sz w:val="16"/>
          <w:szCs w:val="16"/>
          <w:color w:val="auto"/>
        </w:rPr>
        <w:t>As of December 31, 2017, as a result of its growth and the $23 million and $25 million contributions of capital we made to KICO in March 2017 and December 2017, respectively, KICO had two ratios outside the usual range due to changes in net premiums written and gross change in surplus.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w:t>
      </w:r>
    </w:p>
    <w:p>
      <w:pPr>
        <w:spacing w:after="0" w:line="167"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Generally accepted accounting principles (“GAAP”) are concerned with a company’s solvency, but are also concerned with other financial measurements, principally income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w:t>
      </w:r>
    </w:p>
    <w:p>
      <w:pPr>
        <w:spacing w:after="0" w:line="19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Statutory accounting practices established by the NAIC and adopted in part by New York insurance regulators determine, among other things, the amount of statutory surplus and statutory net income of KICO and thus determine, in part, the amount of funds that are available to Kingstone Companies, Inc. from which to pay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Structure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We were incorporated in 1961 and assumed the name DCAP Group, Inc. in 1999. On July 1, 2009, we changed our name to Kingstone Companies, Inc.</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0" w:right="29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Offices</w:t>
      </w:r>
    </w:p>
    <w:p>
      <w:pPr>
        <w:spacing w:after="0" w:line="231"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Our principal executive offices are located at 15 Joys Lane, Kingston, New York 12401, and our telephone number is (845) 802-7900. Our insurance underwriting business is located principally at 15 Joys Lane, Kingston, New York 12401. Our insurance underwriting business maintains an executive office located at 70 East Sunrise Highway, Valley Stream, New York 11581. Our website is www.kingstonecompanies.com. Our internet website and the information contained therein or connected thereto are not intended to be incorporated by reference into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As of December 31, 2017, we had 97 employees all of whom are located in New York. None of our employees are covered by a collective bargaining agreement. We believe that our relationship with our employees is good.</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1A</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u w:val="single" w:color="auto"/>
          <w:color w:val="auto"/>
        </w:rPr>
        <w:t>RISK FACTORS</w:t>
      </w:r>
      <w:r>
        <w:rPr>
          <w:rFonts w:ascii="Arial" w:cs="Arial" w:eastAsia="Arial" w:hAnsi="Arial"/>
          <w:sz w:val="16"/>
          <w:szCs w:val="16"/>
          <w:color w:val="auto"/>
        </w:rPr>
        <w:t>.</w:t>
      </w:r>
    </w:p>
    <w:p>
      <w:pPr>
        <w:spacing w:after="0" w:line="231"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color w:val="auto"/>
        </w:rPr>
        <w:t>Not applicable to first year accelerated filers. See, however, “Management’s Discussion and Analysis of Financial Condition and Results of Operations – Factors That May Affect Future Results and Financial Condition” in Item 7 of this Annual Report.</w:t>
      </w:r>
    </w:p>
    <w:p>
      <w:pPr>
        <w:spacing w:after="0" w:line="11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u w:val="single" w:color="auto"/>
          <w:color w:val="auto"/>
        </w:rPr>
        <w:t>UNRESOLVED STAFF COMMENTS</w:t>
      </w:r>
      <w:r>
        <w:rPr>
          <w:rFonts w:ascii="Arial" w:cs="Arial" w:eastAsia="Arial" w:hAnsi="Arial"/>
          <w:sz w:val="16"/>
          <w:szCs w:val="16"/>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PROPERTIES</w:t>
      </w:r>
      <w:r>
        <w:rPr>
          <w:rFonts w:ascii="Arial" w:cs="Arial" w:eastAsia="Arial" w:hAnsi="Arial"/>
          <w:sz w:val="16"/>
          <w:szCs w:val="16"/>
          <w:color w:val="auto"/>
        </w:rPr>
        <w:t>.</w:t>
      </w:r>
    </w:p>
    <w:p>
      <w:pPr>
        <w:spacing w:after="0" w:line="231" w:lineRule="exact"/>
        <w:rPr>
          <w:sz w:val="20"/>
          <w:szCs w:val="20"/>
          <w:color w:val="auto"/>
        </w:rPr>
      </w:pPr>
    </w:p>
    <w:p>
      <w:pPr>
        <w:jc w:val="both"/>
        <w:ind w:right="540" w:firstLine="648"/>
        <w:spacing w:after="0" w:line="259" w:lineRule="auto"/>
        <w:rPr>
          <w:sz w:val="20"/>
          <w:szCs w:val="20"/>
          <w:color w:val="auto"/>
        </w:rPr>
      </w:pPr>
      <w:r>
        <w:rPr>
          <w:rFonts w:ascii="Arial" w:cs="Arial" w:eastAsia="Arial" w:hAnsi="Arial"/>
          <w:sz w:val="18"/>
          <w:szCs w:val="18"/>
          <w:color w:val="auto"/>
        </w:rPr>
        <w:t>Our principal executive offices are currently located at 15 Joys Lane, Kingston, New York 12401. Our insurance underwriting business is located principally at 15 Joys Lane, Kingston, New York 12401. Our insurance underwriting business also maintains an executive office located at 70 East Sunrise Highway, Valley Stream, New York 11581, at which we lease 4,985 square feet of space.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the building at which our insurance underwriting business principally operates, free of mortgage.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LEGAL PROCEEDINGS</w:t>
      </w:r>
      <w:r>
        <w:rPr>
          <w:rFonts w:ascii="Arial" w:cs="Arial" w:eastAsia="Arial" w:hAnsi="Arial"/>
          <w:sz w:val="16"/>
          <w:szCs w:val="16"/>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left="1300" w:right="200" w:hanging="1296"/>
        <w:spacing w:after="0" w:line="275" w:lineRule="auto"/>
        <w:tabs>
          <w:tab w:leader="none" w:pos="128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u w:val="single" w:color="auto"/>
          <w:color w:val="auto"/>
        </w:rPr>
        <w:t>MARKET FOR REGISTRANT’S COMMON EQUITY, RELATED STOCKHOLDER MATTERS AND ISSUER PURCHASES OF EQUITY SECURITIES</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under the symbol “KINS.”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Set forth below are the high and low sales prices for our common stock for the periods indicated, as reported on The NASDAQ Capital Market.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High</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Low</w:t>
            </w:r>
          </w:p>
        </w:tc>
      </w:tr>
      <w:tr>
        <w:trPr>
          <w:trHeight w:val="243"/>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 Calendar Year</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15.90</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11.80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16.50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Third Quarter</w:t>
            </w:r>
          </w:p>
        </w:tc>
        <w:tc>
          <w:tcPr>
            <w:tcW w:w="36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16.55</w:t>
            </w:r>
          </w:p>
        </w:tc>
        <w:tc>
          <w:tcPr>
            <w:tcW w:w="3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13.96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19.60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15.10</w:t>
            </w:r>
          </w:p>
        </w:tc>
      </w:tr>
      <w:tr>
        <w:trPr>
          <w:trHeight w:val="466"/>
        </w:trPr>
        <w:tc>
          <w:tcPr>
            <w:tcW w:w="8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High</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Low</w:t>
            </w:r>
          </w:p>
        </w:tc>
      </w:tr>
      <w:tr>
        <w:trPr>
          <w:trHeight w:val="243"/>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Calendar Year</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9.25</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7.21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9.62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8.21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Third Quarter</w:t>
            </w:r>
          </w:p>
        </w:tc>
        <w:tc>
          <w:tcPr>
            <w:tcW w:w="36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9.39</w:t>
            </w:r>
          </w:p>
        </w:tc>
        <w:tc>
          <w:tcPr>
            <w:tcW w:w="3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8.45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14.15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12, 2018, there were approximately 251 record holders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720" w:firstLine="692"/>
        <w:spacing w:after="0" w:line="268" w:lineRule="auto"/>
        <w:rPr>
          <w:sz w:val="20"/>
          <w:szCs w:val="20"/>
          <w:color w:val="auto"/>
        </w:rPr>
      </w:pPr>
      <w:r>
        <w:rPr>
          <w:rFonts w:ascii="Arial" w:cs="Arial" w:eastAsia="Arial" w:hAnsi="Arial"/>
          <w:sz w:val="18"/>
          <w:szCs w:val="18"/>
          <w:color w:val="auto"/>
        </w:rPr>
        <w:t>Holders of our common stock are entitled to dividends when, as and if declared by our Board of Directors out of funds legally available. Since September 2011 and through December 31, 2017, we have paid quarterly dividends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w w:val="85"/>
              </w:rPr>
              <w:t>Payment Date</w:t>
            </w:r>
          </w:p>
        </w:tc>
        <w:tc>
          <w:tcPr>
            <w:tcW w:w="1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5"/>
                <w:szCs w:val="15"/>
                <w:b w:val="1"/>
                <w:bCs w:val="1"/>
                <w:color w:val="auto"/>
                <w:w w:val="91"/>
              </w:rPr>
              <w:t>Dividend Per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417"/>
              <w:spacing w:after="0" w:line="12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2011 – June 2012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85"/>
              </w:rPr>
              <w:t>September 2012</w:t>
            </w:r>
          </w:p>
        </w:tc>
        <w:tc>
          <w:tcPr>
            <w:tcW w:w="8880" w:type="dxa"/>
            <w:vAlign w:val="bottom"/>
          </w:tcPr>
          <w:p>
            <w:pPr>
              <w:ind w:left="20"/>
              <w:spacing w:after="0"/>
              <w:rPr>
                <w:sz w:val="20"/>
                <w:szCs w:val="20"/>
                <w:color w:val="auto"/>
              </w:rPr>
            </w:pPr>
            <w:r>
              <w:rPr>
                <w:rFonts w:ascii="Arial" w:cs="Arial" w:eastAsia="Arial" w:hAnsi="Arial"/>
                <w:sz w:val="18"/>
                <w:szCs w:val="18"/>
                <w:color w:val="auto"/>
              </w:rPr>
              <w:t>– June 2014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September 2014</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September 2015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December 2015 – March 2017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2017 – December 2017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On February 2, 2018 our Board of Directors declared a dividend $.10 per share payable in cash on March 15, 2018 to stockholders of record as February 28, 2018.</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continue to be paid to holders of our common stock.</w:t>
      </w:r>
    </w:p>
    <w:p>
      <w:pPr>
        <w:spacing w:after="0" w:line="19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ability to pay dividends depends, in part, upon on the ability of KICO to pay dividends to us. KICO, as an insurance subsidiary, is subject to significant regulatory restrictions limiting its ability to declare and pay dividends. These restrictions are related to surplus and net investment income. Without the prior approval of the DFS, dividends are restricted to the lesser of 10% of surplus or 100% of investment income (on a statutory accounting basis) for the trailing 36 months, less dividends paid by KICO during such period. As of December 31, 2017, the maximum distribution that KICO could pay without prior regulatory approval was approximately $3,324,000, which is based on investment income for the trailing 36 months, net of dividends paid by KICO during such period. See “Business – Government Regulation” and “Management’s Discussion and Analysis of Financial Condition and Results of Operation – Liquidity” in Items 1 and 7, respectively, of this Annual Report.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and paid dividends on our common stock as follows:</w:t>
      </w:r>
    </w:p>
    <w:p>
      <w:pPr>
        <w:spacing w:after="0" w:line="274"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Common stock dividends declared and paid</w:t>
            </w:r>
          </w:p>
        </w:tc>
        <w:tc>
          <w:tcPr>
            <w:tcW w:w="4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3,214,471</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1,941,271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There were no purchases of common stock made by us or any “affiliated purchaser” during the quarter ended December 31, 2017.</w:t>
      </w:r>
    </w:p>
    <w:p>
      <w:pPr>
        <w:spacing w:after="0" w:line="24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u w:val="single" w:color="auto"/>
          <w:color w:val="auto"/>
        </w:rPr>
        <w:t>SELECTED FINANCIAL DATA</w:t>
      </w:r>
      <w:r>
        <w:rPr>
          <w:rFonts w:ascii="Arial" w:cs="Arial" w:eastAsia="Arial" w:hAnsi="Arial"/>
          <w:sz w:val="16"/>
          <w:szCs w:val="16"/>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u w:val="single" w:color="auto"/>
          <w:color w:val="auto"/>
        </w:rPr>
        <w:t>ITEM 7</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offer property and casualty insurance products to individuals and small businesses through our wholly owned subsidiary, Kingstone Insurance Company (“KICO”). KICO’s insureds are located primarily in downstate New York, consisting of New York City, Long Island and Westchester County. We are also licensed in the States of New Jersey, Connecticut, Pennsylvania, Rhode Island, Massachusetts and Texas. We are currently offering our property and casualty insurance products in New York, New Jersey, Rhode Island and Pennsylvania. Although New Jersey and Rhode Island are now growing expansion markets for us, 98.5% of KICO’s direct written premiums for the year ended December 31, 2017 were written in the State of New York. In February 2018, a homeowners rate, rule, and form filing was made with the State of Massachusetts. KICO anticipates writing business there in 2018.</w:t>
      </w:r>
    </w:p>
    <w:p>
      <w:pPr>
        <w:spacing w:after="0" w:line="10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198" w:lineRule="exact"/>
        <w:rPr>
          <w:sz w:val="20"/>
          <w:szCs w:val="20"/>
          <w:color w:val="auto"/>
        </w:rPr>
      </w:pPr>
    </w:p>
    <w:p>
      <w:pPr>
        <w:ind w:right="240" w:firstLine="648"/>
        <w:spacing w:after="0" w:line="323"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84"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Other operating expenses include our corporate expenses as a holding company. These expenses include legal and auditing fees, executive employment costs, and other costs directly associated with being a public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and Expense Items</w:t>
      </w:r>
    </w:p>
    <w:p>
      <w:pPr>
        <w:spacing w:after="0" w:line="231"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b w:val="1"/>
          <w:bCs w:val="1"/>
          <w:i w:val="1"/>
          <w:iCs w:val="1"/>
          <w:color w:val="auto"/>
        </w:rPr>
        <w:t>Net premiums earned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premiums earned is the earned portion of our written premiums, less that portion of premium that is ceded to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2017, we would earn half of the premiums in 2017 and the other half in 2018.</w:t>
      </w:r>
    </w:p>
    <w:p>
      <w:pPr>
        <w:spacing w:after="0" w:line="170" w:lineRule="exact"/>
        <w:rPr>
          <w:sz w:val="20"/>
          <w:szCs w:val="20"/>
          <w:color w:val="auto"/>
        </w:rPr>
      </w:pPr>
    </w:p>
    <w:p>
      <w:pPr>
        <w:ind w:right="600" w:firstLine="648"/>
        <w:spacing w:after="0" w:line="332" w:lineRule="auto"/>
        <w:rPr>
          <w:sz w:val="20"/>
          <w:szCs w:val="20"/>
          <w:color w:val="auto"/>
        </w:rPr>
      </w:pPr>
      <w:r>
        <w:rPr>
          <w:rFonts w:ascii="Arial" w:cs="Arial" w:eastAsia="Arial" w:hAnsi="Arial"/>
          <w:sz w:val="16"/>
          <w:szCs w:val="16"/>
          <w:b w:val="1"/>
          <w:bCs w:val="1"/>
          <w:i w:val="1"/>
          <w:iCs w:val="1"/>
          <w:color w:val="auto"/>
        </w:rPr>
        <w:t>Ceding commission revenue</w:t>
      </w:r>
      <w:r>
        <w:rPr>
          <w:rFonts w:ascii="Arial" w:cs="Arial" w:eastAsia="Arial" w:hAnsi="Arial"/>
          <w:sz w:val="16"/>
          <w:szCs w:val="16"/>
          <w:color w:val="auto"/>
        </w:rPr>
        <w:t>. Commissions on reinsurance premiums ceded are earned in a manner consistent with the recognition of the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costs of the underlying insurance policies, generally on a pro-rata basis over the terms of the policies reinsured.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i w:val="1"/>
          <w:iCs w:val="1"/>
          <w:color w:val="auto"/>
        </w:rPr>
        <w:t>Net investment income and net realized gains (losses) on investments</w:t>
      </w:r>
      <w:r>
        <w:rPr>
          <w:rFonts w:ascii="Arial" w:cs="Arial" w:eastAsia="Arial" w:hAnsi="Arial"/>
          <w:sz w:val="16"/>
          <w:szCs w:val="16"/>
          <w:color w:val="auto"/>
        </w:rPr>
        <w:t>. We invest in cash and cash equivalents, short-term investments, fixed-maturity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equity securities.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equity securities as available-for-sale and our fixed-maturity securities as either available-for-sale or held-to-maturity. Net unrealized gains (losses) on those securities classified as available-for-sale are reported separately within accumulated other comprehensive income on our balance sheet.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Other income</w:t>
      </w:r>
      <w:r>
        <w:rPr>
          <w:rFonts w:ascii="Arial" w:cs="Arial" w:eastAsia="Arial" w:hAnsi="Arial"/>
          <w:sz w:val="16"/>
          <w:szCs w:val="16"/>
          <w:color w:val="auto"/>
        </w:rPr>
        <w:t>. We recognize installment fee income and fees charged to reinstate a policy after it has been cancelled for non-payment.</w:t>
      </w:r>
    </w:p>
    <w:p>
      <w:pPr>
        <w:spacing w:after="0" w:line="24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i w:val="1"/>
          <w:iCs w:val="1"/>
          <w:color w:val="auto"/>
        </w:rPr>
        <w:t>Loss and loss adjustment expenses incurred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 and LAE incurred represent our largest expense item, and for any given reporting period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spacing w:after="0" w:line="17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i w:val="1"/>
          <w:iCs w:val="1"/>
          <w:color w:val="auto"/>
        </w:rPr>
        <w:t>Commission expenses and other underwriting expenses</w:t>
      </w:r>
      <w:r>
        <w:rPr>
          <w:rFonts w:ascii="Arial" w:cs="Arial" w:eastAsia="Arial" w:hAnsi="Arial"/>
          <w:sz w:val="18"/>
          <w:szCs w:val="18"/>
          <w:color w:val="auto"/>
        </w:rPr>
        <w:t>. Other underwriting expenses include policy acquisition costs and other expenses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spacing w:after="0" w:line="198" w:lineRule="exact"/>
        <w:rPr>
          <w:sz w:val="20"/>
          <w:szCs w:val="20"/>
          <w:color w:val="auto"/>
        </w:rPr>
      </w:pPr>
    </w:p>
    <w:p>
      <w:pPr>
        <w:ind w:right="660" w:firstLine="648"/>
        <w:spacing w:after="0" w:line="332" w:lineRule="auto"/>
        <w:rPr>
          <w:sz w:val="20"/>
          <w:szCs w:val="20"/>
          <w:color w:val="auto"/>
        </w:rPr>
      </w:pPr>
      <w:r>
        <w:rPr>
          <w:rFonts w:ascii="Arial" w:cs="Arial" w:eastAsia="Arial" w:hAnsi="Arial"/>
          <w:sz w:val="16"/>
          <w:szCs w:val="16"/>
          <w:b w:val="1"/>
          <w:bCs w:val="1"/>
          <w:i w:val="1"/>
          <w:iCs w:val="1"/>
          <w:color w:val="auto"/>
        </w:rPr>
        <w:t>Other operating expenses</w:t>
      </w:r>
      <w:r>
        <w:rPr>
          <w:rFonts w:ascii="Arial" w:cs="Arial" w:eastAsia="Arial" w:hAnsi="Arial"/>
          <w:sz w:val="16"/>
          <w:szCs w:val="16"/>
          <w:color w:val="auto"/>
        </w:rPr>
        <w:t>. Other operating expenses include the corporate expenses of our holding company, Kingstone Companies, Inc.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include executive employment costs, legal and auditing fees, and other costs directly associated with being a public company.</w:t>
      </w:r>
    </w:p>
    <w:p>
      <w:pPr>
        <w:spacing w:after="0" w:line="139"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Non-cash equity compensation includes the fair value of stock grants issued to our directors, officers and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stock options issued to the same.</w:t>
      </w:r>
    </w:p>
    <w:p>
      <w:pPr>
        <w:spacing w:after="0" w:line="186" w:lineRule="exact"/>
        <w:rPr>
          <w:sz w:val="20"/>
          <w:szCs w:val="20"/>
          <w:color w:val="auto"/>
        </w:rPr>
      </w:pPr>
    </w:p>
    <w:p>
      <w:pPr>
        <w:ind w:right="100" w:firstLine="648"/>
        <w:spacing w:after="0" w:line="332"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includes the amortization of intangibles related to the acquisition of KICO, depreciation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real estate used in KICO’s operations, as well as depreciation of capital expenditures for information technology projects, office equipment and furniture.</w:t>
      </w:r>
    </w:p>
    <w:p>
      <w:pPr>
        <w:spacing w:after="0" w:line="139"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represents amounts we incur on our outstanding indebtedness at the applicable interest rates. Interest expense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amortization of debt discount and issuance costs.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We incur federal income tax expense on our consolidated operations as well as state income tax expense for our non-insurance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52"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and dwelling fire multi-peril, cooperative/condominium,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renters, and personal umbrella policies.</w:t>
      </w:r>
    </w:p>
    <w:p>
      <w:pPr>
        <w:spacing w:after="0" w:line="14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b w:val="1"/>
          <w:bCs w:val="1"/>
          <w:i w:val="1"/>
          <w:iCs w:val="1"/>
          <w:color w:val="auto"/>
        </w:rPr>
        <w:t xml:space="preserve">Commercial liability: </w:t>
      </w:r>
      <w:r>
        <w:rPr>
          <w:rFonts w:ascii="Arial" w:cs="Arial" w:eastAsia="Arial" w:hAnsi="Arial"/>
          <w:sz w:val="18"/>
          <w:szCs w:val="18"/>
          <w:color w:val="auto"/>
        </w:rPr>
        <w:t>We offer businessowners policies, which consist primarily of small business retail, service, and office risks without a residential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We also write artisan’s liability policies for small independent contractors with seven or fewer employees. In addition, we write special multi-peril policies for larger and more specialized businessowners risks, including those with limited residential exposures. Further, we offer commercial umbrella policies written above our supporting commercial lines policies.</w:t>
      </w:r>
    </w:p>
    <w:p>
      <w:pPr>
        <w:spacing w:after="0" w:line="197"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 insure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physical damage portion of insurance for such vehicles, with no liability coverage included.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also have a small participation in mandatory state joint underwriting associations.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ratio of net losses and loss adjustment expenses (“LAE”) incurred to net premiums earned.</w:t>
      </w:r>
    </w:p>
    <w:p>
      <w:pPr>
        <w:spacing w:after="0" w:line="186" w:lineRule="exact"/>
        <w:rPr>
          <w:sz w:val="20"/>
          <w:szCs w:val="20"/>
          <w:color w:val="auto"/>
        </w:rPr>
      </w:pPr>
    </w:p>
    <w:p>
      <w:pPr>
        <w:ind w:right="60" w:firstLine="648"/>
        <w:spacing w:after="0" w:line="306" w:lineRule="auto"/>
        <w:rPr>
          <w:sz w:val="20"/>
          <w:szCs w:val="20"/>
          <w:color w:val="auto"/>
        </w:rPr>
      </w:pPr>
      <w:r>
        <w:rPr>
          <w:rFonts w:ascii="Arial" w:cs="Arial" w:eastAsia="Arial" w:hAnsi="Arial"/>
          <w:sz w:val="16"/>
          <w:szCs w:val="16"/>
          <w:b w:val="1"/>
          <w:bCs w:val="1"/>
          <w:i w:val="1"/>
          <w:iCs w:val="1"/>
          <w:color w:val="auto"/>
        </w:rPr>
        <w:t xml:space="preserve">Net underwriting expense ratio: </w:t>
      </w:r>
      <w:r>
        <w:rPr>
          <w:rFonts w:ascii="Arial" w:cs="Arial" w:eastAsia="Arial" w:hAnsi="Arial"/>
          <w:sz w:val="16"/>
          <w:szCs w:val="16"/>
          <w:color w:val="auto"/>
        </w:rPr>
        <w:t>The net underwriting expense ratio is a measure of an insurance company’s operational efficiency in administering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 and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expense ratios. If the net combined ratio is at or above 100 percent, an insurance company cannot be profitable without investment income, and may not be profitable if investment income is insufficient.</w:t>
      </w:r>
    </w:p>
    <w:p>
      <w:pPr>
        <w:spacing w:after="0" w:line="194" w:lineRule="exact"/>
        <w:rPr>
          <w:sz w:val="20"/>
          <w:szCs w:val="20"/>
          <w:color w:val="auto"/>
        </w:rPr>
      </w:pPr>
    </w:p>
    <w:p>
      <w:pPr>
        <w:ind w:right="380" w:firstLine="648"/>
        <w:spacing w:after="0" w:line="256"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0" w:right="27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174" w:lineRule="exact"/>
        <w:rPr>
          <w:sz w:val="20"/>
          <w:szCs w:val="20"/>
          <w:color w:val="auto"/>
        </w:rPr>
      </w:pPr>
    </w:p>
    <w:p>
      <w:pPr>
        <w:jc w:val="both"/>
        <w:ind w:right="80" w:firstLine="648"/>
        <w:spacing w:after="0" w:line="298"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(Accounting Policies and Basis of Presentation) of the Notes to Consolidated Financial Statements following Item 15 of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results of our operations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5"/>
                <w:szCs w:val="15"/>
                <w:b w:val="1"/>
                <w:bCs w:val="1"/>
                <w:color w:val="auto"/>
                <w:w w:val="97"/>
              </w:rPr>
              <w:t>Year ended December 31,</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3"/>
              <w:spacing w:after="0" w:line="162"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line="162" w:lineRule="exact"/>
              <w:rPr>
                <w:sz w:val="20"/>
                <w:szCs w:val="20"/>
                <w:color w:val="auto"/>
              </w:rPr>
            </w:pPr>
            <w:r>
              <w:rPr>
                <w:rFonts w:ascii="Arial" w:cs="Arial" w:eastAsia="Arial" w:hAnsi="Arial"/>
                <w:sz w:val="15"/>
                <w:szCs w:val="15"/>
                <w:b w:val="1"/>
                <w:bCs w:val="1"/>
                <w:color w:val="auto"/>
              </w:rPr>
              <w:t>2016</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jc w:val="right"/>
              <w:ind w:right="353"/>
              <w:spacing w:after="0" w:line="162"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Direct written premiums</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121,575</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103,192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18,383</w:t>
            </w:r>
          </w:p>
        </w:tc>
        <w:tc>
          <w:tcPr>
            <w:tcW w:w="136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Assumed written premiums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121,598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103,221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18,377</w:t>
            </w:r>
          </w:p>
        </w:tc>
        <w:tc>
          <w:tcPr>
            <w:tcW w:w="136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Ceded written premiums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Ceded to quota share treaties in force during the period</w:t>
            </w: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23,623</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26,377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(2,754)</w:t>
            </w: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Return of premiums previously ceded to prior quota share treaties (1)</w:t>
            </w: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(7,140)</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8"/>
                <w:szCs w:val="18"/>
                <w:color w:val="auto"/>
              </w:rPr>
              <w:t>Ceded to quota share treaties</w:t>
            </w: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16,483</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26,377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(9,894)</w:t>
            </w:r>
          </w:p>
        </w:tc>
        <w:tc>
          <w:tcPr>
            <w:tcW w:w="136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Ceded to excess of loss treaties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1,209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1,389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500"/>
              <w:spacing w:after="0"/>
              <w:rPr>
                <w:sz w:val="20"/>
                <w:szCs w:val="20"/>
                <w:color w:val="auto"/>
              </w:rPr>
            </w:pPr>
            <w:r>
              <w:rPr>
                <w:rFonts w:ascii="Arial" w:cs="Arial" w:eastAsia="Arial" w:hAnsi="Arial"/>
                <w:sz w:val="18"/>
                <w:szCs w:val="18"/>
                <w:color w:val="auto"/>
              </w:rPr>
              <w:t>Ceded to catastrophe treaties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11,037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9,529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1,508</w:t>
            </w:r>
          </w:p>
        </w:tc>
        <w:tc>
          <w:tcPr>
            <w:tcW w:w="136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ceded written premiums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28,729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37,295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92,869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65,926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26,943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unearned premiums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Direct and assumed</w:t>
            </w:r>
          </w:p>
        </w:tc>
        <w:tc>
          <w:tcPr>
            <w:tcW w:w="3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(10,653)</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(6,104)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(4,549)</w:t>
            </w:r>
          </w:p>
        </w:tc>
        <w:tc>
          <w:tcPr>
            <w:tcW w:w="1360" w:type="dxa"/>
            <w:vAlign w:val="bottom"/>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Ceded to quota share treaties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(4,865)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1,586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180"/>
              <w:spacing w:after="0"/>
              <w:rPr>
                <w:sz w:val="20"/>
                <w:szCs w:val="20"/>
                <w:color w:val="auto"/>
              </w:rPr>
            </w:pPr>
            <w:r>
              <w:rPr>
                <w:rFonts w:ascii="Arial" w:cs="Arial" w:eastAsia="Arial" w:hAnsi="Arial"/>
                <w:sz w:val="18"/>
                <w:szCs w:val="18"/>
                <w:color w:val="auto"/>
              </w:rPr>
              <w:t>Change in net unearned premiums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(15,518)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(4,518)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360" w:type="dxa"/>
            <w:vAlign w:val="bottom"/>
          </w:tcPr>
          <w:p>
            <w:pPr>
              <w:jc w:val="right"/>
              <w:spacing w:after="0"/>
              <w:rPr>
                <w:sz w:val="20"/>
                <w:szCs w:val="20"/>
                <w:color w:val="auto"/>
              </w:rPr>
            </w:pPr>
            <w:r>
              <w:rPr>
                <w:rFonts w:ascii="Arial" w:cs="Arial" w:eastAsia="Arial" w:hAnsi="Arial"/>
                <w:sz w:val="18"/>
                <w:szCs w:val="18"/>
                <w:color w:val="auto"/>
              </w:rPr>
              <w:t>243.5%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Premiums earned</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110,945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97,116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13,829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Ceded to quota share treaties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(33,594)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(35,708)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2,114</w:t>
            </w: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77,351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61,408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15,943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Ceding commission revenue</w:t>
            </w: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9,933</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11,268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(1,335)</w:t>
            </w: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4,133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3,116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Net realized gains on investments</w:t>
            </w: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529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w:t>
            </w:r>
          </w:p>
        </w:tc>
        <w:tc>
          <w:tcPr>
            <w:tcW w:w="136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1,268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1,115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92,769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77,436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15,333</w:t>
            </w: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60" w:type="dxa"/>
            <w:vAlign w:val="bottom"/>
          </w:tcPr>
          <w:p>
            <w:pPr>
              <w:spacing w:after="0"/>
              <w:rPr>
                <w:sz w:val="20"/>
                <w:szCs w:val="20"/>
                <w:color w:val="auto"/>
              </w:rPr>
            </w:pPr>
            <w:r>
              <w:rPr>
                <w:rFonts w:ascii="Arial" w:cs="Arial" w:eastAsia="Arial" w:hAnsi="Arial"/>
                <w:sz w:val="18"/>
                <w:szCs w:val="18"/>
                <w:color w:val="auto"/>
              </w:rPr>
              <w:t>___________________</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340" w:right="8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1, 2017, we decreased the quota share ceding rate in our personal lines quota share treaty from 40% to 20%. The Cut-off of this treaty on July 1, 2017 resulted in a $7,140,000 return of unearned premiums from our reinsurers that were previously ceded under the expiring personal lines quota share treaty.</w:t>
      </w:r>
    </w:p>
    <w:p>
      <w:pPr>
        <w:sectPr>
          <w:pgSz w:w="11900" w:h="16838" w:orient="portrait"/>
          <w:cols w:equalWidth="0" w:num="1">
            <w:col w:w="11480"/>
          </w:cols>
          <w:pgMar w:left="240" w:top="130" w:right="179" w:bottom="1440" w:gutter="0" w:footer="0" w:header="0"/>
        </w:sectPr>
      </w:pP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130" w:right="17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72"/>
        </w:trPr>
        <w:tc>
          <w:tcPr>
            <w:tcW w:w="5960" w:type="dxa"/>
            <w:vAlign w:val="bottom"/>
            <w:gridSpan w:val="3"/>
          </w:tcPr>
          <w:p>
            <w:pPr>
              <w:spacing w:after="0"/>
              <w:rPr>
                <w:rFonts w:ascii="Arial" w:cs="Arial" w:eastAsia="Arial" w:hAnsi="Arial"/>
                <w:sz w:val="15"/>
                <w:szCs w:val="15"/>
                <w:color w:val="0000EE"/>
              </w:rPr>
            </w:pPr>
            <w:hyperlink w:anchor="page1">
              <w:r>
                <w:rPr>
                  <w:rFonts w:ascii="Arial" w:cs="Arial" w:eastAsia="Arial" w:hAnsi="Arial"/>
                  <w:sz w:val="15"/>
                  <w:szCs w:val="15"/>
                  <w:color w:val="0000EE"/>
                </w:rPr>
                <w:t>Index</w:t>
              </w:r>
            </w:hyperlink>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3"/>
            <w:vMerge w:val="restart"/>
          </w:tcPr>
          <w:p>
            <w:pPr>
              <w:jc w:val="right"/>
              <w:ind w:right="473"/>
              <w:spacing w:after="0"/>
              <w:rPr>
                <w:sz w:val="20"/>
                <w:szCs w:val="20"/>
                <w:color w:val="auto"/>
              </w:rPr>
            </w:pPr>
            <w:r>
              <w:rPr>
                <w:rFonts w:ascii="Arial" w:cs="Arial" w:eastAsia="Arial" w:hAnsi="Arial"/>
                <w:sz w:val="15"/>
                <w:szCs w:val="15"/>
                <w:b w:val="1"/>
                <w:bCs w:val="1"/>
                <w:color w:val="auto"/>
                <w:w w:val="97"/>
              </w:rPr>
              <w:t>Year ended December 31,</w:t>
            </w: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96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53"/>
              <w:spacing w:after="0" w:line="162" w:lineRule="exact"/>
              <w:rPr>
                <w:sz w:val="20"/>
                <w:szCs w:val="20"/>
                <w:color w:val="auto"/>
              </w:rPr>
            </w:pPr>
            <w:r>
              <w:rPr>
                <w:rFonts w:ascii="Arial" w:cs="Arial" w:eastAsia="Arial" w:hAnsi="Arial"/>
                <w:sz w:val="15"/>
                <w:szCs w:val="15"/>
                <w:b w:val="1"/>
                <w:bCs w:val="1"/>
                <w:color w:val="auto"/>
              </w:rPr>
              <w:t>2017</w:t>
            </w:r>
          </w:p>
        </w:tc>
        <w:tc>
          <w:tcPr>
            <w:tcW w:w="380" w:type="dxa"/>
            <w:vAlign w:val="bottom"/>
          </w:tcPr>
          <w:p>
            <w:pPr>
              <w:spacing w:after="0"/>
              <w:rPr>
                <w:sz w:val="14"/>
                <w:szCs w:val="14"/>
                <w:color w:val="auto"/>
              </w:rPr>
            </w:pPr>
          </w:p>
        </w:tc>
        <w:tc>
          <w:tcPr>
            <w:tcW w:w="1000" w:type="dxa"/>
            <w:vAlign w:val="bottom"/>
          </w:tcPr>
          <w:p>
            <w:pPr>
              <w:jc w:val="right"/>
              <w:ind w:right="454"/>
              <w:spacing w:after="0" w:line="162" w:lineRule="exact"/>
              <w:rPr>
                <w:sz w:val="20"/>
                <w:szCs w:val="20"/>
                <w:color w:val="auto"/>
              </w:rPr>
            </w:pPr>
            <w:r>
              <w:rPr>
                <w:rFonts w:ascii="Arial" w:cs="Arial" w:eastAsia="Arial" w:hAnsi="Arial"/>
                <w:sz w:val="15"/>
                <w:szCs w:val="15"/>
                <w:b w:val="1"/>
                <w:bCs w:val="1"/>
                <w:color w:val="auto"/>
              </w:rPr>
              <w:t>2016</w:t>
            </w:r>
          </w:p>
        </w:tc>
        <w:tc>
          <w:tcPr>
            <w:tcW w:w="320" w:type="dxa"/>
            <w:vAlign w:val="bottom"/>
          </w:tcPr>
          <w:p>
            <w:pPr>
              <w:spacing w:after="0"/>
              <w:rPr>
                <w:sz w:val="14"/>
                <w:szCs w:val="14"/>
                <w:color w:val="auto"/>
              </w:rPr>
            </w:pPr>
          </w:p>
        </w:tc>
        <w:tc>
          <w:tcPr>
            <w:tcW w:w="1040" w:type="dxa"/>
            <w:vAlign w:val="bottom"/>
          </w:tcPr>
          <w:p>
            <w:pPr>
              <w:jc w:val="right"/>
              <w:ind w:right="353"/>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Pr>
          <w:p>
            <w:pPr>
              <w:jc w:val="right"/>
              <w:ind w:right="353"/>
              <w:spacing w:after="0" w:line="162" w:lineRule="exact"/>
              <w:rPr>
                <w:sz w:val="20"/>
                <w:szCs w:val="20"/>
                <w:color w:val="auto"/>
              </w:rPr>
            </w:pPr>
            <w:r>
              <w:rPr>
                <w:rFonts w:ascii="Arial" w:cs="Arial" w:eastAsia="Arial" w:hAnsi="Arial"/>
                <w:sz w:val="15"/>
                <w:szCs w:val="15"/>
                <w:b w:val="1"/>
                <w:bCs w:val="1"/>
                <w:color w:val="auto"/>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 (continued)</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92,769</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77,436</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15,333</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Loss and loss adjustment expenses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Direct and assumed: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48,253</w:t>
            </w:r>
          </w:p>
        </w:tc>
        <w:tc>
          <w:tcPr>
            <w:tcW w:w="38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37,249</w:t>
            </w:r>
          </w:p>
        </w:tc>
        <w:tc>
          <w:tcPr>
            <w:tcW w:w="32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11,004</w:t>
            </w:r>
          </w:p>
        </w:tc>
        <w:tc>
          <w:tcPr>
            <w:tcW w:w="136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Losses from catastrophes (1)</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2,337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Total direct and assumed loss and loss adjustment expenses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48,253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39,586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8,667</w:t>
            </w:r>
          </w:p>
        </w:tc>
        <w:tc>
          <w:tcPr>
            <w:tcW w:w="136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Ceded loss and loss adjustment expenses: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14,067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10,862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Losses from catastrophes (1)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935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ceded loss and loss adjustment expenses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14,067</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11,797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loss and loss adjustment expenses: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34,186</w:t>
            </w:r>
          </w:p>
        </w:tc>
        <w:tc>
          <w:tcPr>
            <w:tcW w:w="38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26,387</w:t>
            </w:r>
          </w:p>
        </w:tc>
        <w:tc>
          <w:tcPr>
            <w:tcW w:w="32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7,799</w:t>
            </w:r>
          </w:p>
        </w:tc>
        <w:tc>
          <w:tcPr>
            <w:tcW w:w="136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Losses from catastrophes (1)</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1,402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Net loss and loss adjustment expenses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34,186</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27,789</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6,397</w:t>
            </w:r>
          </w:p>
        </w:tc>
        <w:tc>
          <w:tcPr>
            <w:tcW w:w="136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Commission expense</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21,182</w:t>
            </w:r>
          </w:p>
        </w:tc>
        <w:tc>
          <w:tcPr>
            <w:tcW w:w="38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18,327</w:t>
            </w:r>
          </w:p>
        </w:tc>
        <w:tc>
          <w:tcPr>
            <w:tcW w:w="32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2,855</w:t>
            </w: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underwriting expenses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18,116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14,867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3,513</w:t>
            </w:r>
          </w:p>
        </w:tc>
        <w:tc>
          <w:tcPr>
            <w:tcW w:w="38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1,910</w:t>
            </w:r>
          </w:p>
        </w:tc>
        <w:tc>
          <w:tcPr>
            <w:tcW w:w="32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1,603</w:t>
            </w:r>
          </w:p>
        </w:tc>
        <w:tc>
          <w:tcPr>
            <w:tcW w:w="1360" w:type="dxa"/>
            <w:vAlign w:val="bottom"/>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1,403</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1,125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78,460</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64,018</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14,442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 before taxes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14,309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13,418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Provision for income tax</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4,323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4,518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9,986</w:t>
            </w:r>
          </w:p>
        </w:tc>
        <w:tc>
          <w:tcPr>
            <w:tcW w:w="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8,900</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1,086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___________________</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year ended December 31, 2016,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15"/>
                <w:szCs w:val="15"/>
                <w:b w:val="1"/>
                <w:bCs w:val="1"/>
                <w:color w:val="auto"/>
              </w:rPr>
              <w:t>Year ended December 31,</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tcPr>
          <w:p>
            <w:pPr>
              <w:jc w:val="right"/>
              <w:ind w:right="58"/>
              <w:spacing w:after="0" w:line="149" w:lineRule="exact"/>
              <w:rPr>
                <w:sz w:val="20"/>
                <w:szCs w:val="20"/>
                <w:color w:val="auto"/>
              </w:rPr>
            </w:pPr>
            <w:r>
              <w:rPr>
                <w:rFonts w:ascii="Arial" w:cs="Arial" w:eastAsia="Arial" w:hAnsi="Arial"/>
                <w:sz w:val="15"/>
                <w:szCs w:val="15"/>
                <w:b w:val="1"/>
                <w:bCs w:val="1"/>
                <w:color w:val="auto"/>
                <w:w w:val="92"/>
              </w:rPr>
              <w:t>Percentage Point</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2016</w:t>
            </w:r>
          </w:p>
        </w:tc>
        <w:tc>
          <w:tcPr>
            <w:tcW w:w="130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rPr>
              <w:t>Percent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Key ratios:</w:t>
            </w:r>
          </w:p>
        </w:tc>
        <w:tc>
          <w:tcPr>
            <w:tcW w:w="7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Net loss ratio</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w w:val="93"/>
              </w:rPr>
              <w:t>44.2%</w:t>
            </w:r>
          </w:p>
        </w:tc>
        <w:tc>
          <w:tcPr>
            <w:tcW w:w="1160" w:type="dxa"/>
            <w:vAlign w:val="bottom"/>
          </w:tcPr>
          <w:p>
            <w:pPr>
              <w:jc w:val="right"/>
              <w:spacing w:after="0"/>
              <w:rPr>
                <w:sz w:val="20"/>
                <w:szCs w:val="20"/>
                <w:color w:val="auto"/>
              </w:rPr>
            </w:pPr>
            <w:r>
              <w:rPr>
                <w:rFonts w:ascii="Arial" w:cs="Arial" w:eastAsia="Arial" w:hAnsi="Arial"/>
                <w:sz w:val="18"/>
                <w:szCs w:val="18"/>
                <w:color w:val="auto"/>
              </w:rPr>
              <w:t>45.3%</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3"/>
              </w:rPr>
              <w:t>36.4%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Net combined ratio</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w w:val="93"/>
              </w:rPr>
              <w:t>80.6%</w:t>
            </w:r>
          </w:p>
        </w:tc>
        <w:tc>
          <w:tcPr>
            <w:tcW w:w="1160" w:type="dxa"/>
            <w:vAlign w:val="bottom"/>
          </w:tcPr>
          <w:p>
            <w:pPr>
              <w:jc w:val="right"/>
              <w:spacing w:after="0"/>
              <w:rPr>
                <w:sz w:val="20"/>
                <w:szCs w:val="20"/>
                <w:color w:val="auto"/>
              </w:rPr>
            </w:pPr>
            <w:r>
              <w:rPr>
                <w:rFonts w:ascii="Arial" w:cs="Arial" w:eastAsia="Arial" w:hAnsi="Arial"/>
                <w:sz w:val="18"/>
                <w:szCs w:val="18"/>
                <w:color w:val="auto"/>
              </w:rPr>
              <w:t>79.2%</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1.4</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60" w:type="dxa"/>
            <w:vAlign w:val="bottom"/>
            <w:vMerge w:val="restart"/>
          </w:tcPr>
          <w:p>
            <w:pPr>
              <w:ind w:left="5620"/>
              <w:spacing w:after="0"/>
              <w:rPr>
                <w:sz w:val="20"/>
                <w:szCs w:val="20"/>
                <w:color w:val="auto"/>
              </w:rPr>
            </w:pPr>
            <w:r>
              <w:rPr>
                <w:rFonts w:ascii="Arial" w:cs="Arial" w:eastAsia="Arial" w:hAnsi="Arial"/>
                <w:sz w:val="18"/>
                <w:szCs w:val="18"/>
                <w:color w:val="auto"/>
              </w:rPr>
              <w:t>28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59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Direct written premiums during the year ended December 31, 2017 (“2017”) were $121,575,000 compared to $103,192,000 during the year ended December 31, 2016 (“2016”). The increase of $18,383,000, or 17.8%, was primarily due to an increase in policies in-force during 2017 as compared to 2016. We wrote more new policies as a result of continued demand for our products in the markets that we serve. We believe that a portion of our growth in new policies is attributable to our upgraded A.M. Best rating of A- Excellent that we received in April 2017. In 2017, we started writing homeowners policies in New Jersey and Rhode Island. We refer to our New York business as our “Core” business and the business outside of New York as our “Expansion” business. Direct written premiums from our Expansion business were $1,800,000 in 2017. Policies in-force increased by 17.2% as of December 31, 2017 compared to December 31,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right="80" w:firstLine="648"/>
        <w:spacing w:after="0" w:line="306" w:lineRule="auto"/>
        <w:rPr>
          <w:sz w:val="20"/>
          <w:szCs w:val="20"/>
          <w:color w:val="auto"/>
        </w:rPr>
      </w:pPr>
      <w:r>
        <w:rPr>
          <w:rFonts w:ascii="Arial" w:cs="Arial" w:eastAsia="Arial" w:hAnsi="Arial"/>
          <w:sz w:val="16"/>
          <w:szCs w:val="16"/>
          <w:color w:val="auto"/>
        </w:rPr>
        <w:t>The following table describes the quota share reinsurance ceding rates in effect during 2017 and 2016. For purposes of the discussion herein, the change in quota share ceding rates on July 1, 2017 will be referred to as “the Cut-off”. This table should be referred to in conjunction with the discussions for net written premiums, net premiums earned, ceding commission revenue and net loss and loss adjustment expenses that follow.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Pr>
          <w:p>
            <w:pPr>
              <w:spacing w:after="0"/>
              <w:rPr>
                <w:sz w:val="18"/>
                <w:szCs w:val="18"/>
                <w:color w:val="auto"/>
              </w:rPr>
            </w:pPr>
          </w:p>
        </w:tc>
        <w:tc>
          <w:tcPr>
            <w:tcW w:w="276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b w:val="1"/>
                <w:bCs w:val="1"/>
                <w:color w:val="auto"/>
              </w:rPr>
              <w:t>Year ended December 31, 2017</w:t>
            </w:r>
          </w:p>
        </w:tc>
        <w:tc>
          <w:tcPr>
            <w:tcW w:w="2700" w:type="dxa"/>
            <w:vAlign w:val="bottom"/>
            <w:tcBorders>
              <w:bottom w:val="single" w:sz="8" w:color="auto"/>
            </w:tcBorders>
            <w:gridSpan w:val="2"/>
          </w:tcPr>
          <w:p>
            <w:pPr>
              <w:ind w:left="360"/>
              <w:spacing w:after="0"/>
              <w:rPr>
                <w:sz w:val="20"/>
                <w:szCs w:val="20"/>
                <w:color w:val="auto"/>
              </w:rPr>
            </w:pPr>
            <w:r>
              <w:rPr>
                <w:rFonts w:ascii="Arial" w:cs="Arial" w:eastAsia="Arial" w:hAnsi="Arial"/>
                <w:sz w:val="15"/>
                <w:szCs w:val="15"/>
                <w:b w:val="1"/>
                <w:bCs w:val="1"/>
                <w:color w:val="auto"/>
              </w:rPr>
              <w:t>Year ended December 31, 2016</w:t>
            </w:r>
          </w:p>
        </w:tc>
        <w:tc>
          <w:tcPr>
            <w:tcW w:w="0" w:type="dxa"/>
            <w:vAlign w:val="bottom"/>
          </w:tcPr>
          <w:p>
            <w:pPr>
              <w:spacing w:after="0"/>
              <w:rPr>
                <w:sz w:val="1"/>
                <w:szCs w:val="1"/>
                <w:color w:val="auto"/>
              </w:rPr>
            </w:pPr>
          </w:p>
        </w:tc>
      </w:tr>
      <w:tr>
        <w:trPr>
          <w:trHeight w:val="260"/>
        </w:trPr>
        <w:tc>
          <w:tcPr>
            <w:tcW w:w="596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1"/>
              </w:rPr>
              <w:t>January 1,</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1"/>
              </w:rPr>
              <w:t>January 1,</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98"/>
              </w:rPr>
              <w:t>to</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233"/>
        </w:trPr>
        <w:tc>
          <w:tcPr>
            <w:tcW w:w="59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June 30,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40" w:type="dxa"/>
            <w:vAlign w:val="bottom"/>
          </w:tcPr>
          <w:p>
            <w:pPr>
              <w:jc w:val="right"/>
              <w:ind w:right="204"/>
              <w:spacing w:after="0" w:line="149" w:lineRule="exact"/>
              <w:rPr>
                <w:sz w:val="20"/>
                <w:szCs w:val="20"/>
                <w:color w:val="auto"/>
              </w:rPr>
            </w:pPr>
            <w:r>
              <w:rPr>
                <w:rFonts w:ascii="Arial" w:cs="Arial" w:eastAsia="Arial" w:hAnsi="Arial"/>
                <w:sz w:val="15"/>
                <w:szCs w:val="15"/>
                <w:b w:val="1"/>
                <w:bCs w:val="1"/>
                <w:color w:val="auto"/>
              </w:rPr>
              <w:t>("2016/2017</w:t>
            </w:r>
          </w:p>
        </w:tc>
        <w:tc>
          <w:tcPr>
            <w:tcW w:w="1420" w:type="dxa"/>
            <w:vAlign w:val="bottom"/>
          </w:tcPr>
          <w:p>
            <w:pPr>
              <w:jc w:val="right"/>
              <w:ind w:right="243"/>
              <w:spacing w:after="0" w:line="149" w:lineRule="exact"/>
              <w:rPr>
                <w:sz w:val="20"/>
                <w:szCs w:val="20"/>
                <w:color w:val="auto"/>
              </w:rPr>
            </w:pPr>
            <w:r>
              <w:rPr>
                <w:rFonts w:ascii="Arial" w:cs="Arial" w:eastAsia="Arial" w:hAnsi="Arial"/>
                <w:sz w:val="15"/>
                <w:szCs w:val="15"/>
                <w:b w:val="1"/>
                <w:bCs w:val="1"/>
                <w:color w:val="auto"/>
              </w:rPr>
              <w:t>("2017/2019</w:t>
            </w:r>
          </w:p>
        </w:tc>
        <w:tc>
          <w:tcPr>
            <w:tcW w:w="1320" w:type="dxa"/>
            <w:vAlign w:val="bottom"/>
          </w:tcPr>
          <w:p>
            <w:pPr>
              <w:jc w:val="right"/>
              <w:ind w:right="204"/>
              <w:spacing w:after="0" w:line="149" w:lineRule="exact"/>
              <w:rPr>
                <w:sz w:val="20"/>
                <w:szCs w:val="20"/>
                <w:color w:val="auto"/>
              </w:rPr>
            </w:pPr>
            <w:r>
              <w:rPr>
                <w:rFonts w:ascii="Arial" w:cs="Arial" w:eastAsia="Arial" w:hAnsi="Arial"/>
                <w:sz w:val="15"/>
                <w:szCs w:val="15"/>
                <w:b w:val="1"/>
                <w:bCs w:val="1"/>
                <w:color w:val="auto"/>
              </w:rPr>
              <w:t>("2015/2016</w:t>
            </w:r>
          </w:p>
        </w:tc>
        <w:tc>
          <w:tcPr>
            <w:tcW w:w="1380" w:type="dxa"/>
            <w:vAlign w:val="bottom"/>
          </w:tcPr>
          <w:p>
            <w:pPr>
              <w:jc w:val="right"/>
              <w:ind w:right="223"/>
              <w:spacing w:after="0" w:line="149" w:lineRule="exact"/>
              <w:rPr>
                <w:sz w:val="20"/>
                <w:szCs w:val="20"/>
                <w:color w:val="auto"/>
              </w:rPr>
            </w:pPr>
            <w:r>
              <w:rPr>
                <w:rFonts w:ascii="Arial" w:cs="Arial" w:eastAsia="Arial" w:hAnsi="Arial"/>
                <w:sz w:val="15"/>
                <w:szCs w:val="15"/>
                <w:b w:val="1"/>
                <w:bCs w:val="1"/>
                <w:color w:val="auto"/>
              </w:rPr>
              <w:t>("2016/2017</w:t>
            </w:r>
          </w:p>
        </w:tc>
        <w:tc>
          <w:tcPr>
            <w:tcW w:w="0" w:type="dxa"/>
            <w:vAlign w:val="bottom"/>
          </w:tcPr>
          <w:p>
            <w:pPr>
              <w:spacing w:after="0"/>
              <w:rPr>
                <w:sz w:val="1"/>
                <w:szCs w:val="1"/>
                <w:color w:val="auto"/>
              </w:rPr>
            </w:pPr>
          </w:p>
        </w:tc>
      </w:tr>
      <w:tr>
        <w:trPr>
          <w:trHeight w:val="192"/>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Quota share reinsurance rates</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7"/>
              </w:rPr>
              <w:t>Treaty")</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7"/>
              </w:rPr>
              <w:t>Treaty")</w:t>
            </w:r>
          </w:p>
        </w:tc>
        <w:tc>
          <w:tcPr>
            <w:tcW w:w="0" w:type="dxa"/>
            <w:vAlign w:val="bottom"/>
          </w:tcPr>
          <w:p>
            <w:pPr>
              <w:spacing w:after="0"/>
              <w:rPr>
                <w:sz w:val="1"/>
                <w:szCs w:val="1"/>
                <w:color w:val="auto"/>
              </w:rPr>
            </w:pPr>
          </w:p>
        </w:tc>
      </w:tr>
      <w:tr>
        <w:trPr>
          <w:trHeight w:val="198"/>
        </w:trPr>
        <w:tc>
          <w:tcPr>
            <w:tcW w:w="596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Personal lines</w:t>
            </w:r>
          </w:p>
        </w:tc>
        <w:tc>
          <w:tcPr>
            <w:tcW w:w="134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40%</w:t>
            </w:r>
          </w:p>
        </w:tc>
        <w:tc>
          <w:tcPr>
            <w:tcW w:w="1420" w:type="dxa"/>
            <w:vAlign w:val="bottom"/>
            <w:shd w:val="clear" w:color="auto" w:fill="CCEEFF"/>
          </w:tcPr>
          <w:p>
            <w:pPr>
              <w:jc w:val="right"/>
              <w:ind w:right="463"/>
              <w:spacing w:after="0"/>
              <w:rPr>
                <w:sz w:val="20"/>
                <w:szCs w:val="20"/>
                <w:color w:val="auto"/>
              </w:rPr>
            </w:pPr>
            <w:r>
              <w:rPr>
                <w:rFonts w:ascii="Arial" w:cs="Arial" w:eastAsia="Arial" w:hAnsi="Arial"/>
                <w:sz w:val="18"/>
                <w:szCs w:val="18"/>
                <w:color w:val="auto"/>
              </w:rPr>
              <w:t>20%</w:t>
            </w:r>
          </w:p>
        </w:tc>
        <w:tc>
          <w:tcPr>
            <w:tcW w:w="132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40%</w:t>
            </w:r>
          </w:p>
        </w:tc>
        <w:tc>
          <w:tcPr>
            <w:tcW w:w="1380" w:type="dxa"/>
            <w:vAlign w:val="bottom"/>
            <w:shd w:val="clear" w:color="auto" w:fill="CCEEFF"/>
          </w:tcPr>
          <w:p>
            <w:pPr>
              <w:jc w:val="right"/>
              <w:ind w:right="44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“Reinsurance” below for changes to our personal lines quota share treaty effective July 1, 2017.</w:t>
      </w:r>
    </w:p>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Net written premiums increased $26,943,000, or 40.9%, to $92,869,000 in 2017 from $65,926,000 in 2016.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quota share ceding rate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Effective July 1, 2017, we decreased the quota share ceding rate in our personal lines quota share treaty from 40% to 20%. The Cut-off of this treaty on July 1, 2017 resulted in a $7,140,000 return of unearned premiums from our reinsurers that were previously ceded under the expiring personal lines quota share treaty. We did not change our quota share ceding rate on July 1, 2016, and accordingly, there was no return of unearned premiums from our reinsurers (in contrast with what occurred on July 1, 2017), thus magnifying the percentage increase in net written premiums in 2017. The table below shows the effect of the $7,140,000 return of ceded premiums on net written premiums for 2017: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3"/>
            <w:shd w:val="clear" w:color="auto" w:fill="CCEEFF"/>
          </w:tcPr>
          <w:p>
            <w:pPr>
              <w:jc w:val="right"/>
              <w:ind w:right="476"/>
              <w:spacing w:after="0"/>
              <w:rPr>
                <w:sz w:val="20"/>
                <w:szCs w:val="20"/>
                <w:color w:val="auto"/>
              </w:rPr>
            </w:pPr>
            <w:r>
              <w:rPr>
                <w:rFonts w:ascii="Arial" w:cs="Arial" w:eastAsia="Arial" w:hAnsi="Arial"/>
                <w:sz w:val="15"/>
                <w:szCs w:val="15"/>
                <w:b w:val="1"/>
                <w:bCs w:val="1"/>
                <w:color w:val="auto"/>
                <w:w w:val="97"/>
              </w:rPr>
              <w:t>Year ended December 31,</w:t>
            </w:r>
          </w:p>
        </w:tc>
        <w:tc>
          <w:tcPr>
            <w:tcW w:w="13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69"/>
        </w:trPr>
        <w:tc>
          <w:tcPr>
            <w:tcW w:w="20" w:type="dxa"/>
            <w:vAlign w:val="bottom"/>
          </w:tcPr>
          <w:p>
            <w:pPr>
              <w:spacing w:after="0"/>
              <w:rPr>
                <w:sz w:val="14"/>
                <w:szCs w:val="14"/>
                <w:color w:val="auto"/>
              </w:rPr>
            </w:pPr>
          </w:p>
        </w:tc>
        <w:tc>
          <w:tcPr>
            <w:tcW w:w="594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6"/>
              <w:spacing w:after="0" w:line="162" w:lineRule="exact"/>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8"/>
              <w:spacing w:after="0" w:line="162" w:lineRule="exact"/>
              <w:rPr>
                <w:sz w:val="20"/>
                <w:szCs w:val="20"/>
                <w:color w:val="auto"/>
              </w:rPr>
            </w:pPr>
            <w:r>
              <w:rPr>
                <w:rFonts w:ascii="Arial" w:cs="Arial" w:eastAsia="Arial" w:hAnsi="Arial"/>
                <w:sz w:val="15"/>
                <w:szCs w:val="15"/>
                <w:b w:val="1"/>
                <w:bCs w:val="1"/>
                <w:color w:val="auto"/>
              </w:rPr>
              <w:t>2016</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ind w:left="440"/>
              <w:spacing w:after="0" w:line="162" w:lineRule="exact"/>
              <w:rPr>
                <w:sz w:val="20"/>
                <w:szCs w:val="20"/>
                <w:color w:val="auto"/>
              </w:rPr>
            </w:pPr>
            <w:r>
              <w:rPr>
                <w:rFonts w:ascii="Arial" w:cs="Arial" w:eastAsia="Arial" w:hAnsi="Arial"/>
                <w:sz w:val="15"/>
                <w:szCs w:val="15"/>
                <w:b w:val="1"/>
                <w:bCs w:val="1"/>
                <w:color w:val="auto"/>
              </w:rPr>
              <w:t>Percent</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written premiums</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92,869</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65,926</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26,943</w:t>
            </w:r>
          </w:p>
        </w:tc>
        <w:tc>
          <w:tcPr>
            <w:tcW w:w="1360" w:type="dxa"/>
            <w:vAlign w:val="bottom"/>
            <w:shd w:val="clear" w:color="auto" w:fill="CCEEFF"/>
          </w:tcPr>
          <w:p>
            <w:pPr>
              <w:jc w:val="center"/>
              <w:ind w:left="836"/>
              <w:spacing w:after="0"/>
              <w:rPr>
                <w:sz w:val="20"/>
                <w:szCs w:val="20"/>
                <w:color w:val="auto"/>
              </w:rPr>
            </w:pPr>
            <w:r>
              <w:rPr>
                <w:rFonts w:ascii="Arial" w:cs="Arial" w:eastAsia="Arial" w:hAnsi="Arial"/>
                <w:sz w:val="18"/>
                <w:szCs w:val="18"/>
                <w:color w:val="auto"/>
                <w:w w:val="86"/>
              </w:rPr>
              <w:t>40.9%</w:t>
            </w:r>
          </w:p>
        </w:tc>
        <w:tc>
          <w:tcPr>
            <w:tcW w:w="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Return of premiums previously ceded to prior quota share treaties</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7,140</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7,140</w:t>
            </w:r>
          </w:p>
        </w:tc>
        <w:tc>
          <w:tcPr>
            <w:tcW w:w="1380" w:type="dxa"/>
            <w:vAlign w:val="bottom"/>
            <w:gridSpan w:val="2"/>
          </w:tcPr>
          <w:p>
            <w:pPr>
              <w:jc w:val="center"/>
              <w:ind w:left="816"/>
              <w:spacing w:after="0"/>
              <w:rPr>
                <w:sz w:val="20"/>
                <w:szCs w:val="20"/>
                <w:color w:val="auto"/>
              </w:rPr>
            </w:pPr>
            <w:r>
              <w:rPr>
                <w:rFonts w:ascii="Arial" w:cs="Arial" w:eastAsia="Arial" w:hAnsi="Arial"/>
                <w:sz w:val="18"/>
                <w:szCs w:val="18"/>
                <w:color w:val="auto"/>
                <w:w w:val="79"/>
              </w:rPr>
              <w:t>na</w:t>
            </w: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written premiums without the effect of the July 1, 2017 Cut-off</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85,729</w:t>
            </w:r>
          </w:p>
        </w:tc>
        <w:tc>
          <w:tcPr>
            <w:tcW w:w="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65,926</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19,803</w:t>
            </w:r>
          </w:p>
        </w:tc>
        <w:tc>
          <w:tcPr>
            <w:tcW w:w="1360" w:type="dxa"/>
            <w:vAlign w:val="bottom"/>
            <w:tcBorders>
              <w:bottom w:val="single" w:sz="8" w:color="CCEEFF"/>
            </w:tcBorders>
            <w:shd w:val="clear" w:color="auto" w:fill="CCEEFF"/>
          </w:tcPr>
          <w:p>
            <w:pPr>
              <w:jc w:val="center"/>
              <w:ind w:left="836"/>
              <w:spacing w:after="0"/>
              <w:rPr>
                <w:sz w:val="20"/>
                <w:szCs w:val="20"/>
                <w:color w:val="auto"/>
              </w:rPr>
            </w:pPr>
            <w:r>
              <w:rPr>
                <w:rFonts w:ascii="Arial" w:cs="Arial" w:eastAsia="Arial" w:hAnsi="Arial"/>
                <w:sz w:val="18"/>
                <w:szCs w:val="18"/>
                <w:color w:val="auto"/>
                <w:w w:val="86"/>
              </w:rPr>
              <w:t>30.0%</w:t>
            </w:r>
          </w:p>
        </w:tc>
        <w:tc>
          <w:tcPr>
            <w:tcW w:w="20" w:type="dxa"/>
            <w:vAlign w:val="bottom"/>
          </w:tcPr>
          <w:p>
            <w:pPr>
              <w:spacing w:after="0"/>
              <w:rPr>
                <w:sz w:val="22"/>
                <w:szCs w:val="22"/>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Without the $7,140,000 effect of the Cut-off in 2017, net written premiums increased by $19,803,000, or 30.0%, in 2017 compared to 2016.</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right="200" w:firstLine="648"/>
        <w:spacing w:after="0" w:line="335" w:lineRule="auto"/>
        <w:rPr>
          <w:sz w:val="20"/>
          <w:szCs w:val="20"/>
          <w:color w:val="auto"/>
        </w:rPr>
      </w:pPr>
      <w:r>
        <w:rPr>
          <w:rFonts w:ascii="Arial" w:cs="Arial" w:eastAsia="Arial" w:hAnsi="Arial"/>
          <w:sz w:val="15"/>
          <w:szCs w:val="15"/>
          <w:color w:val="auto"/>
        </w:rPr>
        <w:t>An increase in written premiums will also increase the premiums ceded under our excess of loss treaties, which incrementally reduces our net written premiums, all else being equal. However, in 2017, our ceded excess of loss reinsurance premiums decreased by $180,000 over the comparable ceded premiums for 2016. The decrease was due to more favorable reinsurance rates in 2017, partially offset by an increase in premiums subject to excess of loss reinsurance.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Most of the premiums written under our personal lines are also subject to our catastrophe treaty. An increase in our personal lines business gives rise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more property exposure, which increases our exposure to catastrophe risk; therefore, our premiums for catastrophe insurance will increase. This results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premiums ceded under our catastrophe treaty, which reduces net written premiums. In 2017, our catastrophe reinsurance premiums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$1,508,000 over the comparable ceded premiums for 2016. The increase was due to an increase in our catastrophe coverage and an increase in premiums subject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catastrophe reinsurance, partially offset by more favorable reinsurance rates in 2017</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ceded catastrophe premiums are paid based on the total direct written premiums subject to the catastrophe reinsurance treaty.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Net premiums earned increased $15,943,000, or 26.0%, to $77,351,000 in 2017 from $61,408,000 in 2016. The increase was due to the increase in written premiums discussed above and our retaining more earned premiums effective July 1, 2017, as a result of the reduction of the quota share percentage in our personal lines quota share treaty. The decrease in our quota share ceding percentage from the July 1, 2017 Cut-off gave us a $7,140,000 return of premiums previously ceded, which led to an increase in our net premiums earned during the period after the Cut-off. Due to our Expansion business beginning in 2017, net premiums earned from this business were only $344,000 in 2017.</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The following table details the quota share provisional ceding commission rates in effect during 2017 and 2016. This table should be referred to in conjunction with the discussion for ceding commission revenue that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96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auto"/>
            </w:tcBorders>
            <w:gridSpan w:val="2"/>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Year ended December 31, 2017</w:t>
            </w:r>
          </w:p>
        </w:tc>
        <w:tc>
          <w:tcPr>
            <w:tcW w:w="2700" w:type="dxa"/>
            <w:vAlign w:val="bottom"/>
            <w:tcBorders>
              <w:bottom w:val="single" w:sz="8" w:color="auto"/>
            </w:tcBorders>
            <w:gridSpan w:val="2"/>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Year ended December 31, 2016</w:t>
            </w:r>
          </w:p>
        </w:tc>
      </w:tr>
      <w:tr>
        <w:trPr>
          <w:trHeight w:val="243"/>
        </w:trPr>
        <w:tc>
          <w:tcPr>
            <w:tcW w:w="59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1"/>
              </w:rPr>
              <w:t>January 1,</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1"/>
              </w:rPr>
              <w:t>January 1,</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r>
      <w:tr>
        <w:trPr>
          <w:trHeight w:val="243"/>
        </w:trPr>
        <w:tc>
          <w:tcPr>
            <w:tcW w:w="596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4"/>
              </w:rPr>
              <w:t>to</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to</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4"/>
              </w:rPr>
              <w:t>to</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4"/>
              </w:rPr>
              <w:t>to</w:t>
            </w:r>
          </w:p>
        </w:tc>
      </w:tr>
      <w:tr>
        <w:trPr>
          <w:trHeight w:val="250"/>
        </w:trPr>
        <w:tc>
          <w:tcPr>
            <w:tcW w:w="596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June 30,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December 31,</w:t>
            </w:r>
          </w:p>
        </w:tc>
      </w:tr>
      <w:tr>
        <w:trPr>
          <w:trHeight w:val="149"/>
        </w:trPr>
        <w:tc>
          <w:tcPr>
            <w:tcW w:w="59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b w:val="1"/>
                <w:bCs w:val="1"/>
                <w:color w:val="auto"/>
                <w:w w:val="91"/>
              </w:rPr>
              <w:t>("2016/2017</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b w:val="1"/>
                <w:bCs w:val="1"/>
                <w:color w:val="auto"/>
                <w:w w:val="93"/>
              </w:rPr>
              <w:t>("2017/2019</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b w:val="1"/>
                <w:bCs w:val="1"/>
                <w:color w:val="auto"/>
                <w:w w:val="91"/>
              </w:rPr>
              <w:t>("2015/2016</w:t>
            </w: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b w:val="1"/>
                <w:bCs w:val="1"/>
                <w:color w:val="auto"/>
                <w:w w:val="91"/>
              </w:rPr>
              <w:t>("2016/2017</w:t>
            </w:r>
          </w:p>
        </w:tc>
      </w:tr>
      <w:tr>
        <w:trPr>
          <w:trHeight w:val="175"/>
        </w:trPr>
        <w:tc>
          <w:tcPr>
            <w:tcW w:w="596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7"/>
              </w:rPr>
              <w:t>Treaty")</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7"/>
              </w:rPr>
              <w:t>Treaty")</w:t>
            </w:r>
          </w:p>
        </w:tc>
      </w:tr>
      <w:tr>
        <w:trPr>
          <w:trHeight w:val="242"/>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Provisional ceding commission rate on quota share treaty</w:t>
            </w:r>
          </w:p>
        </w:tc>
        <w:tc>
          <w:tcPr>
            <w:tcW w:w="1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17"/>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Personal lines</w:t>
            </w:r>
          </w:p>
        </w:tc>
        <w:tc>
          <w:tcPr>
            <w:tcW w:w="1340" w:type="dxa"/>
            <w:vAlign w:val="bottom"/>
            <w:shd w:val="clear" w:color="auto" w:fill="CCEEFF"/>
          </w:tcPr>
          <w:p>
            <w:pPr>
              <w:jc w:val="right"/>
              <w:ind w:right="384"/>
              <w:spacing w:after="0"/>
              <w:rPr>
                <w:sz w:val="20"/>
                <w:szCs w:val="20"/>
                <w:color w:val="auto"/>
              </w:rPr>
            </w:pPr>
            <w:r>
              <w:rPr>
                <w:rFonts w:ascii="Arial" w:cs="Arial" w:eastAsia="Arial" w:hAnsi="Arial"/>
                <w:sz w:val="18"/>
                <w:szCs w:val="18"/>
                <w:color w:val="auto"/>
              </w:rPr>
              <w:t>52%</w:t>
            </w:r>
          </w:p>
        </w:tc>
        <w:tc>
          <w:tcPr>
            <w:tcW w:w="1420" w:type="dxa"/>
            <w:vAlign w:val="bottom"/>
            <w:shd w:val="clear" w:color="auto" w:fill="CCEEFF"/>
          </w:tcPr>
          <w:p>
            <w:pPr>
              <w:jc w:val="right"/>
              <w:ind w:right="443"/>
              <w:spacing w:after="0"/>
              <w:rPr>
                <w:sz w:val="20"/>
                <w:szCs w:val="20"/>
                <w:color w:val="auto"/>
              </w:rPr>
            </w:pPr>
            <w:r>
              <w:rPr>
                <w:rFonts w:ascii="Arial" w:cs="Arial" w:eastAsia="Arial" w:hAnsi="Arial"/>
                <w:sz w:val="18"/>
                <w:szCs w:val="18"/>
                <w:color w:val="auto"/>
              </w:rPr>
              <w:t>53%</w:t>
            </w:r>
          </w:p>
        </w:tc>
        <w:tc>
          <w:tcPr>
            <w:tcW w:w="1320" w:type="dxa"/>
            <w:vAlign w:val="bottom"/>
            <w:shd w:val="clear" w:color="auto" w:fill="CCEEFF"/>
          </w:tcPr>
          <w:p>
            <w:pPr>
              <w:jc w:val="right"/>
              <w:ind w:right="404"/>
              <w:spacing w:after="0"/>
              <w:rPr>
                <w:sz w:val="20"/>
                <w:szCs w:val="20"/>
                <w:color w:val="auto"/>
              </w:rPr>
            </w:pPr>
            <w:r>
              <w:rPr>
                <w:rFonts w:ascii="Arial" w:cs="Arial" w:eastAsia="Arial" w:hAnsi="Arial"/>
                <w:sz w:val="18"/>
                <w:szCs w:val="18"/>
                <w:color w:val="auto"/>
              </w:rPr>
              <w:t>55%</w:t>
            </w:r>
          </w:p>
        </w:tc>
        <w:tc>
          <w:tcPr>
            <w:tcW w:w="1380" w:type="dxa"/>
            <w:vAlign w:val="bottom"/>
            <w:shd w:val="clear" w:color="auto" w:fill="CCEEFF"/>
          </w:tcPr>
          <w:p>
            <w:pPr>
              <w:jc w:val="right"/>
              <w:ind w:right="403"/>
              <w:spacing w:after="0"/>
              <w:rPr>
                <w:sz w:val="20"/>
                <w:szCs w:val="20"/>
                <w:color w:val="auto"/>
              </w:rPr>
            </w:pPr>
            <w:r>
              <w:rPr>
                <w:rFonts w:ascii="Arial" w:cs="Arial" w:eastAsia="Arial" w:hAnsi="Arial"/>
                <w:sz w:val="18"/>
                <w:szCs w:val="18"/>
                <w:color w:val="auto"/>
              </w:rPr>
              <w:t>52%</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9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gridSpan w:val="3"/>
            <w:shd w:val="clear" w:color="auto" w:fill="CCEEFF"/>
          </w:tcPr>
          <w:p>
            <w:pPr>
              <w:jc w:val="right"/>
              <w:ind w:right="476"/>
              <w:spacing w:after="0"/>
              <w:rPr>
                <w:sz w:val="20"/>
                <w:szCs w:val="20"/>
                <w:color w:val="auto"/>
              </w:rPr>
            </w:pPr>
            <w:r>
              <w:rPr>
                <w:rFonts w:ascii="Arial" w:cs="Arial" w:eastAsia="Arial" w:hAnsi="Arial"/>
                <w:sz w:val="15"/>
                <w:szCs w:val="15"/>
                <w:b w:val="1"/>
                <w:bCs w:val="1"/>
                <w:color w:val="auto"/>
                <w:w w:val="97"/>
              </w:rPr>
              <w:t>Year ended December 31,</w:t>
            </w:r>
          </w:p>
        </w:tc>
        <w:tc>
          <w:tcPr>
            <w:tcW w:w="136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line="162" w:lineRule="exact"/>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6"/>
              <w:spacing w:after="0" w:line="162"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8"/>
              <w:spacing w:after="0" w:line="162" w:lineRule="exact"/>
              <w:rPr>
                <w:sz w:val="20"/>
                <w:szCs w:val="20"/>
                <w:color w:val="auto"/>
              </w:rPr>
            </w:pPr>
            <w:r>
              <w:rPr>
                <w:rFonts w:ascii="Arial" w:cs="Arial" w:eastAsia="Arial" w:hAnsi="Arial"/>
                <w:sz w:val="15"/>
                <w:szCs w:val="15"/>
                <w:b w:val="1"/>
                <w:bCs w:val="1"/>
                <w:color w:val="auto"/>
              </w:rPr>
              <w:t>2016</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10,677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12,769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(744)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(1,501)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757</w:t>
            </w:r>
          </w:p>
        </w:tc>
        <w:tc>
          <w:tcPr>
            <w:tcW w:w="136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ceding commission revenue</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9,933</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11,268</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Ceding commission revenue was $9,933,000 in 2017 compared to $11,268,000 in 2016. The decrease of $1,335,000, or 11.8%, was due to a decrease in provisional ceding commissions earned, partially offset by an increase in contingent ceding commissions earned.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receive a provisional ceding commission based on ceded written premiums. In 2017 our provisional ceding rate was 52% from January 1, 2017 through June 30, 2017 under the 2016/2017 Treaty and was increased to 53% effective July 1, 2017 under the 2017/2019 Treaty. In 2016 our provisional ceding rate was 55% from January 1, 2016 through June 30, 2016 under the 2015/2016 Treaty and was decreased to 52% effective July 1, 2016 under the 2016/2017 Treaty. The $2,092,000 decrease in provisional ceding commissions earned is primarily due to the decrease in quota share ceding rate effective July 1, 2017 to 20%, from the 40% rate in effect from January 1, 2016 through June 30, 2017; thus there was less ceded premiums beginning July 1, 2017 available to earn ceding commissions than there was in 2016. The decrease was partially offset by an increase in personal lines direct written premiums subject to the quota share and by the increase in our provisional ceding commission rate as discussed above.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treaties detailed in the table above that were in effect during 2017 are subject to change based on losses incurred from claims with accident dates beginning July 1, 2016. The amount of contingent ceding commissions we are eligible to receive under our prior years’ quota share treaties is subject to change based on losses incurred related to claims with accident dates before July 1, 2016.</w:t>
      </w:r>
    </w:p>
    <w:p>
      <w:pPr>
        <w:spacing w:after="0" w:line="170"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The 2017/2019 Treaty, 2016/2017 Treaty and 2015/2016 Treaty structure limits the amount of contingent ceding commissions that we can receive by setting the provisional commission rate higher than the rates we received in prior years. As a result of the higher upfront provisional ceding commissions that we receive, there is only a limited opportunity to earn contingent ceding commissions under these treaties. Under our current “net” treaty structure, catastrophe losses in excess of the $5,000,000 retention will fall outside of the quota share treaty and such losses will not have an impact on contingent ceding commissions. See “Reinsurance” below for changes to our personal lines quota share treaty effective July 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ind w:right="20" w:firstLine="648"/>
        <w:spacing w:after="0" w:line="306" w:lineRule="auto"/>
        <w:rPr>
          <w:sz w:val="20"/>
          <w:szCs w:val="20"/>
          <w:color w:val="auto"/>
        </w:rPr>
      </w:pPr>
      <w:r>
        <w:rPr>
          <w:rFonts w:ascii="Arial" w:cs="Arial" w:eastAsia="Arial" w:hAnsi="Arial"/>
          <w:sz w:val="16"/>
          <w:szCs w:val="16"/>
          <w:color w:val="auto"/>
        </w:rPr>
        <w:t>Net investment income was $4,133,000 in 2017 compared to $3,116,000 in 2016. The increase of $1,017,000, or 32.6%, was due to an increase in average invested assets in 2017. The average yield on invested assets was 3.66% as of December 31, 2017 compared to 3.99% as of December 31, 2016. The pre-tax equivalent yield on invested assets was 3.70% and 4.26% as of December 31, 2017 and 2016, respectively.</w:t>
      </w:r>
    </w:p>
    <w:p>
      <w:pPr>
        <w:spacing w:after="0" w:line="16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Cash and invested assets were $187,526,000 as of December 31, 2017, compared to $107,556,000 as of December 31, 2016. The $79,970,000 increase in cash and invested assets resulted primarily from the net proceeds of approximately $30,137,000 that we received in January and February 2017 from our public offering, approximately $29,122,000 that we received in December 2017 from our debt offering and operating cash flows of approximately $28,000,000, partially offset by dividends paid of approximately $2,800,000.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color w:val="auto"/>
        </w:rPr>
        <w:t>Other income was $1,268,000 in 2017 compared to $1,115,000 in 2016. The increase of $153,000, or 13.7%, was primarily due to an increase in installment and other fees earned in our insurance underwriting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ind w:right="420" w:firstLine="648"/>
        <w:spacing w:after="0" w:line="268" w:lineRule="auto"/>
        <w:rPr>
          <w:sz w:val="20"/>
          <w:szCs w:val="20"/>
          <w:color w:val="auto"/>
        </w:rPr>
      </w:pPr>
      <w:r>
        <w:rPr>
          <w:rFonts w:ascii="Arial" w:cs="Arial" w:eastAsia="Arial" w:hAnsi="Arial"/>
          <w:sz w:val="18"/>
          <w:szCs w:val="18"/>
          <w:color w:val="auto"/>
        </w:rPr>
        <w:t>Net loss and LAE was $34,186,000 in 2017 compared to $27,789,000 in 2016. The net loss ratio was 44.2% in 2017 compared to 45.3% in 2016, a decrease of 1.1 percentage points.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148590</wp:posOffset>
            </wp:positionV>
            <wp:extent cx="4073525" cy="3782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7352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During 2017, the net loss ratio decreased compared to 2016 due to a combination of several factors. First, there was a reduction in the impact of severe winter weather, defined as the losses incurred above those expected in an average winter. In 2017 we recorded no impact from severe winter weather, compared to 2.3 points in 2016, or a decrease of 2.3 points. Partially offsetting this impact, the core loss ratio excluding the impact of severe winter weather and prior year development increased to 44.3% in 2017 from 43.1% in 2016, or an increase of 1.2 points. In addition, we recorded 0.1 points of favorable prior year loss development in 2017 which was the same as the 0.1 point favorable prior year development impact recorded in 2016. The increase in the core net loss ratio is driven by increased claim severity in both personal and commercial lines. Personal lines was impacted by an increased frequency of large fire claims compared to 2016. See table below under “Additional Financial Information” summarizing net loss ratios by line of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ind w:right="100" w:firstLine="648"/>
        <w:spacing w:after="0" w:line="332" w:lineRule="auto"/>
        <w:rPr>
          <w:sz w:val="20"/>
          <w:szCs w:val="20"/>
          <w:color w:val="auto"/>
        </w:rPr>
      </w:pPr>
      <w:r>
        <w:rPr>
          <w:rFonts w:ascii="Arial" w:cs="Arial" w:eastAsia="Arial" w:hAnsi="Arial"/>
          <w:sz w:val="16"/>
          <w:szCs w:val="16"/>
          <w:color w:val="auto"/>
        </w:rPr>
        <w:t>Commission expense was $21,182,000 in 2017 or 19.1 % of direct earned premiums. Commission expense was $18,327,000 in 2016 or 18.9% of direct earned premiums. The increase of $2,855,000 is due to the increase in direct written premiums in 2017 as compared to 2016.</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Other underwriting expenses were $18,116,000 in 2017 compared to $14,867,000 in 2016. The increase of $3,249,000, or 21.9%, was primarily due to expenses related to growth in direct written premiums. These expenses can vary directly or indirectly as a percentage of written premiums. Expenses that vary directly with written premiums include underwriting expenses, software usage fees, and state premium taxes. Some expenses such as salaries, related employment costs, professional fees, and data services are indirectly related to written premiums. Such expenses are not proportional to written premiums and for our Expansion business these expenses are incurred in advance of policies written (“Expansion Expenses”). Expansion Expenses were $1,044,000 in 2017 compared to $476,000 in 2016. The increase of $568,000 includes the costs of salaries and employment costs, professional fees, IT and data services specifically attributable to the expansion into new states.</w:t>
      </w:r>
    </w:p>
    <w:p>
      <w:pPr>
        <w:spacing w:after="0" w:line="10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Core salaries and employment costs were $7,385,000 in 2017 compared to $6,788,000 in 2016. The increase of $597,000, or 8.8%, was less than the 17.8% increase in total direct written premiums, which is not yet materially affected by our Expansion business. The increase in employment costs was due to hiring of additional staff to service our current level of business and anticipated growth in volume as well as annual rate increases in salaries. Growth related to our Expansion business creates a lag in net premiums earned compared to direct written premiums for that business. This lag in net premiums earned along with the reduction to quota share rates distorts net underwriting expense ratio comparisons between periods. Therefore, we believe that reviewing the ratio of Core other underwriting expenses to Core net premiums earned offers a more consistent comparison between periods and is a more accurate indicator of our overall other underwriting expense efficiency. The following table breaks out the Core and Expansion components of our underwriting expense ratio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52"/>
              <w:spacing w:after="0"/>
              <w:rPr>
                <w:sz w:val="20"/>
                <w:szCs w:val="20"/>
                <w:color w:val="auto"/>
              </w:rPr>
            </w:pPr>
            <w:r>
              <w:rPr>
                <w:rFonts w:ascii="Arial" w:cs="Arial" w:eastAsia="Arial" w:hAnsi="Arial"/>
                <w:sz w:val="15"/>
                <w:szCs w:val="15"/>
                <w:b w:val="1"/>
                <w:bCs w:val="1"/>
                <w:color w:val="auto"/>
              </w:rPr>
              <w:t>Year ended</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236"/>
              <w:spacing w:after="0"/>
              <w:rPr>
                <w:sz w:val="20"/>
                <w:szCs w:val="20"/>
                <w:color w:val="auto"/>
              </w:rPr>
            </w:pPr>
            <w:r>
              <w:rPr>
                <w:rFonts w:ascii="Arial" w:cs="Arial" w:eastAsia="Arial" w:hAnsi="Arial"/>
                <w:sz w:val="15"/>
                <w:szCs w:val="15"/>
                <w:b w:val="1"/>
                <w:bCs w:val="1"/>
                <w:color w:val="auto"/>
                <w:w w:val="87"/>
              </w:rPr>
              <w:t>$ or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256"/>
              <w:spacing w:after="0"/>
              <w:rPr>
                <w:sz w:val="20"/>
                <w:szCs w:val="20"/>
                <w:color w:val="auto"/>
              </w:rPr>
            </w:pPr>
            <w:r>
              <w:rPr>
                <w:rFonts w:ascii="Arial" w:cs="Arial" w:eastAsia="Arial" w:hAnsi="Arial"/>
                <w:sz w:val="15"/>
                <w:szCs w:val="15"/>
                <w:b w:val="1"/>
                <w:bCs w:val="1"/>
                <w:color w:val="auto"/>
                <w:w w:val="90"/>
              </w:rPr>
              <w:t>Point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w w:val="95"/>
              </w:rPr>
              <w:t>2016</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6"/>
              <w:spacing w:after="0"/>
              <w:rPr>
                <w:sz w:val="20"/>
                <w:szCs w:val="20"/>
                <w:color w:val="auto"/>
              </w:rPr>
            </w:pPr>
            <w:r>
              <w:rPr>
                <w:rFonts w:ascii="Arial" w:cs="Arial" w:eastAsia="Arial" w:hAnsi="Arial"/>
                <w:sz w:val="15"/>
                <w:szCs w:val="15"/>
                <w:b w:val="1"/>
                <w:bCs w:val="1"/>
                <w:color w:val="auto"/>
                <w:w w:val="87"/>
              </w:rPr>
              <w:t>Change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Core</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77,007</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61,408</w:t>
            </w:r>
          </w:p>
        </w:tc>
        <w:tc>
          <w:tcPr>
            <w:tcW w:w="60" w:type="dxa"/>
            <w:vAlign w:val="bottom"/>
          </w:tcPr>
          <w:p>
            <w:pPr>
              <w:spacing w:after="0"/>
              <w:rPr>
                <w:sz w:val="18"/>
                <w:szCs w:val="18"/>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15,599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Expansion</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344</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77,351</w:t>
            </w: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61,408</w:t>
            </w:r>
          </w:p>
        </w:tc>
        <w:tc>
          <w:tcPr>
            <w:tcW w:w="60" w:type="dxa"/>
            <w:vAlign w:val="bottom"/>
          </w:tcPr>
          <w:p>
            <w:pPr>
              <w:spacing w:after="0"/>
              <w:rPr>
                <w:sz w:val="18"/>
                <w:szCs w:val="18"/>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15,943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underwriting expenses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Core</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17,072</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14,391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Expansion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1,044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18,116</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14,867</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underwriting expenses as a percentage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of net premiums earned</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Expansion</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303.5%</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780" w:firstLine="648"/>
        <w:spacing w:after="0" w:line="268" w:lineRule="auto"/>
        <w:rPr>
          <w:sz w:val="20"/>
          <w:szCs w:val="20"/>
          <w:color w:val="auto"/>
        </w:rPr>
      </w:pPr>
      <w:r>
        <w:rPr>
          <w:rFonts w:ascii="Arial" w:cs="Arial" w:eastAsia="Arial" w:hAnsi="Arial"/>
          <w:sz w:val="18"/>
          <w:szCs w:val="18"/>
          <w:color w:val="auto"/>
        </w:rPr>
        <w:t>The ratio of Core other underwriting expenses to Core net premiums earned was 22.2% in 2017 compared to 23.4% in 2016, a decrease of 1.3 percentage points.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Our net underwriting expense ratio in 2017 was 36.4% compared with 33.9% in 2016. The following table shows the individual components of our net underwriting expense ratio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55"/>
              <w:spacing w:after="0"/>
              <w:rPr>
                <w:sz w:val="20"/>
                <w:szCs w:val="20"/>
                <w:color w:val="auto"/>
              </w:rPr>
            </w:pPr>
            <w:r>
              <w:rPr>
                <w:rFonts w:ascii="Arial" w:cs="Arial" w:eastAsia="Arial" w:hAnsi="Arial"/>
                <w:sz w:val="15"/>
                <w:szCs w:val="15"/>
                <w:b w:val="1"/>
                <w:bCs w:val="1"/>
                <w:color w:val="auto"/>
              </w:rPr>
              <w:t>Year ended</w:t>
            </w:r>
          </w:p>
        </w:tc>
        <w:tc>
          <w:tcPr>
            <w:tcW w:w="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w:t>
            </w:r>
          </w:p>
        </w:tc>
        <w:tc>
          <w:tcPr>
            <w:tcW w:w="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Percentage</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5"/>
                <w:szCs w:val="15"/>
                <w:b w:val="1"/>
                <w:bCs w:val="1"/>
                <w:color w:val="auto"/>
              </w:rPr>
              <w:t>2017</w:t>
            </w:r>
          </w:p>
        </w:tc>
        <w:tc>
          <w:tcPr>
            <w:tcW w:w="8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5"/>
                <w:szCs w:val="15"/>
                <w:b w:val="1"/>
                <w:bCs w:val="1"/>
                <w:color w:val="auto"/>
                <w:w w:val="95"/>
              </w:rPr>
              <w:t>2016</w:t>
            </w: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5"/>
                <w:szCs w:val="15"/>
                <w:b w:val="1"/>
                <w:bCs w:val="1"/>
                <w:color w:val="auto"/>
              </w:rPr>
              <w:t>Point Change</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Ceding commission revenue - provisional</w:t>
            </w:r>
          </w:p>
        </w:tc>
        <w:tc>
          <w:tcPr>
            <w:tcW w:w="1880" w:type="dxa"/>
            <w:vAlign w:val="bottom"/>
          </w:tcPr>
          <w:p>
            <w:pPr>
              <w:jc w:val="right"/>
              <w:ind w:right="495"/>
              <w:spacing w:after="0"/>
              <w:rPr>
                <w:sz w:val="20"/>
                <w:szCs w:val="20"/>
                <w:color w:val="auto"/>
              </w:rPr>
            </w:pPr>
            <w:r>
              <w:rPr>
                <w:rFonts w:ascii="Arial" w:cs="Arial" w:eastAsia="Arial" w:hAnsi="Arial"/>
                <w:sz w:val="18"/>
                <w:szCs w:val="18"/>
                <w:color w:val="auto"/>
              </w:rPr>
              <w:t>(13.8)</w:t>
            </w: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7.0</w:t>
            </w: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Ceding commission revenue - contingent</w:t>
            </w:r>
          </w:p>
        </w:tc>
        <w:tc>
          <w:tcPr>
            <w:tcW w:w="188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Other income</w:t>
            </w:r>
          </w:p>
        </w:tc>
        <w:tc>
          <w:tcPr>
            <w:tcW w:w="1880" w:type="dxa"/>
            <w:vAlign w:val="bottom"/>
          </w:tcPr>
          <w:p>
            <w:pPr>
              <w:jc w:val="right"/>
              <w:ind w:right="495"/>
              <w:spacing w:after="0"/>
              <w:rPr>
                <w:sz w:val="20"/>
                <w:szCs w:val="20"/>
                <w:color w:val="auto"/>
              </w:rPr>
            </w:pPr>
            <w:r>
              <w:rPr>
                <w:rFonts w:ascii="Arial" w:cs="Arial" w:eastAsia="Arial" w:hAnsi="Arial"/>
                <w:sz w:val="18"/>
                <w:szCs w:val="18"/>
                <w:color w:val="auto"/>
              </w:rPr>
              <w:t>(1.6)</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0.2</w:t>
            </w: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costs and other underwriting expenses:</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8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27.4</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29.9</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rPr>
              <w:t>13.0</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9.7</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w:t>
            </w: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Other underwriting expenses</w:t>
            </w: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Core</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Employment costs</w:t>
            </w:r>
          </w:p>
        </w:tc>
        <w:tc>
          <w:tcPr>
            <w:tcW w:w="1880" w:type="dxa"/>
            <w:vAlign w:val="bottom"/>
          </w:tcPr>
          <w:p>
            <w:pPr>
              <w:jc w:val="right"/>
              <w:ind w:right="555"/>
              <w:spacing w:after="0"/>
              <w:rPr>
                <w:sz w:val="20"/>
                <w:szCs w:val="20"/>
                <w:color w:val="auto"/>
              </w:rPr>
            </w:pPr>
            <w:r>
              <w:rPr>
                <w:rFonts w:ascii="Arial" w:cs="Arial" w:eastAsia="Arial" w:hAnsi="Arial"/>
                <w:sz w:val="18"/>
                <w:szCs w:val="18"/>
                <w:color w:val="auto"/>
              </w:rPr>
              <w:t>9.5</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11.1</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Core Expenses</w:t>
            </w:r>
          </w:p>
        </w:tc>
        <w:tc>
          <w:tcPr>
            <w:tcW w:w="188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rPr>
              <w:t>12.6</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12.3</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Total Core Expenses</w:t>
            </w:r>
          </w:p>
        </w:tc>
        <w:tc>
          <w:tcPr>
            <w:tcW w:w="1880" w:type="dxa"/>
            <w:vAlign w:val="bottom"/>
          </w:tcPr>
          <w:p>
            <w:pPr>
              <w:jc w:val="right"/>
              <w:ind w:right="555"/>
              <w:spacing w:after="0"/>
              <w:rPr>
                <w:sz w:val="20"/>
                <w:szCs w:val="20"/>
                <w:color w:val="auto"/>
              </w:rPr>
            </w:pPr>
            <w:r>
              <w:rPr>
                <w:rFonts w:ascii="Arial" w:cs="Arial" w:eastAsia="Arial" w:hAnsi="Arial"/>
                <w:sz w:val="18"/>
                <w:szCs w:val="18"/>
                <w:color w:val="auto"/>
              </w:rPr>
              <w:t>22.1</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23.4</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Expansion Expenses</w:t>
            </w:r>
          </w:p>
        </w:tc>
        <w:tc>
          <w:tcPr>
            <w:tcW w:w="188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rPr>
              <w:t>1.3</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0.8</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0.5</w:t>
            </w:r>
          </w:p>
        </w:tc>
      </w:tr>
      <w:tr>
        <w:trPr>
          <w:trHeight w:val="223"/>
        </w:trPr>
        <w:tc>
          <w:tcPr>
            <w:tcW w:w="7320" w:type="dxa"/>
            <w:vAlign w:val="bottom"/>
          </w:tcPr>
          <w:p>
            <w:pPr>
              <w:ind w:left="380"/>
              <w:spacing w:after="0"/>
              <w:rPr>
                <w:sz w:val="20"/>
                <w:szCs w:val="20"/>
                <w:color w:val="auto"/>
              </w:rPr>
            </w:pPr>
            <w:r>
              <w:rPr>
                <w:rFonts w:ascii="Arial" w:cs="Arial" w:eastAsia="Arial" w:hAnsi="Arial"/>
                <w:sz w:val="18"/>
                <w:szCs w:val="18"/>
                <w:color w:val="auto"/>
              </w:rPr>
              <w:t>Total other underwriting expenses</w:t>
            </w:r>
          </w:p>
        </w:tc>
        <w:tc>
          <w:tcPr>
            <w:tcW w:w="18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23.4</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24.2</w:t>
            </w: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7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Net underwriting expense ratio</w:t>
            </w:r>
          </w:p>
        </w:tc>
        <w:tc>
          <w:tcPr>
            <w:tcW w:w="18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36.4%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2.5</w:t>
            </w:r>
          </w:p>
        </w:tc>
      </w:tr>
      <w:tr>
        <w:trPr>
          <w:trHeight w:val="21"/>
        </w:trPr>
        <w:tc>
          <w:tcPr>
            <w:tcW w:w="7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The decrease in our other underwriting expense ratio excluding the impact of ceding commission revenue and commission expense was driven by a decline in the impact from employment costs attributable to our growing Core business, partially offset by the impact from increased costs related to Core and Expansion business.</w:t>
      </w:r>
    </w:p>
    <w:p>
      <w:pPr>
        <w:spacing w:after="0" w:line="194"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The overall increase of 2.5 percentage points in the net underwriting expense ratio was impacted by the change in our quota share ceding rates and its impact on provisional ceding commission revenue as a result of the additional retention resulting from the Cut-off to our quota share treaties on July 1, 2017. The increase to the net underwriting expense ratio was impacted more by reductions in the reinsurance ceding commission revenue components than it was to changes in the commission expense and other underwriting expense components, each of which declined as a ratio to net premiums earned.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Other operating expenses, related to the expenses of our holding company, were $3,513,000 in 2017 compared to $1,910,000 in 2016. The increase in 2017 of $1,603,000, or 83.9%, was primarily due to increases in executive bonus compensation, executive compensation due to annual rate increases and hiring of additional staff, and equity compensation. The increase in executive bonus compensation includes $945,000 of accrued long-term bonus compensation pursuant to the three year employment agreement effective January 1, 2017 with our Chief Executive Officer. In 2016 there was no long-term bonus compensation plan in place. The bonus is a one-time payment computed at the end of three year period, and the amount accrued in 2017 will only be paid if the three year computation meets the required terms of profitability.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Depreciation and amortization was $1,403,000 in 2017 compared to $1,125,000 in 2016. The increase of $278,000, or 24.7%, in depreciation and amortization was primarily due to depreciation of our new system platform for handling business being written in Expansion states. The increase was also impacted by newly purchased assets used to upgrade our systems infrastructure and improvements to the Kingston, New York home office building from which we operate.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Interest expense in 2017 was $60,000 and -0- in 2016. We incurred interest expense in connection with our $30.0 million issuance of long-term debt in December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Income tax expense in 2017 was $4,323,000, which resulted in an effective tax rate of 30.2%. Income tax expense in 2016 was $4,518,000, which resulted in an effective tax rate of 33.7%. Income before taxes was $14,309,000 in 2017 compared to $13,418,000 in 2016. On December 22, 2017, the Tax Cuts and Jobs Act of 2017 (the “Act”), was enacted by the U.S. federal government. The Act provides for significant changes to corporate taxation including the decrease of the corporate tax rate to 21%. We have accounted for the 2017 material impacts of the Act by re-measuring our net deferred tax liabilities at the new 21% enacted tax rate. The impact of the change in tax rate was a decrease in net deferred income tax liabilities of $405,000 with a corresponding increase in deferred income tax benefit, resulting in reduction of our effective tax rate by 2.8 percentage points in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Net income was $9,986,000 in 2017 compared to $8,900,000 in 2016. The increase in net income of $1,086,000, or 12.2%, was due to the circumstances described above that caused the increase in our net premiums earned, net investment income and other income and a decrease in our net loss ratio, partially offset by a decrease in ceding commission revenue and net realized gains on sales of investments, and increases in other underwriting expenses related to premium growth, other operating expenses, depreciation and amortization, and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2"/>
        </w:trPr>
        <w:tc>
          <w:tcPr>
            <w:tcW w:w="8700" w:type="dxa"/>
            <w:vAlign w:val="bottom"/>
            <w:gridSpan w:val="3"/>
          </w:tcPr>
          <w:p>
            <w:pPr>
              <w:spacing w:after="0"/>
              <w:rPr>
                <w:rFonts w:ascii="Arial" w:cs="Arial" w:eastAsia="Arial" w:hAnsi="Arial"/>
                <w:sz w:val="15"/>
                <w:szCs w:val="15"/>
                <w:color w:val="0000EE"/>
              </w:rPr>
            </w:pPr>
            <w:hyperlink w:anchor="page1">
              <w:r>
                <w:rPr>
                  <w:rFonts w:ascii="Arial" w:cs="Arial" w:eastAsia="Arial" w:hAnsi="Arial"/>
                  <w:sz w:val="15"/>
                  <w:szCs w:val="15"/>
                  <w:color w:val="0000EE"/>
                </w:rPr>
                <w:t>Index</w:t>
              </w:r>
            </w:hyperlink>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5"/>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3"/>
          </w:tcPr>
          <w:p>
            <w:pPr>
              <w:jc w:val="right"/>
              <w:ind w:right="913"/>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premiums written:</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95,993,591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79,256,251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14,632,300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12,759,351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10,727,707</w:t>
            </w:r>
          </w:p>
        </w:tc>
        <w:tc>
          <w:tcPr>
            <w:tcW w:w="22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10,955,785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244,427</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249,130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1"/>
              </w:rPr>
              <w:t>121,598,025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1"/>
              </w:rPr>
              <w:t>103,220,517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Net premiums written:</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Excluding the effect of quota share adjustments on July 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61,756,415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43,485,866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Return of premiums previously ceded to prior quota share treaties prior quota share treaties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7,140,088</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Personal lines (2)</w:t>
            </w: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68,896,503</w:t>
            </w:r>
          </w:p>
        </w:tc>
        <w:tc>
          <w:tcPr>
            <w:tcW w:w="22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43,485,866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13,038,640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11,413,717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10,727,707</w:t>
            </w:r>
          </w:p>
        </w:tc>
        <w:tc>
          <w:tcPr>
            <w:tcW w:w="22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10,955,785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206,026</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92,868,876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65,926,187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 (2)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53,556,294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40,325,585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Commercial lines</w:t>
            </w: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12,163,104</w:t>
            </w:r>
          </w:p>
        </w:tc>
        <w:tc>
          <w:tcPr>
            <w:tcW w:w="22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11,120,890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11,441,168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9,783,792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Other(1)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190,457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177,639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77,351,023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61,407,906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loss adjustment expenses: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20,866,628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16,116,325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6,368,927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5,408,168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4,870,947</w:t>
            </w:r>
          </w:p>
        </w:tc>
        <w:tc>
          <w:tcPr>
            <w:tcW w:w="22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4,777,308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(14,686)</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Unallocated loss adjustment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2,093,721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1,792,264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34,185,537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27,789,661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ratio:</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hanging="33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commercial auto and our participation in a mandatory state joint underwriting association.</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discussions above with regard to “Net Written Premiums and Net Premiums Earned”, as to change in quota share ceding rate effective July 1,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years ended December 31, 2017 and 2016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jc w:val="center"/>
              <w:ind w:left="594"/>
              <w:spacing w:after="0"/>
              <w:rPr>
                <w:sz w:val="20"/>
                <w:szCs w:val="20"/>
                <w:color w:val="auto"/>
              </w:rPr>
            </w:pPr>
            <w:r>
              <w:rPr>
                <w:rFonts w:ascii="Arial" w:cs="Arial" w:eastAsia="Arial" w:hAnsi="Arial"/>
                <w:sz w:val="15"/>
                <w:szCs w:val="15"/>
                <w:b w:val="1"/>
                <w:bCs w:val="1"/>
                <w:color w:val="auto"/>
                <w:w w:val="88"/>
              </w:rPr>
              <w:t>Year ended</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4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77,351,023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61,407,906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Ceding commission revenue</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9,933,133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11,268,241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4,132,586</w:t>
            </w:r>
          </w:p>
        </w:tc>
        <w:tc>
          <w:tcPr>
            <w:tcW w:w="3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3,115,583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gain on investments</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84,313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4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1,210,897</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1,102,352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40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7"/>
              </w:rPr>
              <w:t>92,711,952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77,423,530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Loss and loss adjustment expenses</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34,185,537</w:t>
            </w:r>
          </w:p>
        </w:tc>
        <w:tc>
          <w:tcPr>
            <w:tcW w:w="3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27,789,661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 expense</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21,182,254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18,327,190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Other underwriting expenses</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18,115,614</w:t>
            </w:r>
          </w:p>
        </w:tc>
        <w:tc>
          <w:tcPr>
            <w:tcW w:w="3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14,866,646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40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1,402,928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1,123,763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4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7"/>
              </w:rPr>
              <w:t>74,886,333</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3"/>
              </w:rPr>
              <w:t>62,107,260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17,825,619</w:t>
            </w:r>
          </w:p>
        </w:tc>
        <w:tc>
          <w:tcPr>
            <w:tcW w:w="3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15,316,270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40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5,764,191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5,208,772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12,061,428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10,107,498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Key Measures:</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ratio</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underwriting expense ratio</w:t>
            </w:r>
          </w:p>
        </w:tc>
        <w:tc>
          <w:tcPr>
            <w:tcW w:w="4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combined ratio</w:t>
            </w:r>
          </w:p>
        </w:tc>
        <w:tc>
          <w:tcPr>
            <w:tcW w:w="4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of net underwriting expense ratio:</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Acquisition costs and other</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underwriting expenses</w:t>
            </w:r>
          </w:p>
        </w:tc>
        <w:tc>
          <w:tcPr>
            <w:tcW w:w="4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39,297,868</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33,193,836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Less: Ceding commission revenue</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(9,933,133)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(11,268,241)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Other income</w:t>
            </w:r>
          </w:p>
        </w:tc>
        <w:tc>
          <w:tcPr>
            <w:tcW w:w="40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(1,210,897)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(1,102,352)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underwriting expenses</w:t>
            </w:r>
          </w:p>
        </w:tc>
        <w:tc>
          <w:tcPr>
            <w:tcW w:w="4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28,153,838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20,823,243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4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77,351,023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61,407,906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Underwriting Expense Ratio</w:t>
            </w:r>
          </w:p>
        </w:tc>
        <w:tc>
          <w:tcPr>
            <w:tcW w:w="4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80" w:type="dxa"/>
            <w:vAlign w:val="bottom"/>
            <w:vMerge w:val="restart"/>
          </w:tcPr>
          <w:p>
            <w:pPr>
              <w:jc w:val="right"/>
              <w:ind w:right="2812"/>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73"/>
              <w:spacing w:after="0"/>
              <w:rPr>
                <w:sz w:val="20"/>
                <w:szCs w:val="20"/>
                <w:color w:val="auto"/>
              </w:rPr>
            </w:pPr>
            <w:r>
              <w:rPr>
                <w:rFonts w:ascii="Arial" w:cs="Arial" w:eastAsia="Arial" w:hAnsi="Arial"/>
                <w:sz w:val="15"/>
                <w:szCs w:val="15"/>
                <w:b w:val="1"/>
                <w:bCs w:val="1"/>
                <w:color w:val="auto"/>
              </w:rPr>
              <w:t>Direct</w:t>
            </w:r>
          </w:p>
        </w:tc>
        <w:tc>
          <w:tcPr>
            <w:tcW w:w="240" w:type="dxa"/>
            <w:vAlign w:val="bottom"/>
          </w:tcPr>
          <w:p>
            <w:pPr>
              <w:spacing w:after="0"/>
              <w:rPr>
                <w:sz w:val="15"/>
                <w:szCs w:val="15"/>
                <w:color w:val="auto"/>
              </w:rPr>
            </w:pPr>
          </w:p>
        </w:tc>
        <w:tc>
          <w:tcPr>
            <w:tcW w:w="1120" w:type="dxa"/>
            <w:vAlign w:val="bottom"/>
          </w:tcPr>
          <w:p>
            <w:pPr>
              <w:jc w:val="right"/>
              <w:ind w:right="373"/>
              <w:spacing w:after="0"/>
              <w:rPr>
                <w:sz w:val="20"/>
                <w:szCs w:val="20"/>
                <w:color w:val="auto"/>
              </w:rPr>
            </w:pPr>
            <w:r>
              <w:rPr>
                <w:rFonts w:ascii="Arial" w:cs="Arial" w:eastAsia="Arial" w:hAnsi="Arial"/>
                <w:sz w:val="15"/>
                <w:szCs w:val="15"/>
                <w:b w:val="1"/>
                <w:bCs w:val="1"/>
                <w:color w:val="auto"/>
                <w:w w:val="94"/>
              </w:rPr>
              <w:t>Assumed</w:t>
            </w:r>
          </w:p>
        </w:tc>
        <w:tc>
          <w:tcPr>
            <w:tcW w:w="240" w:type="dxa"/>
            <w:vAlign w:val="bottom"/>
          </w:tcPr>
          <w:p>
            <w:pPr>
              <w:spacing w:after="0"/>
              <w:rPr>
                <w:sz w:val="15"/>
                <w:szCs w:val="15"/>
                <w:color w:val="auto"/>
              </w:rPr>
            </w:pPr>
          </w:p>
        </w:tc>
        <w:tc>
          <w:tcPr>
            <w:tcW w:w="1120" w:type="dxa"/>
            <w:vAlign w:val="bottom"/>
          </w:tcPr>
          <w:p>
            <w:pPr>
              <w:jc w:val="right"/>
              <w:ind w:right="453"/>
              <w:spacing w:after="0"/>
              <w:rPr>
                <w:sz w:val="20"/>
                <w:szCs w:val="20"/>
                <w:color w:val="auto"/>
              </w:rPr>
            </w:pPr>
            <w:r>
              <w:rPr>
                <w:rFonts w:ascii="Arial" w:cs="Arial" w:eastAsia="Arial" w:hAnsi="Arial"/>
                <w:sz w:val="15"/>
                <w:szCs w:val="15"/>
                <w:b w:val="1"/>
                <w:bCs w:val="1"/>
                <w:color w:val="auto"/>
              </w:rPr>
              <w:t>Ceded</w:t>
            </w:r>
          </w:p>
        </w:tc>
        <w:tc>
          <w:tcPr>
            <w:tcW w:w="240" w:type="dxa"/>
            <w:vAlign w:val="bottom"/>
          </w:tcPr>
          <w:p>
            <w:pPr>
              <w:spacing w:after="0"/>
              <w:rPr>
                <w:sz w:val="15"/>
                <w:szCs w:val="15"/>
                <w:color w:val="auto"/>
              </w:rPr>
            </w:pPr>
          </w:p>
        </w:tc>
        <w:tc>
          <w:tcPr>
            <w:tcW w:w="1080" w:type="dxa"/>
            <w:vAlign w:val="bottom"/>
            <w:gridSpan w:val="2"/>
          </w:tcPr>
          <w:p>
            <w:pPr>
              <w:ind w:left="260"/>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44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Written premiums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w w:val="91"/>
              </w:rPr>
              <w:t>121,575,178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22,847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(28,729,149)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92,868,876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unearned premiums</w:t>
            </w:r>
          </w:p>
        </w:tc>
        <w:tc>
          <w:tcPr>
            <w:tcW w:w="1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(10,662,744)</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9,456</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(4,864,565)</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(15,517,853)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Earned premiums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w w:val="91"/>
              </w:rPr>
              <w:t>110,912,434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32,303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(33,593,714)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77,351,023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Loss and loss adjustment expenses exluding</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effect of catastrophes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48,222,147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30,417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(14,067,027)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34,185,537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Catastrophe loss</w:t>
            </w:r>
          </w:p>
        </w:tc>
        <w:tc>
          <w:tcPr>
            <w:tcW w:w="1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and loss adjustment expenses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48,222,147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30,417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(14,067,027)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34,185,537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ratio excluding the effect of catastrophes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Catastrophe loss</w:t>
            </w:r>
          </w:p>
        </w:tc>
        <w:tc>
          <w:tcPr>
            <w:tcW w:w="1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ratio</w:t>
            </w:r>
          </w:p>
        </w:tc>
        <w:tc>
          <w:tcPr>
            <w:tcW w:w="1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Written premiums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w w:val="91"/>
              </w:rPr>
              <w:t>103,191,995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28,522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(37,294,330)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65,926,187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unearned premiums</w:t>
            </w:r>
          </w:p>
        </w:tc>
        <w:tc>
          <w:tcPr>
            <w:tcW w:w="1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(6,110,225)</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6,091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1,585,853</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Earned premiums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97,081,770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34,613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(35,708,477)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61,407,906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Loss and loss adjustment expenses exluding</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effect of catastrophes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37,193,657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55,257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(10,861,730)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26,387,184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Catastrophe loss</w:t>
            </w:r>
          </w:p>
        </w:tc>
        <w:tc>
          <w:tcPr>
            <w:tcW w:w="1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2,337,461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(934,984)</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1,402,477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and loss adjustment expenses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39,531,118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55,257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(11,796,714)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27,789,661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ratio excluding the effect of catastrophes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Catastrophe loss</w:t>
            </w:r>
          </w:p>
        </w:tc>
        <w:tc>
          <w:tcPr>
            <w:tcW w:w="1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ratio</w:t>
            </w:r>
          </w:p>
        </w:tc>
        <w:tc>
          <w:tcPr>
            <w:tcW w:w="1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measures for our insurance underwriting business for the years ended December 31,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4" w:lineRule="exact"/>
        <w:rPr>
          <w:sz w:val="20"/>
          <w:szCs w:val="20"/>
          <w:color w:val="auto"/>
        </w:rPr>
      </w:pPr>
    </w:p>
    <w:p>
      <w:pPr>
        <w:jc w:val="center"/>
        <w:ind w:left="8680"/>
        <w:spacing w:after="0"/>
        <w:rPr>
          <w:sz w:val="20"/>
          <w:szCs w:val="20"/>
          <w:color w:val="auto"/>
        </w:rPr>
      </w:pPr>
      <w:r>
        <w:rPr>
          <w:rFonts w:ascii="Arial" w:cs="Arial" w:eastAsia="Arial" w:hAnsi="Arial"/>
          <w:sz w:val="15"/>
          <w:szCs w:val="15"/>
          <w:b w:val="1"/>
          <w:bCs w:val="1"/>
          <w:color w:val="auto"/>
        </w:rPr>
        <w:t>Year ended</w:t>
      </w:r>
    </w:p>
    <w:p>
      <w:pPr>
        <w:spacing w:after="0" w:line="44" w:lineRule="exact"/>
        <w:rPr>
          <w:sz w:val="20"/>
          <w:szCs w:val="20"/>
          <w:color w:val="auto"/>
        </w:rPr>
      </w:pPr>
    </w:p>
    <w:p>
      <w:pPr>
        <w:jc w:val="center"/>
        <w:ind w:left="868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1" w:lineRule="exact"/>
        <w:rPr>
          <w:sz w:val="20"/>
          <w:szCs w:val="20"/>
          <w:color w:val="auto"/>
        </w:rPr>
      </w:pPr>
    </w:p>
    <w:p>
      <w:pPr>
        <w:jc w:val="both"/>
        <w:ind w:left="9220"/>
        <w:spacing w:after="0"/>
        <w:tabs>
          <w:tab w:leader="none" w:pos="1056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2016</w:t>
      </w:r>
    </w:p>
    <w:p>
      <w:pPr>
        <w:sectPr>
          <w:pgSz w:w="11900" w:h="16838" w:orient="portrait"/>
          <w:cols w:equalWidth="0" w:num="1">
            <w:col w:w="11420"/>
          </w:cols>
          <w:pgMar w:left="240" w:top="130" w:right="2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premiums earned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Loss and loss adjustment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Acquisition costs and other underwriting expenses: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Commission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underwriting expenses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acquisition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underwriting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Underwriting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Key Measures: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loss ratio excluding the effect 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of catastrophe loss on net loss ratio (1) (2)</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underwriting expense ratio excluding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 of catastrophes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of catastrophe loss on net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 ratio (2)</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combined ratio excluding the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of catastrophes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 of catastrophe loss on net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ratio (1) (2)</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combined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Reconciliation of 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 costs and other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underwriting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Less: Ceding commission revenue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20" w:hanging="29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77,351,023   $   61,407,906</w:t>
      </w:r>
    </w:p>
    <w:p>
      <w:pPr>
        <w:spacing w:after="0" w:line="1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9,933,133</w:t>
      </w:r>
      <w:r>
        <w:rPr>
          <w:rFonts w:ascii="Arial" w:cs="Arial" w:eastAsia="Arial" w:hAnsi="Arial"/>
          <w:sz w:val="15"/>
          <w:szCs w:val="15"/>
          <w:color w:val="auto"/>
        </w:rPr>
        <w:t>11,268,241</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1,210,897</w:t>
      </w:r>
      <w:r>
        <w:rPr>
          <w:rFonts w:ascii="Arial" w:cs="Arial" w:eastAsia="Arial" w:hAnsi="Arial"/>
          <w:sz w:val="15"/>
          <w:szCs w:val="15"/>
          <w:color w:val="auto"/>
        </w:rPr>
        <w:t>1,102,352</w:t>
      </w:r>
    </w:p>
    <w:p>
      <w:pPr>
        <w:spacing w:after="0" w:line="21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34,185,537</w:t>
      </w:r>
      <w:r>
        <w:rPr>
          <w:sz w:val="20"/>
          <w:szCs w:val="20"/>
          <w:color w:val="auto"/>
        </w:rPr>
        <w:tab/>
      </w:r>
      <w:r>
        <w:rPr>
          <w:rFonts w:ascii="Arial" w:cs="Arial" w:eastAsia="Arial" w:hAnsi="Arial"/>
          <w:sz w:val="18"/>
          <w:szCs w:val="18"/>
          <w:color w:val="auto"/>
        </w:rPr>
        <w:t>27,789,661</w:t>
      </w:r>
    </w:p>
    <w:p>
      <w:pPr>
        <w:spacing w:after="0" w:line="200" w:lineRule="exact"/>
        <w:rPr>
          <w:sz w:val="20"/>
          <w:szCs w:val="20"/>
          <w:color w:val="auto"/>
        </w:rPr>
      </w:pPr>
    </w:p>
    <w:p>
      <w:pPr>
        <w:spacing w:after="0" w:line="241"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21,182,254</w:t>
      </w:r>
      <w:r>
        <w:rPr>
          <w:sz w:val="20"/>
          <w:szCs w:val="20"/>
          <w:color w:val="auto"/>
        </w:rPr>
        <w:tab/>
      </w:r>
      <w:r>
        <w:rPr>
          <w:rFonts w:ascii="Arial" w:cs="Arial" w:eastAsia="Arial" w:hAnsi="Arial"/>
          <w:sz w:val="18"/>
          <w:szCs w:val="18"/>
          <w:color w:val="auto"/>
        </w:rPr>
        <w:t>18,327,190</w:t>
      </w:r>
    </w:p>
    <w:p>
      <w:pPr>
        <w:spacing w:after="0" w:line="15"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8"/>
          <w:szCs w:val="18"/>
          <w:color w:val="auto"/>
        </w:rPr>
        <w:t>18,115,614</w:t>
      </w:r>
      <w:r>
        <w:rPr>
          <w:sz w:val="20"/>
          <w:szCs w:val="20"/>
          <w:color w:val="auto"/>
        </w:rPr>
        <w:tab/>
      </w:r>
      <w:r>
        <w:rPr>
          <w:rFonts w:ascii="Arial" w:cs="Arial" w:eastAsia="Arial" w:hAnsi="Arial"/>
          <w:sz w:val="18"/>
          <w:szCs w:val="18"/>
          <w:color w:val="auto"/>
        </w:rPr>
        <w:t>14,866,646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7322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26"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39,297,868</w:t>
      </w:r>
      <w:r>
        <w:rPr>
          <w:sz w:val="20"/>
          <w:szCs w:val="20"/>
          <w:color w:val="auto"/>
        </w:rPr>
        <w:tab/>
      </w:r>
      <w:r>
        <w:rPr>
          <w:rFonts w:ascii="Arial" w:cs="Arial" w:eastAsia="Arial" w:hAnsi="Arial"/>
          <w:sz w:val="18"/>
          <w:szCs w:val="18"/>
          <w:color w:val="auto"/>
        </w:rPr>
        <w:t>33,193,836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7322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32" w:lineRule="exact"/>
        <w:rPr>
          <w:sz w:val="20"/>
          <w:szCs w:val="20"/>
          <w:color w:val="auto"/>
        </w:rPr>
      </w:pPr>
    </w:p>
    <w:p>
      <w:pPr>
        <w:ind w:left="440" w:hanging="31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15,011,648   $   12,795,002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7322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1732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jc w:val="right"/>
              <w:ind w:right="372"/>
              <w:spacing w:after="0"/>
              <w:rPr>
                <w:sz w:val="20"/>
                <w:szCs w:val="20"/>
                <w:color w:val="auto"/>
              </w:rPr>
            </w:pPr>
            <w:r>
              <w:rPr>
                <w:rFonts w:ascii="Arial" w:cs="Arial" w:eastAsia="Arial" w:hAnsi="Arial"/>
                <w:sz w:val="18"/>
                <w:szCs w:val="18"/>
                <w:color w:val="auto"/>
              </w:rPr>
              <w:t>44.2%</w:t>
            </w: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31"/>
        </w:trPr>
        <w:tc>
          <w:tcPr>
            <w:tcW w:w="1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44.2%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r>
      <w:tr>
        <w:trPr>
          <w:trHeight w:val="646"/>
        </w:trPr>
        <w:tc>
          <w:tcPr>
            <w:tcW w:w="1820" w:type="dxa"/>
            <w:vAlign w:val="bottom"/>
          </w:tcPr>
          <w:p>
            <w:pPr>
              <w:jc w:val="right"/>
              <w:ind w:right="372"/>
              <w:spacing w:after="0"/>
              <w:rPr>
                <w:sz w:val="20"/>
                <w:szCs w:val="20"/>
                <w:color w:val="auto"/>
              </w:rPr>
            </w:pPr>
            <w:r>
              <w:rPr>
                <w:rFonts w:ascii="Arial" w:cs="Arial" w:eastAsia="Arial" w:hAnsi="Arial"/>
                <w:sz w:val="18"/>
                <w:szCs w:val="18"/>
                <w:color w:val="auto"/>
              </w:rPr>
              <w:t>36.4%</w:t>
            </w: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441"/>
        </w:trPr>
        <w:tc>
          <w:tcPr>
            <w:tcW w:w="1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1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36.4%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646"/>
        </w:trPr>
        <w:tc>
          <w:tcPr>
            <w:tcW w:w="1820" w:type="dxa"/>
            <w:vAlign w:val="bottom"/>
          </w:tcPr>
          <w:p>
            <w:pPr>
              <w:jc w:val="right"/>
              <w:ind w:right="372"/>
              <w:spacing w:after="0"/>
              <w:rPr>
                <w:sz w:val="20"/>
                <w:szCs w:val="20"/>
                <w:color w:val="auto"/>
              </w:rPr>
            </w:pPr>
            <w:r>
              <w:rPr>
                <w:rFonts w:ascii="Arial" w:cs="Arial" w:eastAsia="Arial" w:hAnsi="Arial"/>
                <w:sz w:val="18"/>
                <w:szCs w:val="18"/>
                <w:color w:val="auto"/>
              </w:rPr>
              <w:t>80.6%</w:t>
            </w:r>
          </w:p>
        </w:tc>
        <w:tc>
          <w:tcPr>
            <w:tcW w:w="90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441"/>
        </w:trPr>
        <w:tc>
          <w:tcPr>
            <w:tcW w:w="1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80.6%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0" w:hanging="29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39,297,868   $   33,193,836</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(9,933,133)</w:t>
      </w:r>
      <w:r>
        <w:rPr>
          <w:rFonts w:ascii="Arial" w:cs="Arial" w:eastAsia="Arial" w:hAnsi="Arial"/>
          <w:sz w:val="15"/>
          <w:szCs w:val="15"/>
          <w:color w:val="auto"/>
        </w:rPr>
        <w:t>(11,268,241)</w:t>
      </w:r>
    </w:p>
    <w:p>
      <w:pPr>
        <w:spacing w:after="0" w:line="20" w:lineRule="exact"/>
        <w:rPr>
          <w:sz w:val="20"/>
          <w:szCs w:val="20"/>
          <w:color w:val="auto"/>
        </w:rPr>
      </w:pPr>
    </w:p>
    <w:p>
      <w:pPr>
        <w:sectPr>
          <w:pgSz w:w="11900" w:h="16838" w:orient="portrait"/>
          <w:cols w:equalWidth="0" w:num="2">
            <w:col w:w="7980" w:space="720"/>
            <w:col w:w="272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(1,210,897)</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28,153,838</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20,823,243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Net earned premium</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77,351,023</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61,407,906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line="26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year ended December 31, 2016, includes the sum of net catastrophe losses and loss adjustment expenses of $1,402,477 resulting from severe winter weather.</w:t>
      </w:r>
    </w:p>
    <w:p>
      <w:pPr>
        <w:spacing w:after="0" w:line="185"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year ended December 31, 2016, the effect of catastrophe loss from severe winter weather on our net combined ratio includes the direct effects of loss and loss adjustment expenses and there were no indirect effects in other underwriting expenses.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breakdown of the amortized cost, aggregate fair value and unrealized gains and losses by investment type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Available-for-Sale Securities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5"/>
                <w:szCs w:val="15"/>
                <w:b w:val="1"/>
                <w:bCs w:val="1"/>
                <w:color w:val="auto"/>
              </w:rPr>
              <w:t>December 31, 2017</w:t>
            </w:r>
          </w:p>
        </w:tc>
        <w:tc>
          <w:tcPr>
            <w:tcW w:w="1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1"/>
              </w:rPr>
              <w:t>Cost or</w:t>
            </w:r>
          </w:p>
        </w:tc>
        <w:tc>
          <w:tcPr>
            <w:tcW w:w="200" w:type="dxa"/>
            <w:vAlign w:val="bottom"/>
          </w:tcPr>
          <w:p>
            <w:pPr>
              <w:spacing w:after="0"/>
              <w:rPr>
                <w:sz w:val="21"/>
                <w:szCs w:val="21"/>
                <w:color w:val="auto"/>
              </w:rPr>
            </w:pPr>
          </w:p>
        </w:tc>
        <w:tc>
          <w:tcPr>
            <w:tcW w:w="940" w:type="dxa"/>
            <w:vAlign w:val="bottom"/>
          </w:tcPr>
          <w:p>
            <w:pPr>
              <w:jc w:val="center"/>
              <w:ind w:right="117"/>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5"/>
                <w:szCs w:val="15"/>
                <w:b w:val="1"/>
                <w:bCs w:val="1"/>
                <w:color w:val="auto"/>
                <w:w w:val="90"/>
              </w:rPr>
              <w:t>Gross Unrealized Losses</w:t>
            </w:r>
          </w:p>
        </w:tc>
        <w:tc>
          <w:tcPr>
            <w:tcW w:w="128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17"/>
                <w:szCs w:val="17"/>
                <w:color w:val="auto"/>
              </w:rPr>
            </w:pPr>
          </w:p>
        </w:tc>
        <w:tc>
          <w:tcPr>
            <w:tcW w:w="940" w:type="dxa"/>
            <w:vAlign w:val="bottom"/>
          </w:tcPr>
          <w:p>
            <w:pPr>
              <w:jc w:val="center"/>
              <w:ind w:right="117"/>
              <w:spacing w:after="0"/>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right"/>
              <w:ind w:right="117"/>
              <w:spacing w:after="0"/>
              <w:rPr>
                <w:sz w:val="20"/>
                <w:szCs w:val="20"/>
                <w:color w:val="auto"/>
              </w:rPr>
            </w:pPr>
            <w:r>
              <w:rPr>
                <w:rFonts w:ascii="Arial" w:cs="Arial" w:eastAsia="Arial" w:hAnsi="Arial"/>
                <w:sz w:val="15"/>
                <w:szCs w:val="15"/>
                <w:b w:val="1"/>
                <w:bCs w:val="1"/>
                <w:color w:val="auto"/>
              </w:rPr>
              <w:t>Less than 12</w:t>
            </w:r>
          </w:p>
        </w:tc>
        <w:tc>
          <w:tcPr>
            <w:tcW w:w="1120" w:type="dxa"/>
            <w:vAlign w:val="bottom"/>
            <w:gridSpan w:val="2"/>
          </w:tcPr>
          <w:p>
            <w:pPr>
              <w:jc w:val="right"/>
              <w:ind w:right="54"/>
              <w:spacing w:after="0"/>
              <w:rPr>
                <w:sz w:val="20"/>
                <w:szCs w:val="20"/>
                <w:color w:val="auto"/>
              </w:rPr>
            </w:pPr>
            <w:r>
              <w:rPr>
                <w:rFonts w:ascii="Arial" w:cs="Arial" w:eastAsia="Arial" w:hAnsi="Arial"/>
                <w:sz w:val="15"/>
                <w:szCs w:val="15"/>
                <w:b w:val="1"/>
                <w:bCs w:val="1"/>
                <w:color w:val="auto"/>
              </w:rPr>
              <w:t>More than 12</w:t>
            </w:r>
          </w:p>
        </w:tc>
        <w:tc>
          <w:tcPr>
            <w:tcW w:w="1280" w:type="dxa"/>
            <w:vAlign w:val="bottom"/>
          </w:tcPr>
          <w:p>
            <w:pPr>
              <w:jc w:val="right"/>
              <w:ind w:right="496"/>
              <w:spacing w:after="0"/>
              <w:rPr>
                <w:sz w:val="20"/>
                <w:szCs w:val="20"/>
                <w:color w:val="auto"/>
              </w:rPr>
            </w:pPr>
            <w:r>
              <w:rPr>
                <w:rFonts w:ascii="Arial" w:cs="Arial" w:eastAsia="Arial" w:hAnsi="Arial"/>
                <w:sz w:val="15"/>
                <w:szCs w:val="15"/>
                <w:b w:val="1"/>
                <w:bCs w:val="1"/>
                <w:color w:val="auto"/>
              </w:rPr>
              <w:t>Fair</w:t>
            </w: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Fair</w:t>
            </w:r>
          </w:p>
        </w:tc>
        <w:tc>
          <w:tcPr>
            <w:tcW w:w="0" w:type="dxa"/>
            <w:vAlign w:val="bottom"/>
          </w:tcPr>
          <w:p>
            <w:pPr>
              <w:spacing w:after="0"/>
              <w:rPr>
                <w:sz w:val="1"/>
                <w:szCs w:val="1"/>
                <w:color w:val="auto"/>
              </w:rPr>
            </w:pPr>
          </w:p>
        </w:tc>
      </w:tr>
      <w:tr>
        <w:trPr>
          <w:trHeight w:val="182"/>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Category</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3"/>
              </w:rPr>
              <w:t>Cost</w:t>
            </w:r>
          </w:p>
        </w:tc>
        <w:tc>
          <w:tcPr>
            <w:tcW w:w="20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900" w:type="dxa"/>
            <w:vAlign w:val="bottom"/>
          </w:tcPr>
          <w:p>
            <w:pPr>
              <w:jc w:val="right"/>
              <w:ind w:right="257"/>
              <w:spacing w:after="0"/>
              <w:rPr>
                <w:sz w:val="20"/>
                <w:szCs w:val="20"/>
                <w:color w:val="auto"/>
              </w:rPr>
            </w:pPr>
            <w:r>
              <w:rPr>
                <w:rFonts w:ascii="Arial" w:cs="Arial" w:eastAsia="Arial" w:hAnsi="Arial"/>
                <w:sz w:val="15"/>
                <w:szCs w:val="15"/>
                <w:b w:val="1"/>
                <w:bCs w:val="1"/>
                <w:color w:val="auto"/>
              </w:rPr>
              <w:t>Months</w:t>
            </w:r>
          </w:p>
        </w:tc>
        <w:tc>
          <w:tcPr>
            <w:tcW w:w="240" w:type="dxa"/>
            <w:vAlign w:val="bottom"/>
          </w:tcPr>
          <w:p>
            <w:pPr>
              <w:spacing w:after="0"/>
              <w:rPr>
                <w:sz w:val="15"/>
                <w:szCs w:val="15"/>
                <w:color w:val="auto"/>
              </w:rPr>
            </w:pPr>
          </w:p>
        </w:tc>
        <w:tc>
          <w:tcPr>
            <w:tcW w:w="880" w:type="dxa"/>
            <w:vAlign w:val="bottom"/>
          </w:tcPr>
          <w:p>
            <w:pPr>
              <w:jc w:val="right"/>
              <w:ind w:right="254"/>
              <w:spacing w:after="0"/>
              <w:rPr>
                <w:sz w:val="20"/>
                <w:szCs w:val="20"/>
                <w:color w:val="auto"/>
              </w:rPr>
            </w:pPr>
            <w:r>
              <w:rPr>
                <w:rFonts w:ascii="Arial" w:cs="Arial" w:eastAsia="Arial" w:hAnsi="Arial"/>
                <w:sz w:val="15"/>
                <w:szCs w:val="15"/>
                <w:b w:val="1"/>
                <w:bCs w:val="1"/>
                <w:color w:val="auto"/>
                <w:w w:val="97"/>
              </w:rPr>
              <w:t>Months</w:t>
            </w:r>
          </w:p>
        </w:tc>
        <w:tc>
          <w:tcPr>
            <w:tcW w:w="1280" w:type="dxa"/>
            <w:vAlign w:val="bottom"/>
          </w:tcPr>
          <w:p>
            <w:pPr>
              <w:jc w:val="right"/>
              <w:ind w:right="456"/>
              <w:spacing w:after="0"/>
              <w:rPr>
                <w:sz w:val="20"/>
                <w:szCs w:val="20"/>
                <w:color w:val="auto"/>
              </w:rPr>
            </w:pPr>
            <w:r>
              <w:rPr>
                <w:rFonts w:ascii="Arial" w:cs="Arial" w:eastAsia="Arial" w:hAnsi="Arial"/>
                <w:sz w:val="15"/>
                <w:szCs w:val="15"/>
                <w:b w:val="1"/>
                <w:bCs w:val="1"/>
                <w:color w:val="auto"/>
              </w:rPr>
              <w:t>Value</w:t>
            </w:r>
          </w:p>
        </w:tc>
        <w:tc>
          <w:tcPr>
            <w:tcW w:w="10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w w:val="89"/>
              </w:rPr>
              <w:t>$ 11,096,122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250,135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6"/>
              <w:spacing w:after="0"/>
              <w:rPr>
                <w:sz w:val="20"/>
                <w:szCs w:val="20"/>
                <w:color w:val="auto"/>
              </w:rPr>
            </w:pPr>
            <w:r>
              <w:rPr>
                <w:rFonts w:ascii="Arial" w:cs="Arial" w:eastAsia="Arial" w:hAnsi="Arial"/>
                <w:sz w:val="18"/>
                <w:szCs w:val="18"/>
                <w:color w:val="auto"/>
                <w:w w:val="95"/>
              </w:rPr>
              <w:t>$ 11,315,443</w:t>
            </w: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87,562,631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1,189,207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(269,857)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(340,516)</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88,141,465</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 backed securities (1)</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20,463,353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305,499</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(189,022)</w:t>
            </w: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20,531,348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fixed-maturity securities</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3"/>
              </w:rPr>
              <w:t>119,122,106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1,744,841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(349,153)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(529,538)</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119,988,256</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13,761,841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902,117</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(242,518)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(135,242)</w:t>
            </w: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14,286,198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7"/>
              </w:rPr>
              <w:t>$132,883,947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2,646,958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(664,780)</w:t>
            </w:r>
          </w:p>
        </w:tc>
        <w:tc>
          <w:tcPr>
            <w:tcW w:w="12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2"/>
              </w:rPr>
              <w:t>$134,274,454</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340" w:right="40" w:hanging="332"/>
        <w:spacing w:after="0" w:line="25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2017, KICO placed certain residential mortgage backed securities as eligible collateral in a designated custodian account related to its relationship with the Federal Home Loan Bank of New York ("FHLBNY"). The eligible collateral would be pledged to FHLBNY if KICO draws an advance from FHBLNY. As of December 31, 2017, the fair value of the eligible investments was $6,702,538. KICO will retain all rights regarding all securities if pledged as collateral. As of December 31, 2017, there were no outstanding advances.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5"/>
                <w:szCs w:val="15"/>
                <w:b w:val="1"/>
                <w:bCs w:val="1"/>
                <w:color w:val="auto"/>
              </w:rPr>
              <w:t>December 31, 2016</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7"/>
              <w:spacing w:after="0" w:line="162" w:lineRule="exact"/>
              <w:rPr>
                <w:sz w:val="20"/>
                <w:szCs w:val="20"/>
                <w:color w:val="auto"/>
              </w:rPr>
            </w:pPr>
            <w:r>
              <w:rPr>
                <w:rFonts w:ascii="Arial" w:cs="Arial" w:eastAsia="Arial" w:hAnsi="Arial"/>
                <w:sz w:val="15"/>
                <w:szCs w:val="15"/>
                <w:b w:val="1"/>
                <w:bCs w:val="1"/>
                <w:color w:val="auto"/>
                <w:w w:val="91"/>
              </w:rPr>
              <w:t>Cost or</w:t>
            </w:r>
          </w:p>
        </w:tc>
        <w:tc>
          <w:tcPr>
            <w:tcW w:w="320" w:type="dxa"/>
            <w:vAlign w:val="bottom"/>
          </w:tcPr>
          <w:p>
            <w:pPr>
              <w:spacing w:after="0"/>
              <w:rPr>
                <w:sz w:val="14"/>
                <w:szCs w:val="14"/>
                <w:color w:val="auto"/>
              </w:rPr>
            </w:pPr>
          </w:p>
        </w:tc>
        <w:tc>
          <w:tcPr>
            <w:tcW w:w="940" w:type="dxa"/>
            <w:vAlign w:val="bottom"/>
          </w:tcPr>
          <w:p>
            <w:pPr>
              <w:jc w:val="center"/>
              <w:ind w:right="117"/>
              <w:spacing w:after="0" w:line="162" w:lineRule="exact"/>
              <w:rPr>
                <w:sz w:val="20"/>
                <w:szCs w:val="20"/>
                <w:color w:val="auto"/>
              </w:rPr>
            </w:pPr>
            <w:r>
              <w:rPr>
                <w:rFonts w:ascii="Arial" w:cs="Arial" w:eastAsia="Arial" w:hAnsi="Arial"/>
                <w:sz w:val="15"/>
                <w:szCs w:val="15"/>
                <w:b w:val="1"/>
                <w:bCs w:val="1"/>
                <w:color w:val="auto"/>
                <w:w w:val="87"/>
              </w:rPr>
              <w:t>Gross</w:t>
            </w: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94"/>
              <w:spacing w:after="0" w:line="162" w:lineRule="exact"/>
              <w:rPr>
                <w:sz w:val="20"/>
                <w:szCs w:val="20"/>
                <w:color w:val="auto"/>
              </w:rPr>
            </w:pPr>
            <w:r>
              <w:rPr>
                <w:rFonts w:ascii="Arial" w:cs="Arial" w:eastAsia="Arial" w:hAnsi="Arial"/>
                <w:sz w:val="15"/>
                <w:szCs w:val="15"/>
                <w:b w:val="1"/>
                <w:bCs w:val="1"/>
                <w:color w:val="auto"/>
                <w:w w:val="91"/>
              </w:rPr>
              <w:t>Gross Unrealized Losses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center"/>
              <w:ind w:right="57"/>
              <w:spacing w:after="0" w:line="162" w:lineRule="exact"/>
              <w:rPr>
                <w:sz w:val="20"/>
                <w:szCs w:val="20"/>
                <w:color w:val="auto"/>
              </w:rPr>
            </w:pPr>
            <w:r>
              <w:rPr>
                <w:rFonts w:ascii="Arial" w:cs="Arial" w:eastAsia="Arial" w:hAnsi="Arial"/>
                <w:sz w:val="15"/>
                <w:szCs w:val="15"/>
                <w:b w:val="1"/>
                <w:bCs w:val="1"/>
                <w:color w:val="auto"/>
                <w:w w:val="94"/>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Arial" w:cs="Arial" w:eastAsia="Arial" w:hAnsi="Arial"/>
                <w:sz w:val="15"/>
                <w:szCs w:val="15"/>
                <w:b w:val="1"/>
                <w:bCs w:val="1"/>
                <w:color w:val="auto"/>
                <w:w w:val="92"/>
              </w:rPr>
              <w:t>Amortized</w:t>
            </w:r>
          </w:p>
        </w:tc>
        <w:tc>
          <w:tcPr>
            <w:tcW w:w="32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right"/>
              <w:ind w:right="117"/>
              <w:spacing w:after="0" w:line="149" w:lineRule="exact"/>
              <w:rPr>
                <w:sz w:val="20"/>
                <w:szCs w:val="20"/>
                <w:color w:val="auto"/>
              </w:rPr>
            </w:pPr>
            <w:r>
              <w:rPr>
                <w:rFonts w:ascii="Arial" w:cs="Arial" w:eastAsia="Arial" w:hAnsi="Arial"/>
                <w:sz w:val="15"/>
                <w:szCs w:val="15"/>
                <w:b w:val="1"/>
                <w:bCs w:val="1"/>
                <w:color w:val="auto"/>
              </w:rPr>
              <w:t>Less than 12</w:t>
            </w:r>
          </w:p>
        </w:tc>
        <w:tc>
          <w:tcPr>
            <w:tcW w:w="1120" w:type="dxa"/>
            <w:vAlign w:val="bottom"/>
            <w:gridSpan w:val="2"/>
          </w:tcPr>
          <w:p>
            <w:pPr>
              <w:jc w:val="right"/>
              <w:ind w:right="54"/>
              <w:spacing w:after="0" w:line="149" w:lineRule="exact"/>
              <w:rPr>
                <w:sz w:val="20"/>
                <w:szCs w:val="20"/>
                <w:color w:val="auto"/>
              </w:rPr>
            </w:pPr>
            <w:r>
              <w:rPr>
                <w:rFonts w:ascii="Arial" w:cs="Arial" w:eastAsia="Arial" w:hAnsi="Arial"/>
                <w:sz w:val="15"/>
                <w:szCs w:val="15"/>
                <w:b w:val="1"/>
                <w:bCs w:val="1"/>
                <w:color w:val="auto"/>
              </w:rPr>
              <w:t>More than 12</w:t>
            </w:r>
          </w:p>
        </w:tc>
        <w:tc>
          <w:tcPr>
            <w:tcW w:w="200" w:type="dxa"/>
            <w:vAlign w:val="bottom"/>
          </w:tcPr>
          <w:p>
            <w:pPr>
              <w:spacing w:after="0"/>
              <w:rPr>
                <w:sz w:val="12"/>
                <w:szCs w:val="12"/>
                <w:color w:val="auto"/>
              </w:rPr>
            </w:pPr>
          </w:p>
        </w:tc>
        <w:tc>
          <w:tcPr>
            <w:tcW w:w="1060" w:type="dxa"/>
            <w:vAlign w:val="bottom"/>
          </w:tcPr>
          <w:p>
            <w:pPr>
              <w:jc w:val="right"/>
              <w:ind w:right="476"/>
              <w:spacing w:after="0" w:line="149" w:lineRule="exact"/>
              <w:rPr>
                <w:sz w:val="20"/>
                <w:szCs w:val="20"/>
                <w:color w:val="auto"/>
              </w:rPr>
            </w:pPr>
            <w:r>
              <w:rPr>
                <w:rFonts w:ascii="Arial" w:cs="Arial" w:eastAsia="Arial" w:hAnsi="Arial"/>
                <w:sz w:val="15"/>
                <w:szCs w:val="15"/>
                <w:b w:val="1"/>
                <w:bCs w:val="1"/>
                <w:color w:val="auto"/>
              </w:rPr>
              <w:t>Fair</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94"/>
              </w:rPr>
              <w:t>Fair</w:t>
            </w:r>
          </w:p>
        </w:tc>
        <w:tc>
          <w:tcPr>
            <w:tcW w:w="0" w:type="dxa"/>
            <w:vAlign w:val="bottom"/>
          </w:tcPr>
          <w:p>
            <w:pPr>
              <w:spacing w:after="0"/>
              <w:rPr>
                <w:sz w:val="1"/>
                <w:szCs w:val="1"/>
                <w:color w:val="auto"/>
              </w:rPr>
            </w:pPr>
          </w:p>
        </w:tc>
      </w:tr>
      <w:tr>
        <w:trPr>
          <w:trHeight w:val="182"/>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Category</w:t>
            </w:r>
          </w:p>
        </w:tc>
        <w:tc>
          <w:tcPr>
            <w:tcW w:w="140" w:type="dxa"/>
            <w:vAlign w:val="bottom"/>
          </w:tcPr>
          <w:p>
            <w:pPr>
              <w:spacing w:after="0"/>
              <w:rPr>
                <w:sz w:val="15"/>
                <w:szCs w:val="15"/>
                <w:color w:val="auto"/>
              </w:rPr>
            </w:pPr>
          </w:p>
        </w:tc>
        <w:tc>
          <w:tcPr>
            <w:tcW w:w="820" w:type="dxa"/>
            <w:vAlign w:val="bottom"/>
          </w:tcPr>
          <w:p>
            <w:pPr>
              <w:jc w:val="center"/>
              <w:ind w:right="17"/>
              <w:spacing w:after="0"/>
              <w:rPr>
                <w:sz w:val="20"/>
                <w:szCs w:val="20"/>
                <w:color w:val="auto"/>
              </w:rPr>
            </w:pPr>
            <w:r>
              <w:rPr>
                <w:rFonts w:ascii="Arial" w:cs="Arial" w:eastAsia="Arial" w:hAnsi="Arial"/>
                <w:sz w:val="15"/>
                <w:szCs w:val="15"/>
                <w:b w:val="1"/>
                <w:bCs w:val="1"/>
                <w:color w:val="auto"/>
                <w:w w:val="83"/>
              </w:rPr>
              <w:t>Cost</w:t>
            </w:r>
          </w:p>
        </w:tc>
        <w:tc>
          <w:tcPr>
            <w:tcW w:w="32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Arial" w:cs="Arial" w:eastAsia="Arial" w:hAnsi="Arial"/>
                <w:sz w:val="15"/>
                <w:szCs w:val="15"/>
                <w:b w:val="1"/>
                <w:bCs w:val="1"/>
                <w:color w:val="auto"/>
                <w:w w:val="91"/>
              </w:rPr>
              <w:t>Gains</w:t>
            </w:r>
          </w:p>
        </w:tc>
        <w:tc>
          <w:tcPr>
            <w:tcW w:w="240" w:type="dxa"/>
            <w:vAlign w:val="bottom"/>
          </w:tcPr>
          <w:p>
            <w:pPr>
              <w:spacing w:after="0"/>
              <w:rPr>
                <w:sz w:val="15"/>
                <w:szCs w:val="15"/>
                <w:color w:val="auto"/>
              </w:rPr>
            </w:pPr>
          </w:p>
        </w:tc>
        <w:tc>
          <w:tcPr>
            <w:tcW w:w="920" w:type="dxa"/>
            <w:vAlign w:val="bottom"/>
          </w:tcPr>
          <w:p>
            <w:pPr>
              <w:jc w:val="right"/>
              <w:ind w:right="257"/>
              <w:spacing w:after="0"/>
              <w:rPr>
                <w:sz w:val="20"/>
                <w:szCs w:val="20"/>
                <w:color w:val="auto"/>
              </w:rPr>
            </w:pPr>
            <w:r>
              <w:rPr>
                <w:rFonts w:ascii="Arial" w:cs="Arial" w:eastAsia="Arial" w:hAnsi="Arial"/>
                <w:sz w:val="15"/>
                <w:szCs w:val="15"/>
                <w:b w:val="1"/>
                <w:bCs w:val="1"/>
                <w:color w:val="auto"/>
              </w:rPr>
              <w:t>Months</w:t>
            </w:r>
          </w:p>
        </w:tc>
        <w:tc>
          <w:tcPr>
            <w:tcW w:w="240" w:type="dxa"/>
            <w:vAlign w:val="bottom"/>
          </w:tcPr>
          <w:p>
            <w:pPr>
              <w:spacing w:after="0"/>
              <w:rPr>
                <w:sz w:val="15"/>
                <w:szCs w:val="15"/>
                <w:color w:val="auto"/>
              </w:rPr>
            </w:pPr>
          </w:p>
        </w:tc>
        <w:tc>
          <w:tcPr>
            <w:tcW w:w="880" w:type="dxa"/>
            <w:vAlign w:val="bottom"/>
          </w:tcPr>
          <w:p>
            <w:pPr>
              <w:jc w:val="right"/>
              <w:ind w:right="254"/>
              <w:spacing w:after="0"/>
              <w:rPr>
                <w:sz w:val="20"/>
                <w:szCs w:val="20"/>
                <w:color w:val="auto"/>
              </w:rPr>
            </w:pPr>
            <w:r>
              <w:rPr>
                <w:rFonts w:ascii="Arial" w:cs="Arial" w:eastAsia="Arial" w:hAnsi="Arial"/>
                <w:sz w:val="15"/>
                <w:szCs w:val="15"/>
                <w:b w:val="1"/>
                <w:bCs w:val="1"/>
                <w:color w:val="auto"/>
                <w:w w:val="97"/>
              </w:rPr>
              <w:t>Months</w:t>
            </w:r>
          </w:p>
        </w:tc>
        <w:tc>
          <w:tcPr>
            <w:tcW w:w="200" w:type="dxa"/>
            <w:vAlign w:val="bottom"/>
          </w:tcPr>
          <w:p>
            <w:pPr>
              <w:spacing w:after="0"/>
              <w:rPr>
                <w:sz w:val="15"/>
                <w:szCs w:val="15"/>
                <w:color w:val="auto"/>
              </w:rPr>
            </w:pPr>
          </w:p>
        </w:tc>
        <w:tc>
          <w:tcPr>
            <w:tcW w:w="1060" w:type="dxa"/>
            <w:vAlign w:val="bottom"/>
          </w:tcPr>
          <w:p>
            <w:pPr>
              <w:jc w:val="right"/>
              <w:ind w:right="436"/>
              <w:spacing w:after="0"/>
              <w:rPr>
                <w:sz w:val="20"/>
                <w:szCs w:val="20"/>
                <w:color w:val="auto"/>
              </w:rPr>
            </w:pPr>
            <w:r>
              <w:rPr>
                <w:rFonts w:ascii="Arial" w:cs="Arial" w:eastAsia="Arial" w:hAnsi="Arial"/>
                <w:sz w:val="15"/>
                <w:szCs w:val="15"/>
                <w:b w:val="1"/>
                <w:bCs w:val="1"/>
                <w:color w:val="auto"/>
              </w:rPr>
              <w:t>Value</w:t>
            </w: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8,053,449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199,028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w w:val="99"/>
              </w:rPr>
              <w:t>8,205,888</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53,728,395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600,519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(638,113)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88"/>
              </w:rPr>
              <w:t>53,685,189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backed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18,814,784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70,682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(309,273)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(38,442)</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88"/>
              </w:rPr>
              <w:t>18,537,751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fixed-maturity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80,596,628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870,229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(993,975)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88"/>
              </w:rPr>
              <w:t>80,428,828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9,709,385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701,641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(168,039)</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9,987,686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90,306,013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1,571,870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(1,249,276)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88"/>
              </w:rPr>
              <w:t>90,416,514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45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41</w:t>
            </w:r>
          </w:p>
        </w:tc>
        <w:tc>
          <w:tcPr>
            <w:tcW w:w="9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30" w:right="19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center"/>
              <w:ind w:right="215"/>
              <w:spacing w:after="0"/>
              <w:rPr>
                <w:sz w:val="20"/>
                <w:szCs w:val="20"/>
                <w:color w:val="auto"/>
              </w:rPr>
            </w:pPr>
            <w:r>
              <w:rPr>
                <w:rFonts w:ascii="Arial" w:cs="Arial" w:eastAsia="Arial" w:hAnsi="Arial"/>
                <w:sz w:val="15"/>
                <w:szCs w:val="15"/>
                <w:b w:val="1"/>
                <w:bCs w:val="1"/>
                <w:color w:val="auto"/>
                <w:w w:val="88"/>
              </w:rPr>
              <w:t>December 31, 2017</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38"/>
              <w:spacing w:after="0" w:line="162" w:lineRule="exact"/>
              <w:rPr>
                <w:sz w:val="20"/>
                <w:szCs w:val="20"/>
                <w:color w:val="auto"/>
              </w:rPr>
            </w:pPr>
            <w:r>
              <w:rPr>
                <w:rFonts w:ascii="Arial" w:cs="Arial" w:eastAsia="Arial" w:hAnsi="Arial"/>
                <w:sz w:val="15"/>
                <w:szCs w:val="15"/>
                <w:b w:val="1"/>
                <w:bCs w:val="1"/>
                <w:color w:val="auto"/>
                <w:w w:val="91"/>
              </w:rPr>
              <w:t>Cost or</w:t>
            </w:r>
          </w:p>
        </w:tc>
        <w:tc>
          <w:tcPr>
            <w:tcW w:w="200" w:type="dxa"/>
            <w:vAlign w:val="bottom"/>
          </w:tcPr>
          <w:p>
            <w:pPr>
              <w:spacing w:after="0"/>
              <w:rPr>
                <w:sz w:val="14"/>
                <w:szCs w:val="14"/>
                <w:color w:val="auto"/>
              </w:rPr>
            </w:pPr>
          </w:p>
        </w:tc>
        <w:tc>
          <w:tcPr>
            <w:tcW w:w="940" w:type="dxa"/>
            <w:vAlign w:val="bottom"/>
          </w:tcPr>
          <w:p>
            <w:pPr>
              <w:jc w:val="center"/>
              <w:ind w:right="118"/>
              <w:spacing w:after="0" w:line="162" w:lineRule="exact"/>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right="195"/>
              <w:spacing w:after="0" w:line="162" w:lineRule="exact"/>
              <w:rPr>
                <w:sz w:val="20"/>
                <w:szCs w:val="20"/>
                <w:color w:val="auto"/>
              </w:rPr>
            </w:pPr>
            <w:r>
              <w:rPr>
                <w:rFonts w:ascii="Arial" w:cs="Arial" w:eastAsia="Arial" w:hAnsi="Arial"/>
                <w:sz w:val="15"/>
                <w:szCs w:val="15"/>
                <w:b w:val="1"/>
                <w:bCs w:val="1"/>
                <w:color w:val="auto"/>
                <w:w w:val="85"/>
              </w:rPr>
              <w:t>Gross Unrealized Losses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ind w:right="58"/>
              <w:spacing w:after="0" w:line="162" w:lineRule="exact"/>
              <w:rPr>
                <w:sz w:val="20"/>
                <w:szCs w:val="20"/>
                <w:color w:val="auto"/>
              </w:rPr>
            </w:pPr>
            <w:r>
              <w:rPr>
                <w:rFonts w:ascii="Arial" w:cs="Arial" w:eastAsia="Arial" w:hAnsi="Arial"/>
                <w:sz w:val="15"/>
                <w:szCs w:val="15"/>
                <w:b w:val="1"/>
                <w:bCs w:val="1"/>
                <w:color w:val="auto"/>
                <w:w w:val="94"/>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38"/>
              <w:spacing w:after="0" w:line="149" w:lineRule="exact"/>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5"/>
              </w:rPr>
              <w:t>Less than 12</w:t>
            </w:r>
          </w:p>
        </w:tc>
        <w:tc>
          <w:tcPr>
            <w:tcW w:w="11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260" w:type="dxa"/>
            <w:vAlign w:val="bottom"/>
          </w:tcPr>
          <w:p>
            <w:pPr>
              <w:spacing w:after="0"/>
              <w:rPr>
                <w:sz w:val="12"/>
                <w:szCs w:val="12"/>
                <w:color w:val="auto"/>
              </w:rPr>
            </w:pPr>
          </w:p>
        </w:tc>
        <w:tc>
          <w:tcPr>
            <w:tcW w:w="1000" w:type="dxa"/>
            <w:vAlign w:val="bottom"/>
          </w:tcPr>
          <w:p>
            <w:pPr>
              <w:jc w:val="center"/>
              <w:ind w:right="317"/>
              <w:spacing w:after="0" w:line="149" w:lineRule="exact"/>
              <w:rPr>
                <w:sz w:val="20"/>
                <w:szCs w:val="20"/>
                <w:color w:val="auto"/>
              </w:rPr>
            </w:pPr>
            <w:r>
              <w:rPr>
                <w:rFonts w:ascii="Arial" w:cs="Arial" w:eastAsia="Arial" w:hAnsi="Arial"/>
                <w:sz w:val="15"/>
                <w:szCs w:val="15"/>
                <w:b w:val="1"/>
                <w:bCs w:val="1"/>
                <w:color w:val="auto"/>
              </w:rPr>
              <w:t>Fair</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94"/>
              </w:rPr>
              <w:t>Fair</w:t>
            </w:r>
          </w:p>
        </w:tc>
        <w:tc>
          <w:tcPr>
            <w:tcW w:w="0" w:type="dxa"/>
            <w:vAlign w:val="bottom"/>
          </w:tcPr>
          <w:p>
            <w:pPr>
              <w:spacing w:after="0"/>
              <w:rPr>
                <w:sz w:val="1"/>
                <w:szCs w:val="1"/>
                <w:color w:val="auto"/>
              </w:rPr>
            </w:pPr>
          </w:p>
        </w:tc>
      </w:tr>
      <w:tr>
        <w:trPr>
          <w:trHeight w:val="182"/>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Category</w:t>
            </w:r>
          </w:p>
        </w:tc>
        <w:tc>
          <w:tcPr>
            <w:tcW w:w="140" w:type="dxa"/>
            <w:vAlign w:val="bottom"/>
          </w:tcPr>
          <w:p>
            <w:pPr>
              <w:spacing w:after="0"/>
              <w:rPr>
                <w:sz w:val="15"/>
                <w:szCs w:val="15"/>
                <w:color w:val="auto"/>
              </w:rPr>
            </w:pPr>
          </w:p>
        </w:tc>
        <w:tc>
          <w:tcPr>
            <w:tcW w:w="940" w:type="dxa"/>
            <w:vAlign w:val="bottom"/>
          </w:tcPr>
          <w:p>
            <w:pPr>
              <w:jc w:val="center"/>
              <w:ind w:right="178"/>
              <w:spacing w:after="0"/>
              <w:rPr>
                <w:sz w:val="20"/>
                <w:szCs w:val="20"/>
                <w:color w:val="auto"/>
              </w:rPr>
            </w:pPr>
            <w:r>
              <w:rPr>
                <w:rFonts w:ascii="Arial" w:cs="Arial" w:eastAsia="Arial" w:hAnsi="Arial"/>
                <w:sz w:val="15"/>
                <w:szCs w:val="15"/>
                <w:b w:val="1"/>
                <w:bCs w:val="1"/>
                <w:color w:val="auto"/>
                <w:w w:val="83"/>
              </w:rPr>
              <w:t>Cost</w:t>
            </w:r>
          </w:p>
        </w:tc>
        <w:tc>
          <w:tcPr>
            <w:tcW w:w="20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900" w:type="dxa"/>
            <w:vAlign w:val="bottom"/>
          </w:tcPr>
          <w:p>
            <w:pPr>
              <w:jc w:val="center"/>
              <w:ind w:right="198"/>
              <w:spacing w:after="0"/>
              <w:rPr>
                <w:sz w:val="20"/>
                <w:szCs w:val="20"/>
                <w:color w:val="auto"/>
              </w:rPr>
            </w:pPr>
            <w:r>
              <w:rPr>
                <w:rFonts w:ascii="Arial" w:cs="Arial" w:eastAsia="Arial" w:hAnsi="Arial"/>
                <w:sz w:val="15"/>
                <w:szCs w:val="15"/>
                <w:b w:val="1"/>
                <w:bCs w:val="1"/>
                <w:color w:val="auto"/>
                <w:w w:val="93"/>
              </w:rPr>
              <w:t>Months</w:t>
            </w:r>
          </w:p>
        </w:tc>
        <w:tc>
          <w:tcPr>
            <w:tcW w:w="240" w:type="dxa"/>
            <w:vAlign w:val="bottom"/>
          </w:tcPr>
          <w:p>
            <w:pPr>
              <w:spacing w:after="0"/>
              <w:rPr>
                <w:sz w:val="15"/>
                <w:szCs w:val="15"/>
                <w:color w:val="auto"/>
              </w:rPr>
            </w:pPr>
          </w:p>
        </w:tc>
        <w:tc>
          <w:tcPr>
            <w:tcW w:w="880" w:type="dxa"/>
            <w:vAlign w:val="bottom"/>
          </w:tcPr>
          <w:p>
            <w:pPr>
              <w:jc w:val="center"/>
              <w:ind w:right="195"/>
              <w:spacing w:after="0"/>
              <w:rPr>
                <w:sz w:val="20"/>
                <w:szCs w:val="20"/>
                <w:color w:val="auto"/>
              </w:rPr>
            </w:pPr>
            <w:r>
              <w:rPr>
                <w:rFonts w:ascii="Arial" w:cs="Arial" w:eastAsia="Arial" w:hAnsi="Arial"/>
                <w:sz w:val="15"/>
                <w:szCs w:val="15"/>
                <w:b w:val="1"/>
                <w:bCs w:val="1"/>
                <w:color w:val="auto"/>
                <w:w w:val="89"/>
              </w:rPr>
              <w:t>Months</w:t>
            </w:r>
          </w:p>
        </w:tc>
        <w:tc>
          <w:tcPr>
            <w:tcW w:w="260" w:type="dxa"/>
            <w:vAlign w:val="bottom"/>
          </w:tcPr>
          <w:p>
            <w:pPr>
              <w:spacing w:after="0"/>
              <w:rPr>
                <w:sz w:val="15"/>
                <w:szCs w:val="15"/>
                <w:color w:val="auto"/>
              </w:rPr>
            </w:pPr>
          </w:p>
        </w:tc>
        <w:tc>
          <w:tcPr>
            <w:tcW w:w="1000" w:type="dxa"/>
            <w:vAlign w:val="bottom"/>
          </w:tcPr>
          <w:p>
            <w:pPr>
              <w:jc w:val="center"/>
              <w:ind w:right="317"/>
              <w:spacing w:after="0"/>
              <w:rPr>
                <w:sz w:val="20"/>
                <w:szCs w:val="20"/>
                <w:color w:val="auto"/>
              </w:rPr>
            </w:pPr>
            <w:r>
              <w:rPr>
                <w:rFonts w:ascii="Arial" w:cs="Arial" w:eastAsia="Arial" w:hAnsi="Arial"/>
                <w:sz w:val="15"/>
                <w:szCs w:val="15"/>
                <w:b w:val="1"/>
                <w:bCs w:val="1"/>
                <w:color w:val="auto"/>
                <w:w w:val="89"/>
              </w:rPr>
              <w:t>Value</w:t>
            </w: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729,466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147,573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875,310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4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998,984</w:t>
            </w:r>
          </w:p>
        </w:tc>
        <w:tc>
          <w:tcPr>
            <w:tcW w:w="20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50,366</w:t>
            </w:r>
          </w:p>
        </w:tc>
        <w:tc>
          <w:tcPr>
            <w:tcW w:w="260" w:type="dxa"/>
            <w:vAlign w:val="bottom"/>
          </w:tcPr>
          <w:p>
            <w:pPr>
              <w:spacing w:after="0"/>
              <w:rPr>
                <w:sz w:val="18"/>
                <w:szCs w:val="18"/>
                <w:color w:val="auto"/>
              </w:rPr>
            </w:pP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8"/>
                <w:szCs w:val="18"/>
                <w:color w:val="auto"/>
                <w:w w:val="92"/>
              </w:rPr>
              <w:t>1,049,350</w:t>
            </w:r>
          </w:p>
        </w:tc>
        <w:tc>
          <w:tcPr>
            <w:tcW w:w="100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3,141,358</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90,358</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92"/>
              </w:rPr>
              <w:t>3,225,416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4,869,808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288,297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92"/>
              </w:rPr>
              <w:t>5,150,076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gridSpan w:val="3"/>
          </w:tcPr>
          <w:p>
            <w:pPr>
              <w:jc w:val="center"/>
              <w:ind w:right="215"/>
              <w:spacing w:after="0"/>
              <w:rPr>
                <w:sz w:val="20"/>
                <w:szCs w:val="20"/>
                <w:color w:val="auto"/>
              </w:rPr>
            </w:pPr>
            <w:r>
              <w:rPr>
                <w:rFonts w:ascii="Arial" w:cs="Arial" w:eastAsia="Arial" w:hAnsi="Arial"/>
                <w:sz w:val="15"/>
                <w:szCs w:val="15"/>
                <w:b w:val="1"/>
                <w:bCs w:val="1"/>
                <w:color w:val="auto"/>
                <w:w w:val="88"/>
              </w:rPr>
              <w:t>December 31, 2016</w:t>
            </w: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91"/>
              </w:rPr>
              <w:t>Cost or</w:t>
            </w:r>
          </w:p>
        </w:tc>
        <w:tc>
          <w:tcPr>
            <w:tcW w:w="200" w:type="dxa"/>
            <w:vAlign w:val="bottom"/>
          </w:tcPr>
          <w:p>
            <w:pPr>
              <w:spacing w:after="0"/>
              <w:rPr>
                <w:sz w:val="19"/>
                <w:szCs w:val="19"/>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center"/>
              <w:ind w:right="195"/>
              <w:spacing w:after="0"/>
              <w:rPr>
                <w:sz w:val="20"/>
                <w:szCs w:val="20"/>
                <w:color w:val="auto"/>
              </w:rPr>
            </w:pPr>
            <w:r>
              <w:rPr>
                <w:rFonts w:ascii="Arial" w:cs="Arial" w:eastAsia="Arial" w:hAnsi="Arial"/>
                <w:sz w:val="15"/>
                <w:szCs w:val="15"/>
                <w:b w:val="1"/>
                <w:bCs w:val="1"/>
                <w:color w:val="auto"/>
                <w:w w:val="85"/>
              </w:rPr>
              <w:t>Gross Unrealized Losses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38"/>
              <w:spacing w:after="0" w:line="149" w:lineRule="exact"/>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5"/>
              </w:rPr>
              <w:t>Less than 12</w:t>
            </w:r>
          </w:p>
        </w:tc>
        <w:tc>
          <w:tcPr>
            <w:tcW w:w="11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260" w:type="dxa"/>
            <w:vAlign w:val="bottom"/>
          </w:tcPr>
          <w:p>
            <w:pPr>
              <w:spacing w:after="0"/>
              <w:rPr>
                <w:sz w:val="12"/>
                <w:szCs w:val="12"/>
                <w:color w:val="auto"/>
              </w:rPr>
            </w:pPr>
          </w:p>
        </w:tc>
        <w:tc>
          <w:tcPr>
            <w:tcW w:w="1000" w:type="dxa"/>
            <w:vAlign w:val="bottom"/>
          </w:tcPr>
          <w:p>
            <w:pPr>
              <w:jc w:val="center"/>
              <w:ind w:right="317"/>
              <w:spacing w:after="0" w:line="149" w:lineRule="exact"/>
              <w:rPr>
                <w:sz w:val="20"/>
                <w:szCs w:val="20"/>
                <w:color w:val="auto"/>
              </w:rPr>
            </w:pPr>
            <w:r>
              <w:rPr>
                <w:rFonts w:ascii="Arial" w:cs="Arial" w:eastAsia="Arial" w:hAnsi="Arial"/>
                <w:sz w:val="15"/>
                <w:szCs w:val="15"/>
                <w:b w:val="1"/>
                <w:bCs w:val="1"/>
                <w:color w:val="auto"/>
              </w:rPr>
              <w:t>Fair</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94"/>
              </w:rPr>
              <w:t>Fair</w:t>
            </w:r>
          </w:p>
        </w:tc>
        <w:tc>
          <w:tcPr>
            <w:tcW w:w="0" w:type="dxa"/>
            <w:vAlign w:val="bottom"/>
          </w:tcPr>
          <w:p>
            <w:pPr>
              <w:spacing w:after="0"/>
              <w:rPr>
                <w:sz w:val="1"/>
                <w:szCs w:val="1"/>
                <w:color w:val="auto"/>
              </w:rPr>
            </w:pPr>
          </w:p>
        </w:tc>
      </w:tr>
      <w:tr>
        <w:trPr>
          <w:trHeight w:val="182"/>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Category</w:t>
            </w:r>
          </w:p>
        </w:tc>
        <w:tc>
          <w:tcPr>
            <w:tcW w:w="140" w:type="dxa"/>
            <w:vAlign w:val="bottom"/>
          </w:tcPr>
          <w:p>
            <w:pPr>
              <w:spacing w:after="0"/>
              <w:rPr>
                <w:sz w:val="15"/>
                <w:szCs w:val="15"/>
                <w:color w:val="auto"/>
              </w:rPr>
            </w:pPr>
          </w:p>
        </w:tc>
        <w:tc>
          <w:tcPr>
            <w:tcW w:w="940" w:type="dxa"/>
            <w:vAlign w:val="bottom"/>
          </w:tcPr>
          <w:p>
            <w:pPr>
              <w:jc w:val="center"/>
              <w:ind w:right="178"/>
              <w:spacing w:after="0"/>
              <w:rPr>
                <w:sz w:val="20"/>
                <w:szCs w:val="20"/>
                <w:color w:val="auto"/>
              </w:rPr>
            </w:pPr>
            <w:r>
              <w:rPr>
                <w:rFonts w:ascii="Arial" w:cs="Arial" w:eastAsia="Arial" w:hAnsi="Arial"/>
                <w:sz w:val="15"/>
                <w:szCs w:val="15"/>
                <w:b w:val="1"/>
                <w:bCs w:val="1"/>
                <w:color w:val="auto"/>
                <w:w w:val="83"/>
              </w:rPr>
              <w:t>Cost</w:t>
            </w:r>
          </w:p>
        </w:tc>
        <w:tc>
          <w:tcPr>
            <w:tcW w:w="20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900" w:type="dxa"/>
            <w:vAlign w:val="bottom"/>
          </w:tcPr>
          <w:p>
            <w:pPr>
              <w:jc w:val="center"/>
              <w:ind w:right="198"/>
              <w:spacing w:after="0"/>
              <w:rPr>
                <w:sz w:val="20"/>
                <w:szCs w:val="20"/>
                <w:color w:val="auto"/>
              </w:rPr>
            </w:pPr>
            <w:r>
              <w:rPr>
                <w:rFonts w:ascii="Arial" w:cs="Arial" w:eastAsia="Arial" w:hAnsi="Arial"/>
                <w:sz w:val="15"/>
                <w:szCs w:val="15"/>
                <w:b w:val="1"/>
                <w:bCs w:val="1"/>
                <w:color w:val="auto"/>
                <w:w w:val="93"/>
              </w:rPr>
              <w:t>Months</w:t>
            </w:r>
          </w:p>
        </w:tc>
        <w:tc>
          <w:tcPr>
            <w:tcW w:w="240" w:type="dxa"/>
            <w:vAlign w:val="bottom"/>
          </w:tcPr>
          <w:p>
            <w:pPr>
              <w:spacing w:after="0"/>
              <w:rPr>
                <w:sz w:val="15"/>
                <w:szCs w:val="15"/>
                <w:color w:val="auto"/>
              </w:rPr>
            </w:pPr>
          </w:p>
        </w:tc>
        <w:tc>
          <w:tcPr>
            <w:tcW w:w="880" w:type="dxa"/>
            <w:vAlign w:val="bottom"/>
          </w:tcPr>
          <w:p>
            <w:pPr>
              <w:jc w:val="center"/>
              <w:ind w:right="195"/>
              <w:spacing w:after="0"/>
              <w:rPr>
                <w:sz w:val="20"/>
                <w:szCs w:val="20"/>
                <w:color w:val="auto"/>
              </w:rPr>
            </w:pPr>
            <w:r>
              <w:rPr>
                <w:rFonts w:ascii="Arial" w:cs="Arial" w:eastAsia="Arial" w:hAnsi="Arial"/>
                <w:sz w:val="15"/>
                <w:szCs w:val="15"/>
                <w:b w:val="1"/>
                <w:bCs w:val="1"/>
                <w:color w:val="auto"/>
                <w:w w:val="89"/>
              </w:rPr>
              <w:t>Months</w:t>
            </w:r>
          </w:p>
        </w:tc>
        <w:tc>
          <w:tcPr>
            <w:tcW w:w="260" w:type="dxa"/>
            <w:vAlign w:val="bottom"/>
          </w:tcPr>
          <w:p>
            <w:pPr>
              <w:spacing w:after="0"/>
              <w:rPr>
                <w:sz w:val="15"/>
                <w:szCs w:val="15"/>
                <w:color w:val="auto"/>
              </w:rPr>
            </w:pPr>
          </w:p>
        </w:tc>
        <w:tc>
          <w:tcPr>
            <w:tcW w:w="1000" w:type="dxa"/>
            <w:vAlign w:val="bottom"/>
          </w:tcPr>
          <w:p>
            <w:pPr>
              <w:jc w:val="center"/>
              <w:ind w:right="317"/>
              <w:spacing w:after="0"/>
              <w:rPr>
                <w:sz w:val="20"/>
                <w:szCs w:val="20"/>
                <w:color w:val="auto"/>
              </w:rPr>
            </w:pPr>
            <w:r>
              <w:rPr>
                <w:rFonts w:ascii="Arial" w:cs="Arial" w:eastAsia="Arial" w:hAnsi="Arial"/>
                <w:sz w:val="15"/>
                <w:szCs w:val="15"/>
                <w:b w:val="1"/>
                <w:bCs w:val="1"/>
                <w:color w:val="auto"/>
                <w:w w:val="89"/>
              </w:rPr>
              <w:t>Value</w:t>
            </w: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606,427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147,612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754,039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4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w w:val="99"/>
              </w:rPr>
              <w:t>1,349,916</w:t>
            </w:r>
          </w:p>
        </w:tc>
        <w:tc>
          <w:tcPr>
            <w:tcW w:w="20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37,321</w:t>
            </w:r>
          </w:p>
        </w:tc>
        <w:tc>
          <w:tcPr>
            <w:tcW w:w="260" w:type="dxa"/>
            <w:vAlign w:val="bottom"/>
          </w:tcPr>
          <w:p>
            <w:pPr>
              <w:spacing w:after="0"/>
              <w:rPr>
                <w:sz w:val="18"/>
                <w:szCs w:val="18"/>
                <w:color w:val="auto"/>
              </w:rPr>
            </w:pP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8"/>
                <w:szCs w:val="18"/>
                <w:color w:val="auto"/>
                <w:w w:val="92"/>
              </w:rPr>
              <w:t>1,387,237</w:t>
            </w: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3,138,559</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72,784</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(46,881)</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92"/>
              </w:rPr>
              <w:t>3,156,843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9"/>
              </w:rPr>
              <w:t>5,094,902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257,717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92"/>
              </w:rPr>
              <w:t>5,298,119</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summary of the amortized cost and fair value of our investments in held-to-maturity securities by contractual maturity as of December 31, 2017 and 2016 is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5"/>
                <w:szCs w:val="15"/>
                <w:b w:val="1"/>
                <w:bCs w:val="1"/>
                <w:color w:val="auto"/>
              </w:rPr>
              <w:t>December 31, 2017</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December 31, 2016</w:t>
            </w:r>
          </w:p>
        </w:tc>
        <w:tc>
          <w:tcPr>
            <w:tcW w:w="0" w:type="dxa"/>
            <w:vAlign w:val="bottom"/>
          </w:tcPr>
          <w:p>
            <w:pPr>
              <w:spacing w:after="0"/>
              <w:rPr>
                <w:sz w:val="1"/>
                <w:szCs w:val="1"/>
                <w:color w:val="auto"/>
              </w:rPr>
            </w:pPr>
          </w:p>
        </w:tc>
      </w:tr>
      <w:tr>
        <w:trPr>
          <w:trHeight w:val="176"/>
        </w:trPr>
        <w:tc>
          <w:tcPr>
            <w:tcW w:w="3740" w:type="dxa"/>
            <w:vAlign w:val="bottom"/>
            <w:vMerge w:val="restart"/>
          </w:tcPr>
          <w:p>
            <w:pPr>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38"/>
              <w:spacing w:after="0"/>
              <w:rPr>
                <w:sz w:val="20"/>
                <w:szCs w:val="20"/>
                <w:color w:val="auto"/>
              </w:rPr>
            </w:pPr>
            <w:r>
              <w:rPr>
                <w:rFonts w:ascii="Arial" w:cs="Arial" w:eastAsia="Arial" w:hAnsi="Arial"/>
                <w:sz w:val="15"/>
                <w:szCs w:val="15"/>
                <w:b w:val="1"/>
                <w:bCs w:val="1"/>
                <w:color w:val="auto"/>
                <w:w w:val="98"/>
              </w:rPr>
              <w:t>Amortized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18"/>
              <w:spacing w:after="0"/>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8"/>
              <w:spacing w:after="0" w:line="129"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8"/>
              <w:spacing w:after="0" w:line="129"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8"/>
                <w:szCs w:val="18"/>
                <w:color w:val="auto"/>
              </w:rPr>
              <w:t>Less than one year</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One to five years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2,546,459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2,601,898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8"/>
                <w:szCs w:val="18"/>
                <w:color w:val="auto"/>
              </w:rPr>
              <w:t>Five to ten years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1,716,884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1,794,139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3,838,475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3,901,625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More than ten years</w:t>
            </w:r>
          </w:p>
        </w:tc>
        <w:tc>
          <w:tcPr>
            <w:tcW w:w="2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606,465</w:t>
            </w:r>
          </w:p>
        </w:tc>
        <w:tc>
          <w:tcPr>
            <w:tcW w:w="2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754,039</w:t>
            </w:r>
          </w:p>
        </w:tc>
        <w:tc>
          <w:tcPr>
            <w:tcW w:w="2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606,427</w:t>
            </w:r>
          </w:p>
        </w:tc>
        <w:tc>
          <w:tcPr>
            <w:tcW w:w="2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754,039</w:t>
            </w:r>
          </w:p>
        </w:tc>
        <w:tc>
          <w:tcPr>
            <w:tcW w:w="1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4,869,808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5,150,076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5,094,902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5,298,119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220" w:type="dxa"/>
            <w:vAlign w:val="bottom"/>
            <w:vMerge w:val="restart"/>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30" w:right="19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December 31, 2017 and 2016 as rated by Standard and Poor’s (or, if unavailable from Standard and Poor’s, then Moody’s or Fitch):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5"/>
                <w:szCs w:val="15"/>
                <w:b w:val="1"/>
                <w:bCs w:val="1"/>
                <w:color w:val="auto"/>
              </w:rPr>
              <w:t>December 31, 2017</w:t>
            </w: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right"/>
              <w:ind w:right="675"/>
              <w:spacing w:after="0"/>
              <w:rPr>
                <w:sz w:val="20"/>
                <w:szCs w:val="20"/>
                <w:color w:val="auto"/>
              </w:rPr>
            </w:pPr>
            <w:r>
              <w:rPr>
                <w:rFonts w:ascii="Arial" w:cs="Arial" w:eastAsia="Arial" w:hAnsi="Arial"/>
                <w:sz w:val="15"/>
                <w:szCs w:val="15"/>
                <w:b w:val="1"/>
                <w:bCs w:val="1"/>
                <w:color w:val="auto"/>
              </w:rPr>
              <w:t>December 31, 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jc w:val="center"/>
              <w:ind w:right="34"/>
              <w:spacing w:after="0"/>
              <w:rPr>
                <w:sz w:val="20"/>
                <w:szCs w:val="20"/>
                <w:color w:val="auto"/>
              </w:rPr>
            </w:pPr>
            <w:r>
              <w:rPr>
                <w:rFonts w:ascii="Arial" w:cs="Arial" w:eastAsia="Arial" w:hAnsi="Arial"/>
                <w:sz w:val="15"/>
                <w:szCs w:val="15"/>
                <w:b w:val="1"/>
                <w:bCs w:val="1"/>
                <w:color w:val="auto"/>
                <w:w w:val="86"/>
              </w:rPr>
              <w:t>Percentage of</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5"/>
                <w:szCs w:val="15"/>
                <w:b w:val="1"/>
                <w:bCs w:val="1"/>
                <w:color w:val="auto"/>
                <w:w w:val="99"/>
              </w:rPr>
              <w:t>Fair Market</w:t>
            </w:r>
          </w:p>
        </w:tc>
        <w:tc>
          <w:tcPr>
            <w:tcW w:w="1380" w:type="dxa"/>
            <w:vAlign w:val="bottom"/>
          </w:tcPr>
          <w:p>
            <w:pPr>
              <w:jc w:val="center"/>
              <w:ind w:right="34"/>
              <w:spacing w:after="0"/>
              <w:rPr>
                <w:sz w:val="20"/>
                <w:szCs w:val="20"/>
                <w:color w:val="auto"/>
              </w:rPr>
            </w:pPr>
            <w:r>
              <w:rPr>
                <w:rFonts w:ascii="Arial" w:cs="Arial" w:eastAsia="Arial" w:hAnsi="Arial"/>
                <w:sz w:val="15"/>
                <w:szCs w:val="15"/>
                <w:b w:val="1"/>
                <w:bCs w:val="1"/>
                <w:color w:val="auto"/>
                <w:w w:val="97"/>
              </w:rPr>
              <w:t>Fair Market</w:t>
            </w:r>
          </w:p>
        </w:tc>
        <w:tc>
          <w:tcPr>
            <w:tcW w:w="160" w:type="dxa"/>
            <w:vAlign w:val="bottom"/>
          </w:tcPr>
          <w:p>
            <w:pPr>
              <w:spacing w:after="0"/>
              <w:rPr>
                <w:sz w:val="18"/>
                <w:szCs w:val="18"/>
                <w:color w:val="auto"/>
              </w:rPr>
            </w:pPr>
          </w:p>
        </w:tc>
        <w:tc>
          <w:tcPr>
            <w:tcW w:w="1260" w:type="dxa"/>
            <w:vAlign w:val="bottom"/>
          </w:tcPr>
          <w:p>
            <w:pPr>
              <w:jc w:val="center"/>
              <w:ind w:right="275"/>
              <w:spacing w:after="0"/>
              <w:rPr>
                <w:sz w:val="20"/>
                <w:szCs w:val="20"/>
                <w:color w:val="auto"/>
              </w:rPr>
            </w:pPr>
            <w:r>
              <w:rPr>
                <w:rFonts w:ascii="Arial" w:cs="Arial" w:eastAsia="Arial" w:hAnsi="Arial"/>
                <w:sz w:val="15"/>
                <w:szCs w:val="15"/>
                <w:b w:val="1"/>
                <w:bCs w:val="1"/>
                <w:color w:val="auto"/>
                <w:w w:val="97"/>
              </w:rPr>
              <w:t>Fair Market</w:t>
            </w: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7"/>
              </w:rPr>
              <w:t>Fair Market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74"/>
              <w:spacing w:after="0"/>
              <w:rPr>
                <w:sz w:val="20"/>
                <w:szCs w:val="20"/>
                <w:color w:val="auto"/>
              </w:rPr>
            </w:pPr>
            <w:r>
              <w:rPr>
                <w:rFonts w:ascii="Arial" w:cs="Arial" w:eastAsia="Arial" w:hAnsi="Arial"/>
                <w:sz w:val="15"/>
                <w:szCs w:val="15"/>
                <w:b w:val="1"/>
                <w:bCs w:val="1"/>
                <w:color w:val="auto"/>
              </w:rPr>
              <w:t>Value</w:t>
            </w:r>
          </w:p>
        </w:tc>
        <w:tc>
          <w:tcPr>
            <w:tcW w:w="1380" w:type="dxa"/>
            <w:vAlign w:val="bottom"/>
          </w:tcPr>
          <w:p>
            <w:pPr>
              <w:jc w:val="center"/>
              <w:ind w:right="34"/>
              <w:spacing w:after="0"/>
              <w:rPr>
                <w:sz w:val="20"/>
                <w:szCs w:val="20"/>
                <w:color w:val="auto"/>
              </w:rPr>
            </w:pPr>
            <w:r>
              <w:rPr>
                <w:rFonts w:ascii="Arial" w:cs="Arial" w:eastAsia="Arial" w:hAnsi="Arial"/>
                <w:sz w:val="15"/>
                <w:szCs w:val="15"/>
                <w:b w:val="1"/>
                <w:bCs w:val="1"/>
                <w:color w:val="auto"/>
                <w:w w:val="84"/>
              </w:rPr>
              <w:t>Value</w:t>
            </w:r>
          </w:p>
        </w:tc>
        <w:tc>
          <w:tcPr>
            <w:tcW w:w="160" w:type="dxa"/>
            <w:vAlign w:val="bottom"/>
          </w:tcPr>
          <w:p>
            <w:pPr>
              <w:spacing w:after="0"/>
              <w:rPr>
                <w:sz w:val="17"/>
                <w:szCs w:val="17"/>
                <w:color w:val="auto"/>
              </w:rPr>
            </w:pPr>
          </w:p>
        </w:tc>
        <w:tc>
          <w:tcPr>
            <w:tcW w:w="1260" w:type="dxa"/>
            <w:vAlign w:val="bottom"/>
          </w:tcPr>
          <w:p>
            <w:pPr>
              <w:jc w:val="center"/>
              <w:ind w:right="255"/>
              <w:spacing w:after="0"/>
              <w:rPr>
                <w:sz w:val="20"/>
                <w:szCs w:val="20"/>
                <w:color w:val="auto"/>
              </w:rPr>
            </w:pPr>
            <w:r>
              <w:rPr>
                <w:rFonts w:ascii="Arial" w:cs="Arial" w:eastAsia="Arial" w:hAnsi="Arial"/>
                <w:sz w:val="15"/>
                <w:szCs w:val="15"/>
                <w:b w:val="1"/>
                <w:bCs w:val="1"/>
                <w:color w:val="auto"/>
                <w:w w:val="89"/>
              </w:rPr>
              <w:t>Value</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Rating</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Corporate and municipal bonds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AAA</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1,358,143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1,801,106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AA</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11,319,057</w:t>
            </w: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7,236,457</w:t>
            </w: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ind w:left="160"/>
              <w:spacing w:after="0" w:line="243" w:lineRule="exact"/>
              <w:rPr>
                <w:sz w:val="20"/>
                <w:szCs w:val="20"/>
                <w:color w:val="auto"/>
              </w:rPr>
            </w:pPr>
            <w:r>
              <w:rPr>
                <w:rFonts w:ascii="Arial" w:cs="Arial" w:eastAsia="Arial" w:hAnsi="Arial"/>
                <w:sz w:val="22"/>
                <w:szCs w:val="22"/>
                <w:color w:val="auto"/>
              </w:rPr>
              <w:t>A</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17,199,631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13,944,784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BBB</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68,704,768</w:t>
            </w:r>
          </w:p>
        </w:tc>
        <w:tc>
          <w:tcPr>
            <w:tcW w:w="1380" w:type="dxa"/>
            <w:vAlign w:val="bottom"/>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38,908,731</w:t>
            </w:r>
          </w:p>
        </w:tc>
        <w:tc>
          <w:tcPr>
            <w:tcW w:w="1240" w:type="dxa"/>
            <w:vAlign w:val="bottom"/>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BB</w:t>
            </w:r>
          </w:p>
        </w:tc>
        <w:tc>
          <w:tcPr>
            <w:tcW w:w="10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875,310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Total corporate and municipal bonds</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99,456,909</w:t>
            </w:r>
          </w:p>
        </w:tc>
        <w:tc>
          <w:tcPr>
            <w:tcW w:w="138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21"/>
                <w:szCs w:val="21"/>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61,891,078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Residential mortgage backed securities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AAA</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2,013,010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AA</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11,021,144</w:t>
            </w: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14,143,828</w:t>
            </w: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ind w:left="160"/>
              <w:spacing w:after="0" w:line="243" w:lineRule="exact"/>
              <w:rPr>
                <w:sz w:val="20"/>
                <w:szCs w:val="20"/>
                <w:color w:val="auto"/>
              </w:rPr>
            </w:pPr>
            <w:r>
              <w:rPr>
                <w:rFonts w:ascii="Arial" w:cs="Arial" w:eastAsia="Arial" w:hAnsi="Arial"/>
                <w:sz w:val="22"/>
                <w:szCs w:val="22"/>
                <w:color w:val="auto"/>
              </w:rPr>
              <w:t>A</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3,902,768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173,973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CCC</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1,420,296</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513,369</w:t>
            </w: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CC</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120,742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60"/>
              <w:spacing w:after="0" w:line="243" w:lineRule="exact"/>
              <w:rPr>
                <w:sz w:val="20"/>
                <w:szCs w:val="20"/>
                <w:color w:val="auto"/>
              </w:rPr>
            </w:pPr>
            <w:r>
              <w:rPr>
                <w:rFonts w:ascii="Arial" w:cs="Arial" w:eastAsia="Arial" w:hAnsi="Arial"/>
                <w:sz w:val="22"/>
                <w:szCs w:val="22"/>
                <w:color w:val="auto"/>
              </w:rPr>
              <w:t>C</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28,963</w:t>
            </w: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112,136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ind w:left="160"/>
              <w:spacing w:after="0" w:line="243" w:lineRule="exact"/>
              <w:rPr>
                <w:sz w:val="20"/>
                <w:szCs w:val="20"/>
                <w:color w:val="auto"/>
              </w:rPr>
            </w:pPr>
            <w:r>
              <w:rPr>
                <w:rFonts w:ascii="Arial" w:cs="Arial" w:eastAsia="Arial" w:hAnsi="Arial"/>
                <w:sz w:val="22"/>
                <w:szCs w:val="22"/>
                <w:color w:val="auto"/>
              </w:rPr>
              <w:t>D</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1,659,479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3,594,444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Non rated</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364,945</w:t>
            </w: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residential mortgage backed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20,531,347</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18,537,750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3"/>
              </w:rPr>
              <w:t>119,988,256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80,428,828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740" w:type="dxa"/>
            <w:vAlign w:val="bottom"/>
            <w:gridSpan w:val="5"/>
          </w:tcPr>
          <w:p>
            <w:pPr>
              <w:jc w:val="right"/>
              <w:ind w:right="174"/>
              <w:spacing w:after="0"/>
              <w:rPr>
                <w:sz w:val="20"/>
                <w:szCs w:val="20"/>
                <w:color w:val="auto"/>
              </w:rPr>
            </w:pPr>
            <w:r>
              <w:rPr>
                <w:rFonts w:ascii="Arial" w:cs="Arial" w:eastAsia="Arial" w:hAnsi="Arial"/>
                <w:sz w:val="18"/>
                <w:szCs w:val="18"/>
                <w:color w:val="auto"/>
                <w:w w:val="95"/>
              </w:rPr>
              <w:t>The table below details the average yield by type of fixed-maturity security as of December 31, 2017 and 2016:</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275"/>
              <w:spacing w:after="0"/>
              <w:rPr>
                <w:sz w:val="20"/>
                <w:szCs w:val="20"/>
                <w:color w:val="auto"/>
              </w:rPr>
            </w:pPr>
            <w:r>
              <w:rPr>
                <w:rFonts w:ascii="Arial" w:cs="Arial" w:eastAsia="Arial" w:hAnsi="Arial"/>
                <w:sz w:val="15"/>
                <w:szCs w:val="15"/>
                <w:b w:val="1"/>
                <w:bCs w:val="1"/>
                <w:color w:val="auto"/>
                <w:w w:val="88"/>
              </w:rPr>
              <w:t>December 31,</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82"/>
        </w:trPr>
        <w:tc>
          <w:tcPr>
            <w:tcW w:w="4900" w:type="dxa"/>
            <w:vAlign w:val="bottom"/>
            <w:gridSpan w:val="2"/>
          </w:tcPr>
          <w:p>
            <w:pPr>
              <w:spacing w:after="0"/>
              <w:rPr>
                <w:sz w:val="20"/>
                <w:szCs w:val="20"/>
                <w:color w:val="auto"/>
              </w:rPr>
            </w:pPr>
            <w:r>
              <w:rPr>
                <w:rFonts w:ascii="Arial" w:cs="Arial" w:eastAsia="Arial" w:hAnsi="Arial"/>
                <w:sz w:val="15"/>
                <w:szCs w:val="15"/>
                <w:b w:val="1"/>
                <w:bCs w:val="1"/>
                <w:color w:val="auto"/>
              </w:rPr>
              <w:t>Category</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275"/>
              <w:spacing w:after="0"/>
              <w:rPr>
                <w:sz w:val="20"/>
                <w:szCs w:val="20"/>
                <w:color w:val="auto"/>
              </w:rPr>
            </w:pPr>
            <w:r>
              <w:rPr>
                <w:rFonts w:ascii="Arial" w:cs="Arial" w:eastAsia="Arial" w:hAnsi="Arial"/>
                <w:sz w:val="15"/>
                <w:szCs w:val="15"/>
                <w:b w:val="1"/>
                <w:bCs w:val="1"/>
                <w:color w:val="auto"/>
                <w:w w:val="89"/>
              </w:rPr>
              <w:t>2017</w:t>
            </w:r>
          </w:p>
        </w:tc>
        <w:tc>
          <w:tcPr>
            <w:tcW w:w="1240" w:type="dxa"/>
            <w:vAlign w:val="bottom"/>
          </w:tcPr>
          <w:p>
            <w:pPr>
              <w:jc w:val="center"/>
              <w:ind w:right="55"/>
              <w:spacing w:after="0"/>
              <w:rPr>
                <w:sz w:val="20"/>
                <w:szCs w:val="20"/>
                <w:color w:val="auto"/>
              </w:rPr>
            </w:pPr>
            <w:r>
              <w:rPr>
                <w:rFonts w:ascii="Arial" w:cs="Arial" w:eastAsia="Arial" w:hAnsi="Arial"/>
                <w:sz w:val="15"/>
                <w:szCs w:val="15"/>
                <w:b w:val="1"/>
                <w:bCs w:val="1"/>
                <w:color w:val="auto"/>
                <w:w w:val="89"/>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9"/>
              </w:rPr>
              <w:t>U.S. Treasury securities and obligations of U.S. government corporations and agencies</w:t>
            </w:r>
          </w:p>
        </w:tc>
        <w:tc>
          <w:tcPr>
            <w:tcW w:w="11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Industrial and miscellaneous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3.98%</w:t>
            </w: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Residential mortgage backed securities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1.83%</w:t>
            </w:r>
          </w:p>
        </w:tc>
        <w:tc>
          <w:tcPr>
            <w:tcW w:w="124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3.58%</w:t>
            </w:r>
          </w:p>
        </w:tc>
        <w:tc>
          <w:tcPr>
            <w:tcW w:w="124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lists the weighted average maturity and effective duration in years on our fixed-maturity securities as of December 31, 2017 and 2016:</w:t>
      </w:r>
    </w:p>
    <w:p>
      <w:pPr>
        <w:spacing w:after="0" w:line="284" w:lineRule="exact"/>
        <w:rPr>
          <w:sz w:val="20"/>
          <w:szCs w:val="20"/>
          <w:color w:val="auto"/>
        </w:rPr>
      </w:pPr>
    </w:p>
    <w:p>
      <w:pPr>
        <w:jc w:val="right"/>
        <w:ind w:right="60"/>
        <w:spacing w:after="0"/>
        <w:tabs>
          <w:tab w:leader="none" w:pos="1180" w:val="left"/>
        </w:tabs>
        <w:rPr>
          <w:sz w:val="20"/>
          <w:szCs w:val="20"/>
          <w:color w:val="auto"/>
        </w:rPr>
      </w:pPr>
      <w:r>
        <w:rPr>
          <w:rFonts w:ascii="Arial" w:cs="Arial" w:eastAsia="Arial" w:hAnsi="Arial"/>
          <w:sz w:val="15"/>
          <w:szCs w:val="15"/>
          <w:b w:val="1"/>
          <w:bCs w:val="1"/>
          <w:color w:val="auto"/>
        </w:rPr>
        <w:t>December 31, 2017</w:t>
      </w:r>
      <w:r>
        <w:rPr>
          <w:sz w:val="20"/>
          <w:szCs w:val="20"/>
          <w:color w:val="auto"/>
        </w:rPr>
        <w:tab/>
      </w:r>
      <w:r>
        <w:rPr>
          <w:rFonts w:ascii="Arial" w:cs="Arial" w:eastAsia="Arial" w:hAnsi="Arial"/>
          <w:sz w:val="13"/>
          <w:szCs w:val="13"/>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effective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final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Effective duration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Fair Value Consideration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5.0</w:t>
      </w:r>
    </w:p>
    <w:p>
      <w:pPr>
        <w:spacing w:after="0" w:line="23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8.3</w:t>
      </w:r>
    </w:p>
    <w:p>
      <w:pPr>
        <w:spacing w:after="0" w:line="23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color w:val="auto"/>
        </w:rPr>
        <w:t>4.4</w:t>
      </w:r>
    </w:p>
    <w:p>
      <w:pPr>
        <w:spacing w:after="0" w:line="603" w:lineRule="exact"/>
        <w:rPr>
          <w:sz w:val="20"/>
          <w:szCs w:val="20"/>
          <w:color w:val="auto"/>
        </w:rPr>
      </w:pPr>
    </w:p>
    <w:p>
      <w:pPr>
        <w:sectPr>
          <w:pgSz w:w="11900" w:h="16838" w:orient="portrait"/>
          <w:cols w:equalWidth="0" w:num="2">
            <w:col w:w="9060" w:space="720"/>
            <w:col w:w="1640"/>
          </w:cols>
          <w:pgMar w:left="240" w:top="130" w:right="239" w:bottom="1440" w:gutter="0" w:footer="0" w:header="0"/>
          <w:type w:val="continuous"/>
        </w:sectPr>
      </w:pPr>
    </w:p>
    <w:p>
      <w:pPr>
        <w:spacing w:after="0" w:line="4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disclosed in Note 4 to the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2017 and December 31, 2016, 73% and 65%, respectively, of the investment portfolio recorded at fair value was priced based upon quoted market prices.</w:t>
      </w:r>
    </w:p>
    <w:p>
      <w:pPr>
        <w:spacing w:after="0" w:line="17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more fully described in Note 3 to our Consolidated Financial Statements, “Investments—Impairment Review,” we completed a detailed review of all our securities in a continuous loss position as of December 31, 2017 and December 31, 2016. In December, 2017, we disposed of one of our held-to-maturity debt securities that was previously included in OTTI; the bond was issued by the Commonwealth of Puerto Rico (“PR”). In July 2016, PR defaulted on its interest payment to bondholders. Due to the credit deterioration of PR, we recorded our first credit loss component of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PR and, as a result, we recorded an additional credit loss component of OTTI on this investment for the amount of $50,000 during the quarter ended September 30, 2017. The total of the two OTTI write-downs of this investment as of December 31, 2017 was $119,911. We determined that none of the other unrealized losses were deemed to be OTTI for our portfolio of fixed-maturity investments and equity securities for the years ended December 31, 2017 and 2016. Significant factors influencing our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our cost basis.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December 31, 2017 and 2016: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5"/>
                <w:szCs w:val="15"/>
                <w:b w:val="1"/>
                <w:bCs w:val="1"/>
                <w:color w:val="auto"/>
              </w:rPr>
              <w:t>December 31, 2017</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ind w:right="196"/>
              <w:spacing w:after="0" w:line="149" w:lineRule="exact"/>
              <w:rPr>
                <w:sz w:val="20"/>
                <w:szCs w:val="20"/>
                <w:color w:val="auto"/>
              </w:rPr>
            </w:pPr>
            <w:r>
              <w:rPr>
                <w:rFonts w:ascii="Arial" w:cs="Arial" w:eastAsia="Arial" w:hAnsi="Arial"/>
                <w:sz w:val="15"/>
                <w:szCs w:val="15"/>
                <w:b w:val="1"/>
                <w:bCs w:val="1"/>
                <w:color w:val="auto"/>
                <w:w w:val="89"/>
              </w:rPr>
              <w:t>No.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5"/>
                <w:szCs w:val="15"/>
                <w:b w:val="1"/>
                <w:bCs w:val="1"/>
                <w:color w:val="auto"/>
                <w:w w:val="89"/>
              </w:rPr>
              <w:t>No. of</w:t>
            </w: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5"/>
                <w:szCs w:val="15"/>
                <w:b w:val="1"/>
                <w:bCs w:val="1"/>
                <w:color w:val="auto"/>
                <w:w w:val="86"/>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120" w:type="dxa"/>
            <w:vAlign w:val="bottom"/>
          </w:tcPr>
          <w:p>
            <w:pPr>
              <w:jc w:val="center"/>
              <w:ind w:right="295"/>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60" w:type="dxa"/>
            <w:vAlign w:val="bottom"/>
          </w:tcPr>
          <w:p>
            <w:pPr>
              <w:jc w:val="center"/>
              <w:ind w:right="196"/>
              <w:spacing w:after="0" w:line="162" w:lineRule="exact"/>
              <w:rPr>
                <w:sz w:val="20"/>
                <w:szCs w:val="20"/>
                <w:color w:val="auto"/>
              </w:rPr>
            </w:pPr>
            <w:r>
              <w:rPr>
                <w:rFonts w:ascii="Arial" w:cs="Arial" w:eastAsia="Arial" w:hAnsi="Arial"/>
                <w:sz w:val="15"/>
                <w:szCs w:val="15"/>
                <w:b w:val="1"/>
                <w:bCs w:val="1"/>
                <w:color w:val="auto"/>
                <w:w w:val="85"/>
              </w:rPr>
              <w:t>Positions</w:t>
            </w:r>
          </w:p>
        </w:tc>
        <w:tc>
          <w:tcPr>
            <w:tcW w:w="120" w:type="dxa"/>
            <w:vAlign w:val="bottom"/>
          </w:tcPr>
          <w:p>
            <w:pPr>
              <w:spacing w:after="0"/>
              <w:rPr>
                <w:sz w:val="14"/>
                <w:szCs w:val="14"/>
                <w:color w:val="auto"/>
              </w:rPr>
            </w:pPr>
          </w:p>
        </w:tc>
        <w:tc>
          <w:tcPr>
            <w:tcW w:w="84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9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80" w:type="dxa"/>
            <w:vAlign w:val="bottom"/>
          </w:tcPr>
          <w:p>
            <w:pPr>
              <w:jc w:val="center"/>
              <w:ind w:right="96"/>
              <w:spacing w:after="0" w:line="162" w:lineRule="exact"/>
              <w:rPr>
                <w:sz w:val="20"/>
                <w:szCs w:val="20"/>
                <w:color w:val="auto"/>
              </w:rPr>
            </w:pPr>
            <w:r>
              <w:rPr>
                <w:rFonts w:ascii="Arial" w:cs="Arial" w:eastAsia="Arial" w:hAnsi="Arial"/>
                <w:sz w:val="15"/>
                <w:szCs w:val="15"/>
                <w:b w:val="1"/>
                <w:bCs w:val="1"/>
                <w:color w:val="auto"/>
                <w:w w:val="82"/>
              </w:rPr>
              <w:t>Positions</w:t>
            </w:r>
          </w:p>
        </w:tc>
        <w:tc>
          <w:tcPr>
            <w:tcW w:w="200" w:type="dxa"/>
            <w:vAlign w:val="bottom"/>
          </w:tcPr>
          <w:p>
            <w:pPr>
              <w:spacing w:after="0"/>
              <w:rPr>
                <w:sz w:val="14"/>
                <w:szCs w:val="14"/>
                <w:color w:val="auto"/>
              </w:rPr>
            </w:pPr>
          </w:p>
        </w:tc>
        <w:tc>
          <w:tcPr>
            <w:tcW w:w="920" w:type="dxa"/>
            <w:vAlign w:val="bottom"/>
          </w:tcPr>
          <w:p>
            <w:pPr>
              <w:jc w:val="center"/>
              <w:ind w:right="117"/>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35"/>
              <w:spacing w:after="0" w:line="162" w:lineRule="exact"/>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182"/>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Category</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5"/>
                <w:szCs w:val="15"/>
                <w:b w:val="1"/>
                <w:bCs w:val="1"/>
                <w:color w:val="auto"/>
                <w:w w:val="92"/>
              </w:rPr>
              <w:t>Held</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2"/>
              </w:rPr>
              <w:t>Held</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485"/>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1"/>
              </w:rPr>
              <w:t>Political subdivisions of States,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1,549,839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(30,814)</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1,549,839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43"/>
        </w:trPr>
        <w:tc>
          <w:tcPr>
            <w:tcW w:w="23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9"/>
              </w:rPr>
              <w:t>industrial and miscellaneous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15,036,462</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(269,857)</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9,113,924</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(340,516)</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24,150,386</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(610,373)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89"/>
              </w:rPr>
              <w:t>Residential mortgage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6,956,371</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(48,482)</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7,867,572</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(189,022)</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14,823,943</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(237,504)</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00" w:type="dxa"/>
            <w:vAlign w:val="bottom"/>
            <w:gridSpan w:val="2"/>
          </w:tcPr>
          <w:p>
            <w:pPr>
              <w:spacing w:after="0"/>
              <w:rPr>
                <w:sz w:val="20"/>
                <w:szCs w:val="20"/>
                <w:color w:val="auto"/>
              </w:rPr>
            </w:pPr>
            <w:r>
              <w:rPr>
                <w:rFonts w:ascii="Arial" w:cs="Arial" w:eastAsia="Arial" w:hAnsi="Arial"/>
                <w:sz w:val="18"/>
                <w:szCs w:val="18"/>
                <w:color w:val="auto"/>
                <w:w w:val="97"/>
              </w:rPr>
              <w:t>Total fixed-maturity 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23,542,672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(349,153)</w:t>
            </w: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16,981,496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(529,538)</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88"/>
              </w:rPr>
              <w:t>40,524,168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1,605,217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(20,313)</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1,776,675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(120,712)</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3,381,892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Common stocks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6"/>
              </w:rPr>
              <w:t>exchange traded mutual funds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1,446,375</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(222,205)</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124,900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(14,530)</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1,571,275</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3,051,592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(242,518)</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1,901,575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(135,242)</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4,953,167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26,594,264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(591,671)</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18,883,071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(664,780)</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45,477,335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(1,256,451)</w:t>
            </w: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gridSpan w:val="3"/>
          </w:tcPr>
          <w:p>
            <w:pPr>
              <w:spacing w:after="0"/>
              <w:rPr>
                <w:rFonts w:ascii="Arial" w:cs="Arial" w:eastAsia="Arial" w:hAnsi="Arial"/>
                <w:sz w:val="15"/>
                <w:szCs w:val="15"/>
                <w:color w:val="0000EE"/>
              </w:rPr>
            </w:pPr>
            <w:hyperlink w:anchor="page1">
              <w:r>
                <w:rPr>
                  <w:rFonts w:ascii="Arial" w:cs="Arial" w:eastAsia="Arial" w:hAnsi="Arial"/>
                  <w:sz w:val="15"/>
                  <w:szCs w:val="15"/>
                  <w:color w:val="0000EE"/>
                </w:rPr>
                <w:t>Index</w:t>
              </w:r>
            </w:hyperlink>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2"/>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5"/>
                <w:szCs w:val="15"/>
                <w:b w:val="1"/>
                <w:bCs w:val="1"/>
                <w:color w:val="auto"/>
              </w:rPr>
              <w:t>December 31, 2016</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ind w:right="196"/>
              <w:spacing w:after="0" w:line="149" w:lineRule="exact"/>
              <w:rPr>
                <w:sz w:val="20"/>
                <w:szCs w:val="20"/>
                <w:color w:val="auto"/>
              </w:rPr>
            </w:pPr>
            <w:r>
              <w:rPr>
                <w:rFonts w:ascii="Arial" w:cs="Arial" w:eastAsia="Arial" w:hAnsi="Arial"/>
                <w:sz w:val="15"/>
                <w:szCs w:val="15"/>
                <w:b w:val="1"/>
                <w:bCs w:val="1"/>
                <w:color w:val="auto"/>
                <w:w w:val="89"/>
              </w:rPr>
              <w:t>No. of</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5"/>
                <w:szCs w:val="15"/>
                <w:b w:val="1"/>
                <w:bCs w:val="1"/>
                <w:color w:val="auto"/>
                <w:w w:val="89"/>
              </w:rPr>
              <w:t>No. of</w:t>
            </w: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5"/>
                <w:szCs w:val="15"/>
                <w:b w:val="1"/>
                <w:bCs w:val="1"/>
                <w:color w:val="auto"/>
                <w:w w:val="86"/>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120" w:type="dxa"/>
            <w:vAlign w:val="bottom"/>
          </w:tcPr>
          <w:p>
            <w:pPr>
              <w:jc w:val="center"/>
              <w:ind w:right="295"/>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60" w:type="dxa"/>
            <w:vAlign w:val="bottom"/>
          </w:tcPr>
          <w:p>
            <w:pPr>
              <w:jc w:val="center"/>
              <w:ind w:right="196"/>
              <w:spacing w:after="0" w:line="162" w:lineRule="exact"/>
              <w:rPr>
                <w:sz w:val="20"/>
                <w:szCs w:val="20"/>
                <w:color w:val="auto"/>
              </w:rPr>
            </w:pPr>
            <w:r>
              <w:rPr>
                <w:rFonts w:ascii="Arial" w:cs="Arial" w:eastAsia="Arial" w:hAnsi="Arial"/>
                <w:sz w:val="15"/>
                <w:szCs w:val="15"/>
                <w:b w:val="1"/>
                <w:bCs w:val="1"/>
                <w:color w:val="auto"/>
                <w:w w:val="85"/>
              </w:rPr>
              <w:t>Positions</w:t>
            </w:r>
          </w:p>
        </w:tc>
        <w:tc>
          <w:tcPr>
            <w:tcW w:w="160" w:type="dxa"/>
            <w:vAlign w:val="bottom"/>
          </w:tcPr>
          <w:p>
            <w:pPr>
              <w:spacing w:after="0"/>
              <w:rPr>
                <w:sz w:val="14"/>
                <w:szCs w:val="14"/>
                <w:color w:val="auto"/>
              </w:rPr>
            </w:pPr>
          </w:p>
        </w:tc>
        <w:tc>
          <w:tcPr>
            <w:tcW w:w="80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9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80" w:type="dxa"/>
            <w:vAlign w:val="bottom"/>
          </w:tcPr>
          <w:p>
            <w:pPr>
              <w:jc w:val="center"/>
              <w:ind w:right="96"/>
              <w:spacing w:after="0" w:line="162" w:lineRule="exact"/>
              <w:rPr>
                <w:sz w:val="20"/>
                <w:szCs w:val="20"/>
                <w:color w:val="auto"/>
              </w:rPr>
            </w:pPr>
            <w:r>
              <w:rPr>
                <w:rFonts w:ascii="Arial" w:cs="Arial" w:eastAsia="Arial" w:hAnsi="Arial"/>
                <w:sz w:val="15"/>
                <w:szCs w:val="15"/>
                <w:b w:val="1"/>
                <w:bCs w:val="1"/>
                <w:color w:val="auto"/>
                <w:w w:val="82"/>
              </w:rPr>
              <w:t>Positions</w:t>
            </w:r>
          </w:p>
        </w:tc>
        <w:tc>
          <w:tcPr>
            <w:tcW w:w="200" w:type="dxa"/>
            <w:vAlign w:val="bottom"/>
          </w:tcPr>
          <w:p>
            <w:pPr>
              <w:spacing w:after="0"/>
              <w:rPr>
                <w:sz w:val="14"/>
                <w:szCs w:val="14"/>
                <w:color w:val="auto"/>
              </w:rPr>
            </w:pPr>
          </w:p>
        </w:tc>
        <w:tc>
          <w:tcPr>
            <w:tcW w:w="920" w:type="dxa"/>
            <w:vAlign w:val="bottom"/>
          </w:tcPr>
          <w:p>
            <w:pPr>
              <w:jc w:val="center"/>
              <w:ind w:right="117"/>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35"/>
              <w:spacing w:after="0" w:line="162" w:lineRule="exact"/>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182"/>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Category</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5"/>
                <w:szCs w:val="15"/>
                <w:b w:val="1"/>
                <w:bCs w:val="1"/>
                <w:color w:val="auto"/>
                <w:w w:val="92"/>
              </w:rPr>
              <w:t>Held</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2"/>
              </w:rPr>
              <w:t>Held</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485"/>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Political subdivisions of States,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1,067,574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(46,589)</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1,067,574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c>
          <w:tcPr>
            <w:tcW w:w="0" w:type="dxa"/>
            <w:vAlign w:val="bottom"/>
          </w:tcPr>
          <w:p>
            <w:pPr>
              <w:spacing w:after="0"/>
              <w:rPr>
                <w:sz w:val="1"/>
                <w:szCs w:val="1"/>
                <w:color w:val="auto"/>
              </w:rPr>
            </w:pPr>
          </w:p>
        </w:tc>
      </w:tr>
      <w:tr>
        <w:trPr>
          <w:trHeight w:val="243"/>
        </w:trPr>
        <w:tc>
          <w:tcPr>
            <w:tcW w:w="340" w:type="dxa"/>
            <w:vAlign w:val="bottom"/>
            <w:gridSpan w:val="2"/>
          </w:tcPr>
          <w:p>
            <w:pPr>
              <w:spacing w:after="0"/>
              <w:rPr>
                <w:sz w:val="21"/>
                <w:szCs w:val="21"/>
                <w:color w:val="auto"/>
              </w:rPr>
            </w:pPr>
          </w:p>
        </w:tc>
        <w:tc>
          <w:tcPr>
            <w:tcW w:w="1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industrial and miscellaneous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19,859,293</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(638,113)</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239,970</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(5,612)</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20,099,263</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(643,725)</w:t>
            </w:r>
          </w:p>
        </w:tc>
        <w:tc>
          <w:tcPr>
            <w:tcW w:w="0" w:type="dxa"/>
            <w:vAlign w:val="bottom"/>
          </w:tcPr>
          <w:p>
            <w:pPr>
              <w:spacing w:after="0"/>
              <w:rPr>
                <w:sz w:val="1"/>
                <w:szCs w:val="1"/>
                <w:color w:val="auto"/>
              </w:rPr>
            </w:pPr>
          </w:p>
        </w:tc>
      </w:tr>
      <w:tr>
        <w:trPr>
          <w:trHeight w:val="243"/>
        </w:trPr>
        <w:tc>
          <w:tcPr>
            <w:tcW w:w="340" w:type="dxa"/>
            <w:vAlign w:val="bottom"/>
            <w:gridSpan w:val="2"/>
          </w:tcPr>
          <w:p>
            <w:pPr>
              <w:spacing w:after="0"/>
              <w:rPr>
                <w:sz w:val="21"/>
                <w:szCs w:val="21"/>
                <w:color w:val="auto"/>
              </w:rPr>
            </w:pPr>
          </w:p>
        </w:tc>
        <w:tc>
          <w:tcPr>
            <w:tcW w:w="1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Residential mortgage backed</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15,918,090</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(309,273)</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675,316</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(38,442)</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16,593,406</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(347,715)</w:t>
            </w: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Total fixed-maturity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36,844,957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(993,975)</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915,286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(44,054)</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37,760,243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(1,038,029)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Preferred stocks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3,759,850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(241,333)</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660,750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(70,571)</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4,420,600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stocks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w w:val="86"/>
              </w:rPr>
              <w:t>exchange traded mutual funds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288,075</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(13,968)</w:t>
            </w: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424,550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(97,468)</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712,625</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4,047,925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(255,301)</w:t>
            </w: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1,085,300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(168,039)</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9"/>
              </w:rPr>
              <w:t>5,133,225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40,892,882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93"/>
              </w:rPr>
              <w:t>(1,249,276)</w:t>
            </w: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2,000,586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(212,093)</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88"/>
              </w:rPr>
              <w:t>42,893,468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(1,461,369)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There were 75 securities at December 31, 2017 that accounted for the gross unrealized loss, none of which were deemed by us to be other than temporarily impaired. There were 85 securities at December 31, 2016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9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of the offering to contribute capital to KICO, to support its ratings upgrade plan and additional growth. The remainder of the net proceeds will be used for general corporate purposes.</w:t>
      </w:r>
    </w:p>
    <w:p>
      <w:pPr>
        <w:spacing w:after="0" w:line="197"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On December 19, 2017, we issued $30 million of our 5.50% Senior Unsecured Notes due December 30, 2022 pursuant to an underwritten public offering. The net proceeds to us were approximately $29,121,000. On December 20, 2017, we used $25,000,000 of the net proceeds from the debt offering to contribute capital to KICO, to support additional growth. The remainder of the net proceeds will be used for general corporate purposes. Interest will be payable semi-annually in arrears on June 30 and December 30 of each year, beginning on June 30 2018 at the rate of 5.50% per year from December 19, 2017.</w:t>
      </w:r>
    </w:p>
    <w:p>
      <w:pPr>
        <w:spacing w:after="0" w:line="167" w:lineRule="exact"/>
        <w:rPr>
          <w:sz w:val="20"/>
          <w:szCs w:val="20"/>
          <w:color w:val="auto"/>
        </w:rPr>
      </w:pPr>
    </w:p>
    <w:p>
      <w:pPr>
        <w:jc w:val="both"/>
        <w:ind w:right="60" w:firstLine="648"/>
        <w:spacing w:after="0" w:line="370" w:lineRule="auto"/>
        <w:rPr>
          <w:sz w:val="20"/>
          <w:szCs w:val="20"/>
          <w:color w:val="auto"/>
        </w:rPr>
      </w:pPr>
      <w:r>
        <w:rPr>
          <w:rFonts w:ascii="Arial" w:cs="Arial" w:eastAsia="Arial" w:hAnsi="Arial"/>
          <w:sz w:val="15"/>
          <w:szCs w:val="15"/>
          <w:color w:val="auto"/>
        </w:rPr>
        <w:t>For the year ended December 31, 2017, the primary source of cash flow for our holding company were the proceeds from the public offerings discussed above and the dividends received from KICO, subject to statutory restrictions. For the year ended December 31, 2017, KICO paid dividends of $2,900,000 to us.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 “Investments”, for eligible collateral held in a designated custodian account available for future advances. Advances are limited to 5% of KICO’s net admitted assets as of December 31, 2017 and are due and payable within one year of borrowing. The maximum allowable advance as of December 31, 2017 was approximately $9,849,000. Advances are limited to the amount of available collateral, which was approximately $6,703,000 as of December 31, 2017. There were no borrowings under this facility during the year ended December 31, 2017.</w:t>
      </w:r>
    </w:p>
    <w:p>
      <w:pPr>
        <w:spacing w:after="0" w:line="172"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If the aforementioned sources of cash flow currently available are insufficient to cover our holding company cash requirements, we will seek to obtain additional financing.</w:t>
      </w:r>
    </w:p>
    <w:p>
      <w:pPr>
        <w:spacing w:after="0" w:line="186"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186"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i w:val="1"/>
                <w:iCs w:val="1"/>
                <w:color w:val="auto"/>
              </w:rPr>
              <w:t>Years Ended December 31,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2016</w:t>
            </w:r>
          </w:p>
        </w:tc>
      </w:tr>
      <w:tr>
        <w:trPr>
          <w:trHeight w:val="485"/>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provided by (used in):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28,046,140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15,201,025</w:t>
            </w: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4"/>
              </w:rPr>
              <w:t>(47,626,330)</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(19,515,843)</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55,917,303</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2,807,966</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w w:val="99"/>
              </w:rPr>
              <w:t>36,337,113</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(1,506,852)</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12,044,520</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13,551,372</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48,381,633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12,044,520</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Net cash provided by operating activities was $28,046,000 in 2017 as compared to $15,201,000 provided in 2016. The $12,845,000 increase in cash flows provided by operating activities in 2017 was primarily a result of an increase in cash arising from net fluctuations in assets and liabilities relating to operating activities of KICO as affected by the growth in its operations which are described above, and by an increase in net income (adjusted for non-cash items) of $2,369,000.</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Net cash used in investing activities was $47,626,000 in 2017 compared to $19,516,000 used in 2016. The $28,110,000 increase in cash used in investing activities is the result of a $14,028,000 increase in acquisitions of invested assets, a $9,584,000 decrease in sales or maturities of invested assets and a $2,248,000 increase in the amount of fixed asset acquisitions in 2017.</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cash provided by financing activities was $55,917,000 in 2017 compared to $2,808,000 provided in 2016. The $53,109,000 increase in net cash provided by financing activities is the result of the $30,137,000 net proceeds we received from the public offering of our common stock in January/February 2017 and the $29,122,000 net proceeds we received from the issuance of long-term debt pursuant to the public offering in December 2017, offset partially by the $4,808,000 net proceeds we received from the private placement of our common stock in April 2016 and a $1,273,000 increase in dividends paid due to an increase in the shares outstanding and dividend paid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31"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following table provides summary information with respect to each reinsurer that accounted for more than 10% of our reinsurance recoverables on paid and unpaid losses and loss adjustment expenses as of December 31,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379"/>
              <w:spacing w:after="0"/>
              <w:rPr>
                <w:sz w:val="20"/>
                <w:szCs w:val="20"/>
                <w:color w:val="auto"/>
              </w:rPr>
            </w:pPr>
            <w:r>
              <w:rPr>
                <w:rFonts w:ascii="Arial" w:cs="Arial" w:eastAsia="Arial" w:hAnsi="Arial"/>
                <w:sz w:val="15"/>
                <w:szCs w:val="15"/>
                <w:b w:val="1"/>
                <w:bCs w:val="1"/>
                <w:color w:val="auto"/>
                <w:w w:val="91"/>
              </w:rPr>
              <w:t>Amount</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399"/>
              <w:spacing w:after="0" w:line="162" w:lineRule="exact"/>
              <w:rPr>
                <w:sz w:val="20"/>
                <w:szCs w:val="20"/>
                <w:color w:val="auto"/>
              </w:rPr>
            </w:pPr>
            <w:r>
              <w:rPr>
                <w:rFonts w:ascii="Arial" w:cs="Arial" w:eastAsia="Arial" w:hAnsi="Arial"/>
                <w:sz w:val="15"/>
                <w:szCs w:val="15"/>
                <w:b w:val="1"/>
                <w:bCs w:val="1"/>
                <w:color w:val="auto"/>
                <w:w w:val="87"/>
              </w:rPr>
              <w:t>Recoverable</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40" w:type="dxa"/>
            <w:vAlign w:val="bottom"/>
          </w:tcPr>
          <w:p>
            <w:pPr>
              <w:jc w:val="right"/>
              <w:ind w:right="459"/>
              <w:spacing w:after="0" w:line="162" w:lineRule="exact"/>
              <w:rPr>
                <w:sz w:val="20"/>
                <w:szCs w:val="20"/>
                <w:color w:val="auto"/>
              </w:rPr>
            </w:pPr>
            <w:r>
              <w:rPr>
                <w:rFonts w:ascii="Arial" w:cs="Arial" w:eastAsia="Arial" w:hAnsi="Arial"/>
                <w:sz w:val="15"/>
                <w:szCs w:val="15"/>
                <w:b w:val="1"/>
                <w:bCs w:val="1"/>
                <w:color w:val="auto"/>
              </w:rPr>
              <w:t>A.M.</w:t>
            </w:r>
          </w:p>
        </w:tc>
        <w:tc>
          <w:tcPr>
            <w:tcW w:w="220" w:type="dxa"/>
            <w:vAlign w:val="bottom"/>
          </w:tcPr>
          <w:p>
            <w:pPr>
              <w:spacing w:after="0"/>
              <w:rPr>
                <w:sz w:val="14"/>
                <w:szCs w:val="14"/>
                <w:color w:val="auto"/>
              </w:rPr>
            </w:pPr>
          </w:p>
        </w:tc>
        <w:tc>
          <w:tcPr>
            <w:tcW w:w="1380" w:type="dxa"/>
            <w:vAlign w:val="bottom"/>
          </w:tcPr>
          <w:p>
            <w:pPr>
              <w:jc w:val="center"/>
              <w:ind w:right="399"/>
              <w:spacing w:after="0" w:line="162" w:lineRule="exact"/>
              <w:rPr>
                <w:sz w:val="20"/>
                <w:szCs w:val="20"/>
                <w:color w:val="auto"/>
              </w:rPr>
            </w:pPr>
            <w:r>
              <w:rPr>
                <w:rFonts w:ascii="Arial" w:cs="Arial" w:eastAsia="Arial" w:hAnsi="Arial"/>
                <w:sz w:val="15"/>
                <w:szCs w:val="15"/>
                <w:b w:val="1"/>
                <w:bCs w:val="1"/>
                <w:color w:val="auto"/>
                <w:w w:val="85"/>
              </w:rPr>
              <w:t>as of</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399"/>
              <w:spacing w:after="0" w:line="162" w:lineRule="exact"/>
              <w:rPr>
                <w:sz w:val="20"/>
                <w:szCs w:val="20"/>
                <w:color w:val="auto"/>
              </w:rPr>
            </w:pPr>
            <w:r>
              <w:rPr>
                <w:rFonts w:ascii="Arial" w:cs="Arial" w:eastAsia="Arial" w:hAnsi="Arial"/>
                <w:sz w:val="15"/>
                <w:szCs w:val="15"/>
                <w:b w:val="1"/>
                <w:bCs w:val="1"/>
                <w:color w:val="auto"/>
                <w:w w:val="88"/>
              </w:rPr>
              <w:t>December 31,</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60" w:type="dxa"/>
            <w:vAlign w:val="bottom"/>
            <w:gridSpan w:val="2"/>
          </w:tcPr>
          <w:p>
            <w:pPr>
              <w:spacing w:after="0"/>
              <w:rPr>
                <w:sz w:val="20"/>
                <w:szCs w:val="20"/>
                <w:color w:val="auto"/>
              </w:rPr>
            </w:pPr>
            <w:r>
              <w:rPr>
                <w:rFonts w:ascii="Arial" w:cs="Arial" w:eastAsia="Arial" w:hAnsi="Arial"/>
                <w:sz w:val="15"/>
                <w:szCs w:val="15"/>
                <w:b w:val="1"/>
                <w:bCs w:val="1"/>
                <w:color w:val="auto"/>
              </w:rPr>
              <w:t>($ in thousands)</w:t>
            </w:r>
          </w:p>
        </w:tc>
        <w:tc>
          <w:tcPr>
            <w:tcW w:w="3440" w:type="dxa"/>
            <w:vAlign w:val="bottom"/>
          </w:tcPr>
          <w:p>
            <w:pPr>
              <w:jc w:val="right"/>
              <w:ind w:right="239"/>
              <w:spacing w:after="0"/>
              <w:rPr>
                <w:sz w:val="20"/>
                <w:szCs w:val="20"/>
                <w:color w:val="auto"/>
              </w:rPr>
            </w:pPr>
            <w:r>
              <w:rPr>
                <w:rFonts w:ascii="Arial" w:cs="Arial" w:eastAsia="Arial" w:hAnsi="Arial"/>
                <w:sz w:val="15"/>
                <w:szCs w:val="15"/>
                <w:b w:val="1"/>
                <w:bCs w:val="1"/>
                <w:color w:val="auto"/>
              </w:rPr>
              <w:t>Best Rating</w:t>
            </w:r>
          </w:p>
        </w:tc>
        <w:tc>
          <w:tcPr>
            <w:tcW w:w="220" w:type="dxa"/>
            <w:vAlign w:val="bottom"/>
          </w:tcPr>
          <w:p>
            <w:pPr>
              <w:spacing w:after="0"/>
              <w:rPr>
                <w:sz w:val="15"/>
                <w:szCs w:val="15"/>
                <w:color w:val="auto"/>
              </w:rPr>
            </w:pPr>
          </w:p>
        </w:tc>
        <w:tc>
          <w:tcPr>
            <w:tcW w:w="1380" w:type="dxa"/>
            <w:vAlign w:val="bottom"/>
          </w:tcPr>
          <w:p>
            <w:pPr>
              <w:jc w:val="center"/>
              <w:ind w:right="399"/>
              <w:spacing w:after="0"/>
              <w:rPr>
                <w:sz w:val="20"/>
                <w:szCs w:val="20"/>
                <w:color w:val="auto"/>
              </w:rPr>
            </w:pPr>
            <w:r>
              <w:rPr>
                <w:rFonts w:ascii="Arial" w:cs="Arial" w:eastAsia="Arial" w:hAnsi="Arial"/>
                <w:sz w:val="15"/>
                <w:szCs w:val="15"/>
                <w:b w:val="1"/>
                <w:bCs w:val="1"/>
                <w:color w:val="auto"/>
                <w:w w:val="89"/>
              </w:rPr>
              <w:t>2017</w:t>
            </w:r>
          </w:p>
        </w:tc>
        <w:tc>
          <w:tcPr>
            <w:tcW w:w="1120" w:type="dxa"/>
            <w:vAlign w:val="bottom"/>
          </w:tcPr>
          <w:p>
            <w:pPr>
              <w:jc w:val="right"/>
              <w:ind w:right="514"/>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Maiden Reinsurace Company</w:t>
            </w:r>
          </w:p>
        </w:tc>
        <w:tc>
          <w:tcPr>
            <w:tcW w:w="34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9,128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Swiss Reinsurance America Corporation</w:t>
            </w:r>
          </w:p>
        </w:tc>
        <w:tc>
          <w:tcPr>
            <w:tcW w:w="3440" w:type="dxa"/>
            <w:vAlign w:val="bottom"/>
          </w:tcPr>
          <w:p>
            <w:pPr>
              <w:jc w:val="right"/>
              <w:ind w:right="59"/>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1"/>
                <w:szCs w:val="21"/>
                <w:color w:val="auto"/>
              </w:rPr>
            </w:pPr>
          </w:p>
        </w:tc>
        <w:tc>
          <w:tcPr>
            <w:tcW w:w="1380" w:type="dxa"/>
            <w:vAlign w:val="bottom"/>
          </w:tcPr>
          <w:p>
            <w:pPr>
              <w:jc w:val="right"/>
              <w:ind w:right="299"/>
              <w:spacing w:after="0"/>
              <w:rPr>
                <w:sz w:val="20"/>
                <w:szCs w:val="20"/>
                <w:color w:val="auto"/>
              </w:rPr>
            </w:pPr>
            <w:r>
              <w:rPr>
                <w:rFonts w:ascii="Arial" w:cs="Arial" w:eastAsia="Arial" w:hAnsi="Arial"/>
                <w:sz w:val="18"/>
                <w:szCs w:val="18"/>
                <w:color w:val="auto"/>
              </w:rPr>
              <w:t>4,899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14,027</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Others</w:t>
            </w:r>
          </w:p>
        </w:tc>
        <w:tc>
          <w:tcPr>
            <w:tcW w:w="3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5,255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19,282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Reinsurance recoverable from Maiden Reinsurance Company and Motors Insurance Corporation (included in Others) are secured pursuant to collateralized trust agreements. Assets held in the two trusts are not included in our invested assets and investment income earned on these assets is credited to the two reinsurers respectively.</w:t>
      </w:r>
    </w:p>
    <w:p>
      <w:pPr>
        <w:spacing w:after="0" w:line="194"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Our quota share reinsurance treaties are on a July 1 through June 30 fiscal year basis; therefore, for year to date fiscal periods after June 30, two separate treaties will be included in such periods.</w:t>
      </w:r>
    </w:p>
    <w:p>
      <w:pPr>
        <w:spacing w:after="0" w:line="186" w:lineRule="exact"/>
        <w:rPr>
          <w:sz w:val="20"/>
          <w:szCs w:val="20"/>
          <w:color w:val="auto"/>
        </w:rPr>
      </w:pPr>
    </w:p>
    <w:p>
      <w:pPr>
        <w:jc w:val="both"/>
        <w:ind w:right="400" w:firstLine="648"/>
        <w:spacing w:after="0" w:line="306" w:lineRule="auto"/>
        <w:rPr>
          <w:sz w:val="20"/>
          <w:szCs w:val="20"/>
          <w:color w:val="auto"/>
        </w:rPr>
      </w:pPr>
      <w:r>
        <w:rPr>
          <w:rFonts w:ascii="Arial" w:cs="Arial" w:eastAsia="Arial" w:hAnsi="Arial"/>
          <w:sz w:val="16"/>
          <w:szCs w:val="16"/>
          <w:color w:val="auto"/>
        </w:rPr>
        <w:t>Our quota share reinsurance treaty in effect for 2017 for our personal lines business, which primarily consists of homeowners policies, was covered under the 2016/2017 Treaty and the 2017/2019 Treaty. Our quota share reinsurance treaty in effect for 2016 for our personal lines business, which primarily consists of homeowners policies, was covered under the 2015/2016 Treaty and 2016/2017 Treaty.</w:t>
      </w:r>
    </w:p>
    <w:p>
      <w:pPr>
        <w:spacing w:after="0" w:line="161" w:lineRule="exact"/>
        <w:rPr>
          <w:sz w:val="20"/>
          <w:szCs w:val="20"/>
          <w:color w:val="auto"/>
        </w:rPr>
      </w:pPr>
    </w:p>
    <w:p>
      <w:pPr>
        <w:ind w:right="120" w:firstLine="648"/>
        <w:spacing w:after="0" w:line="306" w:lineRule="auto"/>
        <w:rPr>
          <w:sz w:val="20"/>
          <w:szCs w:val="20"/>
          <w:color w:val="auto"/>
        </w:rPr>
      </w:pPr>
      <w:r>
        <w:rPr>
          <w:rFonts w:ascii="Arial" w:cs="Arial" w:eastAsia="Arial" w:hAnsi="Arial"/>
          <w:sz w:val="16"/>
          <w:szCs w:val="16"/>
          <w:color w:val="auto"/>
        </w:rPr>
        <w:t>In March 2017, we bound our personal lines quota share reinsurance treaty effective July 1, 2017. The treaty provides for a reduction in the quota share ceding rate to 20%, from the 40% in the 2016/2017 Treaty, and an increase in the provisional ceding commission rate to 53%, from the 52% in the 2016/2017 Treaty. The new treaty covers a two year period from July 1, 2017 through June 30, 2019 (“2017/2019 Treaty”).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2015/2016 Treaty, 2016/2017 Treaty, and 2017/2019 Treaty provide for the following material terms: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6280" w:type="dxa"/>
            <w:vAlign w:val="bottom"/>
            <w:gridSpan w:val="7"/>
          </w:tcPr>
          <w:p>
            <w:pPr>
              <w:spacing w:after="0"/>
              <w:rPr>
                <w:rFonts w:ascii="Arial" w:cs="Arial" w:eastAsia="Arial" w:hAnsi="Arial"/>
                <w:sz w:val="15"/>
                <w:szCs w:val="15"/>
                <w:color w:val="0000EE"/>
              </w:rPr>
            </w:pPr>
            <w:hyperlink w:anchor="page1">
              <w:r>
                <w:rPr>
                  <w:rFonts w:ascii="Arial" w:cs="Arial" w:eastAsia="Arial" w:hAnsi="Arial"/>
                  <w:sz w:val="15"/>
                  <w:szCs w:val="15"/>
                  <w:color w:val="0000EE"/>
                </w:rPr>
                <w:t>Index</w:t>
              </w:r>
            </w:hyperlink>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334"/>
              <w:spacing w:after="0"/>
              <w:rPr>
                <w:sz w:val="20"/>
                <w:szCs w:val="20"/>
                <w:color w:val="auto"/>
              </w:rPr>
            </w:pPr>
            <w:r>
              <w:rPr>
                <w:rFonts w:ascii="Arial" w:cs="Arial" w:eastAsia="Arial" w:hAnsi="Arial"/>
                <w:sz w:val="15"/>
                <w:szCs w:val="15"/>
                <w:b w:val="1"/>
                <w:bCs w:val="1"/>
                <w:color w:val="auto"/>
                <w:w w:val="90"/>
              </w:rPr>
              <w:t>Treaty Year</w:t>
            </w: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jc w:val="center"/>
              <w:ind w:right="313"/>
              <w:spacing w:after="0" w:line="149" w:lineRule="exact"/>
              <w:rPr>
                <w:sz w:val="20"/>
                <w:szCs w:val="20"/>
                <w:color w:val="auto"/>
              </w:rPr>
            </w:pPr>
            <w:r>
              <w:rPr>
                <w:rFonts w:ascii="Arial" w:cs="Arial" w:eastAsia="Arial" w:hAnsi="Arial"/>
                <w:sz w:val="15"/>
                <w:szCs w:val="15"/>
                <w:b w:val="1"/>
                <w:bCs w:val="1"/>
                <w:color w:val="auto"/>
                <w:w w:val="90"/>
              </w:rPr>
              <w:t>July 1, 2017</w:t>
            </w:r>
          </w:p>
        </w:tc>
        <w:tc>
          <w:tcPr>
            <w:tcW w:w="240" w:type="dxa"/>
            <w:vAlign w:val="bottom"/>
          </w:tcPr>
          <w:p>
            <w:pPr>
              <w:spacing w:after="0"/>
              <w:rPr>
                <w:sz w:val="12"/>
                <w:szCs w:val="12"/>
                <w:color w:val="auto"/>
              </w:rPr>
            </w:pPr>
          </w:p>
        </w:tc>
        <w:tc>
          <w:tcPr>
            <w:tcW w:w="1480" w:type="dxa"/>
            <w:vAlign w:val="bottom"/>
          </w:tcPr>
          <w:p>
            <w:pPr>
              <w:jc w:val="center"/>
              <w:ind w:right="314"/>
              <w:spacing w:after="0" w:line="149" w:lineRule="exact"/>
              <w:rPr>
                <w:sz w:val="20"/>
                <w:szCs w:val="20"/>
                <w:color w:val="auto"/>
              </w:rPr>
            </w:pPr>
            <w:r>
              <w:rPr>
                <w:rFonts w:ascii="Arial" w:cs="Arial" w:eastAsia="Arial" w:hAnsi="Arial"/>
                <w:sz w:val="15"/>
                <w:szCs w:val="15"/>
                <w:b w:val="1"/>
                <w:bCs w:val="1"/>
                <w:color w:val="auto"/>
                <w:w w:val="90"/>
              </w:rPr>
              <w:t>July 1, 2016</w:t>
            </w:r>
          </w:p>
        </w:tc>
        <w:tc>
          <w:tcPr>
            <w:tcW w:w="220" w:type="dxa"/>
            <w:vAlign w:val="bottom"/>
          </w:tcPr>
          <w:p>
            <w:pPr>
              <w:spacing w:after="0"/>
              <w:rPr>
                <w:sz w:val="12"/>
                <w:szCs w:val="12"/>
                <w:color w:val="auto"/>
              </w:rPr>
            </w:pPr>
          </w:p>
        </w:tc>
        <w:tc>
          <w:tcPr>
            <w:tcW w:w="1400" w:type="dxa"/>
            <w:vAlign w:val="bottom"/>
          </w:tcPr>
          <w:p>
            <w:pPr>
              <w:jc w:val="center"/>
              <w:ind w:right="213"/>
              <w:spacing w:after="0" w:line="149" w:lineRule="exact"/>
              <w:rPr>
                <w:sz w:val="20"/>
                <w:szCs w:val="20"/>
                <w:color w:val="auto"/>
              </w:rPr>
            </w:pPr>
            <w:r>
              <w:rPr>
                <w:rFonts w:ascii="Arial" w:cs="Arial" w:eastAsia="Arial" w:hAnsi="Arial"/>
                <w:sz w:val="15"/>
                <w:szCs w:val="15"/>
                <w:b w:val="1"/>
                <w:bCs w:val="1"/>
                <w:color w:val="auto"/>
                <w:w w:val="87"/>
              </w:rPr>
              <w:t>July 1, 2015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right="313"/>
              <w:spacing w:after="0" w:line="162" w:lineRule="exact"/>
              <w:rPr>
                <w:sz w:val="20"/>
                <w:szCs w:val="20"/>
                <w:color w:val="auto"/>
              </w:rPr>
            </w:pPr>
            <w:r>
              <w:rPr>
                <w:rFonts w:ascii="Arial" w:cs="Arial" w:eastAsia="Arial" w:hAnsi="Arial"/>
                <w:sz w:val="15"/>
                <w:szCs w:val="15"/>
                <w:b w:val="1"/>
                <w:bCs w:val="1"/>
                <w:color w:val="auto"/>
                <w:w w:val="84"/>
              </w:rPr>
              <w:t>to</w:t>
            </w:r>
          </w:p>
        </w:tc>
        <w:tc>
          <w:tcPr>
            <w:tcW w:w="240" w:type="dxa"/>
            <w:vAlign w:val="bottom"/>
          </w:tcPr>
          <w:p>
            <w:pPr>
              <w:spacing w:after="0"/>
              <w:rPr>
                <w:sz w:val="14"/>
                <w:szCs w:val="14"/>
                <w:color w:val="auto"/>
              </w:rPr>
            </w:pPr>
          </w:p>
        </w:tc>
        <w:tc>
          <w:tcPr>
            <w:tcW w:w="1480" w:type="dxa"/>
            <w:vAlign w:val="bottom"/>
          </w:tcPr>
          <w:p>
            <w:pPr>
              <w:jc w:val="center"/>
              <w:ind w:right="314"/>
              <w:spacing w:after="0" w:line="162" w:lineRule="exact"/>
              <w:rPr>
                <w:sz w:val="20"/>
                <w:szCs w:val="20"/>
                <w:color w:val="auto"/>
              </w:rPr>
            </w:pPr>
            <w:r>
              <w:rPr>
                <w:rFonts w:ascii="Arial" w:cs="Arial" w:eastAsia="Arial" w:hAnsi="Arial"/>
                <w:sz w:val="15"/>
                <w:szCs w:val="15"/>
                <w:b w:val="1"/>
                <w:bCs w:val="1"/>
                <w:color w:val="auto"/>
                <w:w w:val="84"/>
              </w:rPr>
              <w:t>to</w:t>
            </w:r>
          </w:p>
        </w:tc>
        <w:tc>
          <w:tcPr>
            <w:tcW w:w="220" w:type="dxa"/>
            <w:vAlign w:val="bottom"/>
          </w:tcPr>
          <w:p>
            <w:pPr>
              <w:spacing w:after="0"/>
              <w:rPr>
                <w:sz w:val="14"/>
                <w:szCs w:val="14"/>
                <w:color w:val="auto"/>
              </w:rPr>
            </w:pPr>
          </w:p>
        </w:tc>
        <w:tc>
          <w:tcPr>
            <w:tcW w:w="1400" w:type="dxa"/>
            <w:vAlign w:val="bottom"/>
          </w:tcPr>
          <w:p>
            <w:pPr>
              <w:jc w:val="center"/>
              <w:ind w:right="213"/>
              <w:spacing w:after="0" w:line="162" w:lineRule="exact"/>
              <w:rPr>
                <w:sz w:val="20"/>
                <w:szCs w:val="20"/>
                <w:color w:val="auto"/>
              </w:rPr>
            </w:pPr>
            <w:r>
              <w:rPr>
                <w:rFonts w:ascii="Arial" w:cs="Arial" w:eastAsia="Arial" w:hAnsi="Arial"/>
                <w:sz w:val="15"/>
                <w:szCs w:val="15"/>
                <w:b w:val="1"/>
                <w:bCs w:val="1"/>
                <w:color w:val="auto"/>
                <w:w w:val="98"/>
              </w:rPr>
              <w:t>to</w:t>
            </w:r>
          </w:p>
        </w:tc>
        <w:tc>
          <w:tcPr>
            <w:tcW w:w="0" w:type="dxa"/>
            <w:vAlign w:val="bottom"/>
          </w:tcPr>
          <w:p>
            <w:pPr>
              <w:spacing w:after="0"/>
              <w:rPr>
                <w:sz w:val="1"/>
                <w:szCs w:val="1"/>
                <w:color w:val="auto"/>
              </w:rPr>
            </w:pPr>
          </w:p>
        </w:tc>
      </w:tr>
      <w:tr>
        <w:trPr>
          <w:trHeight w:val="182"/>
        </w:trPr>
        <w:tc>
          <w:tcPr>
            <w:tcW w:w="6280" w:type="dxa"/>
            <w:vAlign w:val="bottom"/>
            <w:gridSpan w:val="7"/>
          </w:tcPr>
          <w:p>
            <w:pPr>
              <w:spacing w:after="0"/>
              <w:rPr>
                <w:sz w:val="20"/>
                <w:szCs w:val="20"/>
                <w:color w:val="auto"/>
              </w:rPr>
            </w:pPr>
            <w:r>
              <w:rPr>
                <w:rFonts w:ascii="Arial" w:cs="Arial" w:eastAsia="Arial" w:hAnsi="Arial"/>
                <w:sz w:val="15"/>
                <w:szCs w:val="15"/>
                <w:b w:val="1"/>
                <w:bCs w:val="1"/>
                <w:color w:val="auto"/>
              </w:rPr>
              <w:t>Line of Business</w:t>
            </w:r>
          </w:p>
        </w:tc>
        <w:tc>
          <w:tcPr>
            <w:tcW w:w="320" w:type="dxa"/>
            <w:vAlign w:val="bottom"/>
          </w:tcPr>
          <w:p>
            <w:pPr>
              <w:spacing w:after="0"/>
              <w:rPr>
                <w:sz w:val="15"/>
                <w:szCs w:val="15"/>
                <w:color w:val="auto"/>
              </w:rPr>
            </w:pPr>
          </w:p>
        </w:tc>
        <w:tc>
          <w:tcPr>
            <w:tcW w:w="1480" w:type="dxa"/>
            <w:vAlign w:val="bottom"/>
          </w:tcPr>
          <w:p>
            <w:pPr>
              <w:jc w:val="center"/>
              <w:ind w:right="293"/>
              <w:spacing w:after="0"/>
              <w:rPr>
                <w:sz w:val="20"/>
                <w:szCs w:val="20"/>
                <w:color w:val="auto"/>
              </w:rPr>
            </w:pPr>
            <w:r>
              <w:rPr>
                <w:rFonts w:ascii="Arial" w:cs="Arial" w:eastAsia="Arial" w:hAnsi="Arial"/>
                <w:sz w:val="15"/>
                <w:szCs w:val="15"/>
                <w:b w:val="1"/>
                <w:bCs w:val="1"/>
                <w:color w:val="auto"/>
                <w:w w:val="88"/>
              </w:rPr>
              <w:t>June 30, 2018</w:t>
            </w:r>
          </w:p>
        </w:tc>
        <w:tc>
          <w:tcPr>
            <w:tcW w:w="240" w:type="dxa"/>
            <w:vAlign w:val="bottom"/>
          </w:tcPr>
          <w:p>
            <w:pPr>
              <w:spacing w:after="0"/>
              <w:rPr>
                <w:sz w:val="15"/>
                <w:szCs w:val="15"/>
                <w:color w:val="auto"/>
              </w:rPr>
            </w:pPr>
          </w:p>
        </w:tc>
        <w:tc>
          <w:tcPr>
            <w:tcW w:w="1480" w:type="dxa"/>
            <w:vAlign w:val="bottom"/>
          </w:tcPr>
          <w:p>
            <w:pPr>
              <w:jc w:val="center"/>
              <w:ind w:right="314"/>
              <w:spacing w:after="0"/>
              <w:rPr>
                <w:sz w:val="20"/>
                <w:szCs w:val="20"/>
                <w:color w:val="auto"/>
              </w:rPr>
            </w:pPr>
            <w:r>
              <w:rPr>
                <w:rFonts w:ascii="Arial" w:cs="Arial" w:eastAsia="Arial" w:hAnsi="Arial"/>
                <w:sz w:val="15"/>
                <w:szCs w:val="15"/>
                <w:b w:val="1"/>
                <w:bCs w:val="1"/>
                <w:color w:val="auto"/>
                <w:w w:val="90"/>
              </w:rPr>
              <w:t>June 30, 2017</w:t>
            </w:r>
          </w:p>
        </w:tc>
        <w:tc>
          <w:tcPr>
            <w:tcW w:w="220" w:type="dxa"/>
            <w:vAlign w:val="bottom"/>
          </w:tcPr>
          <w:p>
            <w:pPr>
              <w:spacing w:after="0"/>
              <w:rPr>
                <w:sz w:val="15"/>
                <w:szCs w:val="15"/>
                <w:color w:val="auto"/>
              </w:rPr>
            </w:pPr>
          </w:p>
        </w:tc>
        <w:tc>
          <w:tcPr>
            <w:tcW w:w="1400" w:type="dxa"/>
            <w:vAlign w:val="bottom"/>
          </w:tcPr>
          <w:p>
            <w:pPr>
              <w:jc w:val="center"/>
              <w:ind w:right="213"/>
              <w:spacing w:after="0"/>
              <w:rPr>
                <w:sz w:val="20"/>
                <w:szCs w:val="20"/>
                <w:color w:val="auto"/>
              </w:rPr>
            </w:pPr>
            <w:r>
              <w:rPr>
                <w:rFonts w:ascii="Arial" w:cs="Arial" w:eastAsia="Arial" w:hAnsi="Arial"/>
                <w:sz w:val="15"/>
                <w:szCs w:val="15"/>
                <w:b w:val="1"/>
                <w:bCs w:val="1"/>
                <w:color w:val="auto"/>
                <w:w w:val="88"/>
              </w:rPr>
              <w:t>June 30, 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Personal Lines:</w:t>
            </w: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80" w:type="dxa"/>
            <w:vAlign w:val="bottom"/>
            <w:gridSpan w:val="7"/>
          </w:tcPr>
          <w:p>
            <w:pPr>
              <w:spacing w:after="0"/>
              <w:rPr>
                <w:sz w:val="20"/>
                <w:szCs w:val="20"/>
                <w:color w:val="auto"/>
              </w:rPr>
            </w:pPr>
            <w:r>
              <w:rPr>
                <w:rFonts w:ascii="Arial" w:cs="Arial" w:eastAsia="Arial" w:hAnsi="Arial"/>
                <w:sz w:val="18"/>
                <w:szCs w:val="18"/>
                <w:color w:val="auto"/>
              </w:rPr>
              <w:t>Homeowners, dwelling fire and canine legal liability</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Percent ceded</w:t>
            </w:r>
          </w:p>
        </w:tc>
        <w:tc>
          <w:tcPr>
            <w:tcW w:w="320" w:type="dxa"/>
            <w:vAlign w:val="bottom"/>
          </w:tcPr>
          <w:p>
            <w:pPr>
              <w:spacing w:after="0"/>
              <w:rPr>
                <w:sz w:val="18"/>
                <w:szCs w:val="18"/>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Risk retained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833,333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6"/>
              </w:rPr>
              <w:t>Excess of loss coverage and facultative facility above quota share coverage (1)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3,666,667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53"/>
              <w:spacing w:after="0"/>
              <w:rPr>
                <w:sz w:val="20"/>
                <w:szCs w:val="20"/>
                <w:color w:val="auto"/>
              </w:rPr>
            </w:pPr>
            <w:r>
              <w:rPr>
                <w:rFonts w:ascii="Arial" w:cs="Arial" w:eastAsia="Arial" w:hAnsi="Arial"/>
                <w:sz w:val="18"/>
                <w:szCs w:val="18"/>
                <w:color w:val="auto"/>
              </w:rPr>
              <w:t>in excess of</w:t>
            </w:r>
          </w:p>
        </w:tc>
        <w:tc>
          <w:tcPr>
            <w:tcW w:w="240" w:type="dxa"/>
            <w:vAlign w:val="bottom"/>
          </w:tcPr>
          <w:p>
            <w:pPr>
              <w:spacing w:after="0"/>
              <w:rPr>
                <w:sz w:val="21"/>
                <w:szCs w:val="21"/>
                <w:color w:val="auto"/>
              </w:rPr>
            </w:pPr>
          </w:p>
        </w:tc>
        <w:tc>
          <w:tcPr>
            <w:tcW w:w="1480" w:type="dxa"/>
            <w:vAlign w:val="bottom"/>
          </w:tcPr>
          <w:p>
            <w:pPr>
              <w:jc w:val="center"/>
              <w:ind w:right="314"/>
              <w:spacing w:after="0"/>
              <w:rPr>
                <w:sz w:val="20"/>
                <w:szCs w:val="20"/>
                <w:color w:val="auto"/>
              </w:rPr>
            </w:pPr>
            <w:r>
              <w:rPr>
                <w:rFonts w:ascii="Arial" w:cs="Arial" w:eastAsia="Arial" w:hAnsi="Arial"/>
                <w:sz w:val="18"/>
                <w:szCs w:val="18"/>
                <w:color w:val="auto"/>
                <w:w w:val="88"/>
              </w:rPr>
              <w:t>in excess of</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6"/>
              </w:rPr>
              <w:t>in excess of</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833,333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9,200,000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4,000,000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Losses per occurrence subject to reinsurance coverage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Expiration date</w:t>
            </w: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5"/>
              </w:rPr>
              <w:t>June 30, 2019</w:t>
            </w:r>
          </w:p>
        </w:tc>
        <w:tc>
          <w:tcPr>
            <w:tcW w:w="240" w:type="dxa"/>
            <w:vAlign w:val="bottom"/>
          </w:tcPr>
          <w:p>
            <w:pPr>
              <w:spacing w:after="0"/>
              <w:rPr>
                <w:sz w:val="21"/>
                <w:szCs w:val="21"/>
                <w:color w:val="auto"/>
              </w:rPr>
            </w:pPr>
          </w:p>
        </w:tc>
        <w:tc>
          <w:tcPr>
            <w:tcW w:w="1480" w:type="dxa"/>
            <w:vAlign w:val="bottom"/>
          </w:tcPr>
          <w:p>
            <w:pPr>
              <w:jc w:val="center"/>
              <w:ind w:right="294"/>
              <w:spacing w:after="0"/>
              <w:rPr>
                <w:sz w:val="20"/>
                <w:szCs w:val="20"/>
                <w:color w:val="auto"/>
              </w:rPr>
            </w:pPr>
            <w:r>
              <w:rPr>
                <w:rFonts w:ascii="Arial" w:cs="Arial" w:eastAsia="Arial" w:hAnsi="Arial"/>
                <w:sz w:val="18"/>
                <w:szCs w:val="18"/>
                <w:color w:val="auto"/>
                <w:w w:val="85"/>
              </w:rPr>
              <w:t>June 30, 2017</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5"/>
              </w:rPr>
              <w:t>June 30, 2016</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Personal Umbrella</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Percent ceded - first $1,000,000 of coverage</w:t>
            </w:r>
          </w:p>
        </w:tc>
        <w:tc>
          <w:tcPr>
            <w:tcW w:w="320" w:type="dxa"/>
            <w:vAlign w:val="bottom"/>
          </w:tcPr>
          <w:p>
            <w:pPr>
              <w:spacing w:after="0"/>
              <w:rPr>
                <w:sz w:val="18"/>
                <w:szCs w:val="18"/>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Percent ceded - excess of $1,000,000 dollars of coverage</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Risk retained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100,000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4,900,000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Expiration date</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293"/>
              <w:spacing w:after="0"/>
              <w:rPr>
                <w:sz w:val="20"/>
                <w:szCs w:val="20"/>
                <w:color w:val="auto"/>
              </w:rPr>
            </w:pPr>
            <w:r>
              <w:rPr>
                <w:rFonts w:ascii="Arial" w:cs="Arial" w:eastAsia="Arial" w:hAnsi="Arial"/>
                <w:sz w:val="18"/>
                <w:szCs w:val="18"/>
                <w:color w:val="auto"/>
                <w:w w:val="85"/>
              </w:rPr>
              <w:t>June 30, 2018</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85"/>
              </w:rPr>
              <w:t>June 30, 2017</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5"/>
              </w:rPr>
              <w:t>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General liability commercial policies, except for commercial auto</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Percent ceded</w:t>
            </w: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21"/>
                <w:szCs w:val="21"/>
                <w:color w:val="auto"/>
              </w:rPr>
            </w:pPr>
          </w:p>
        </w:tc>
        <w:tc>
          <w:tcPr>
            <w:tcW w:w="1480" w:type="dxa"/>
            <w:vAlign w:val="bottom"/>
          </w:tcPr>
          <w:p>
            <w:pPr>
              <w:jc w:val="center"/>
              <w:ind w:right="294"/>
              <w:spacing w:after="0"/>
              <w:rPr>
                <w:sz w:val="20"/>
                <w:szCs w:val="20"/>
                <w:color w:val="auto"/>
              </w:rPr>
            </w:pPr>
            <w:r>
              <w:rPr>
                <w:rFonts w:ascii="Arial" w:cs="Arial" w:eastAsia="Arial" w:hAnsi="Arial"/>
                <w:sz w:val="18"/>
                <w:szCs w:val="18"/>
                <w:color w:val="auto"/>
                <w:w w:val="88"/>
              </w:rPr>
              <w:t>None</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Risk retained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21"/>
                <w:szCs w:val="21"/>
                <w:color w:val="auto"/>
              </w:rPr>
            </w:pPr>
          </w:p>
        </w:tc>
        <w:tc>
          <w:tcPr>
            <w:tcW w:w="1480" w:type="dxa"/>
            <w:vAlign w:val="bottom"/>
          </w:tcPr>
          <w:p>
            <w:pPr>
              <w:jc w:val="center"/>
              <w:ind w:right="294"/>
              <w:spacing w:after="0"/>
              <w:rPr>
                <w:sz w:val="20"/>
                <w:szCs w:val="20"/>
                <w:color w:val="auto"/>
              </w:rPr>
            </w:pPr>
            <w:r>
              <w:rPr>
                <w:rFonts w:ascii="Arial" w:cs="Arial" w:eastAsia="Arial" w:hAnsi="Arial"/>
                <w:sz w:val="18"/>
                <w:szCs w:val="18"/>
                <w:color w:val="auto"/>
                <w:w w:val="88"/>
              </w:rPr>
              <w:t>None</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Excess of loss coverage above quota share coverage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center"/>
              <w:ind w:right="293"/>
              <w:spacing w:after="0" w:line="243" w:lineRule="exact"/>
              <w:rPr>
                <w:sz w:val="20"/>
                <w:szCs w:val="20"/>
                <w:color w:val="auto"/>
              </w:rPr>
            </w:pPr>
            <w:r>
              <w:rPr>
                <w:rFonts w:ascii="Arial" w:cs="Arial" w:eastAsia="Arial" w:hAnsi="Arial"/>
                <w:sz w:val="22"/>
                <w:szCs w:val="22"/>
                <w:color w:val="auto"/>
                <w:w w:val="87"/>
              </w:rPr>
              <w:t>in excess of</w:t>
            </w:r>
          </w:p>
        </w:tc>
        <w:tc>
          <w:tcPr>
            <w:tcW w:w="240" w:type="dxa"/>
            <w:vAlign w:val="bottom"/>
          </w:tcPr>
          <w:p>
            <w:pPr>
              <w:spacing w:after="0"/>
              <w:rPr>
                <w:sz w:val="21"/>
                <w:szCs w:val="21"/>
                <w:color w:val="auto"/>
              </w:rPr>
            </w:pPr>
          </w:p>
        </w:tc>
        <w:tc>
          <w:tcPr>
            <w:tcW w:w="1480" w:type="dxa"/>
            <w:vAlign w:val="bottom"/>
          </w:tcPr>
          <w:p>
            <w:pPr>
              <w:jc w:val="center"/>
              <w:ind w:right="314"/>
              <w:spacing w:after="0"/>
              <w:rPr>
                <w:sz w:val="20"/>
                <w:szCs w:val="20"/>
                <w:color w:val="auto"/>
              </w:rPr>
            </w:pPr>
            <w:r>
              <w:rPr>
                <w:rFonts w:ascii="Arial" w:cs="Arial" w:eastAsia="Arial" w:hAnsi="Arial"/>
                <w:sz w:val="18"/>
                <w:szCs w:val="18"/>
                <w:color w:val="auto"/>
                <w:w w:val="88"/>
              </w:rPr>
              <w:t>in excess of</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6"/>
              </w:rPr>
              <w:t>in excess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3,750,000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4,000,000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Losses per occurrence subject to reinsurance coverage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4,500,000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Quota share treaty:</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Percent ceded - first $1,000,000 of coverage</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Percent ceded - excess of $1,000,000 of coverage</w:t>
            </w:r>
          </w:p>
        </w:tc>
        <w:tc>
          <w:tcPr>
            <w:tcW w:w="320" w:type="dxa"/>
            <w:vAlign w:val="bottom"/>
          </w:tcPr>
          <w:p>
            <w:pPr>
              <w:spacing w:after="0"/>
              <w:rPr>
                <w:sz w:val="18"/>
                <w:szCs w:val="18"/>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Risk retained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5"/>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4,900,000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4,900,000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Expiration date</w:t>
            </w: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5"/>
              </w:rPr>
              <w:t>June 30, 2018</w:t>
            </w:r>
          </w:p>
        </w:tc>
        <w:tc>
          <w:tcPr>
            <w:tcW w:w="240" w:type="dxa"/>
            <w:vAlign w:val="bottom"/>
          </w:tcPr>
          <w:p>
            <w:pPr>
              <w:spacing w:after="0"/>
              <w:rPr>
                <w:sz w:val="21"/>
                <w:szCs w:val="21"/>
                <w:color w:val="auto"/>
              </w:rPr>
            </w:pPr>
          </w:p>
        </w:tc>
        <w:tc>
          <w:tcPr>
            <w:tcW w:w="1480" w:type="dxa"/>
            <w:vAlign w:val="bottom"/>
          </w:tcPr>
          <w:p>
            <w:pPr>
              <w:jc w:val="center"/>
              <w:ind w:right="294"/>
              <w:spacing w:after="0"/>
              <w:rPr>
                <w:sz w:val="20"/>
                <w:szCs w:val="20"/>
                <w:color w:val="auto"/>
              </w:rPr>
            </w:pPr>
            <w:r>
              <w:rPr>
                <w:rFonts w:ascii="Arial" w:cs="Arial" w:eastAsia="Arial" w:hAnsi="Arial"/>
                <w:sz w:val="18"/>
                <w:szCs w:val="18"/>
                <w:color w:val="auto"/>
                <w:w w:val="85"/>
              </w:rPr>
              <w:t>June 30, 2017</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60" w:type="dxa"/>
            <w:vAlign w:val="bottom"/>
            <w:gridSpan w:val="6"/>
          </w:tcPr>
          <w:p>
            <w:pPr>
              <w:spacing w:after="0" w:line="176" w:lineRule="exact"/>
              <w:rPr>
                <w:sz w:val="20"/>
                <w:szCs w:val="20"/>
                <w:color w:val="auto"/>
              </w:rPr>
            </w:pPr>
            <w:r>
              <w:rPr>
                <w:rFonts w:ascii="Arial" w:cs="Arial" w:eastAsia="Arial" w:hAnsi="Arial"/>
                <w:sz w:val="18"/>
                <w:szCs w:val="18"/>
                <w:color w:val="auto"/>
              </w:rPr>
              <w:t>Commercial Auto:</w:t>
            </w: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Risk retained</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Excess of loss coverage in excess of risk retained</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6"/>
              </w:rPr>
              <w:t>in excess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Catastrophe Reinsurance:</w:t>
            </w: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Initial loss subject to personal lines quota share treaty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Risk retained per catastrophe occurrence (2)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Catastrophe loss coverage in excess of quota share coverage (3) (4)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315,000,000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247,000,000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176,000,000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Severe winter weather aggregate (4)</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293"/>
              <w:spacing w:after="0"/>
              <w:rPr>
                <w:sz w:val="20"/>
                <w:szCs w:val="20"/>
                <w:color w:val="auto"/>
              </w:rPr>
            </w:pPr>
            <w:r>
              <w:rPr>
                <w:rFonts w:ascii="Arial" w:cs="Arial" w:eastAsia="Arial" w:hAnsi="Arial"/>
                <w:sz w:val="18"/>
                <w:szCs w:val="18"/>
                <w:color w:val="auto"/>
                <w:w w:val="95"/>
              </w:rPr>
              <w:t>No</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314"/>
              <w:spacing w:after="0"/>
              <w:rPr>
                <w:sz w:val="20"/>
                <w:szCs w:val="20"/>
                <w:color w:val="auto"/>
              </w:rPr>
            </w:pPr>
            <w:r>
              <w:rPr>
                <w:rFonts w:ascii="Arial" w:cs="Arial" w:eastAsia="Arial" w:hAnsi="Arial"/>
                <w:sz w:val="18"/>
                <w:szCs w:val="18"/>
                <w:color w:val="auto"/>
                <w:w w:val="86"/>
              </w:rPr>
              <w:t>No</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gridSpan w:val="6"/>
          </w:tcPr>
          <w:p>
            <w:pPr>
              <w:ind w:left="160"/>
              <w:spacing w:after="0"/>
              <w:rPr>
                <w:sz w:val="20"/>
                <w:szCs w:val="20"/>
                <w:color w:val="auto"/>
              </w:rPr>
            </w:pPr>
            <w:r>
              <w:rPr>
                <w:rFonts w:ascii="Arial" w:cs="Arial" w:eastAsia="Arial" w:hAnsi="Arial"/>
                <w:sz w:val="18"/>
                <w:szCs w:val="18"/>
                <w:color w:val="auto"/>
              </w:rPr>
              <w:t>Reinstatement premium protection (5)</w:t>
            </w:r>
          </w:p>
        </w:tc>
        <w:tc>
          <w:tcPr>
            <w:tcW w:w="320" w:type="dxa"/>
            <w:vAlign w:val="bottom"/>
          </w:tcPr>
          <w:p>
            <w:pPr>
              <w:spacing w:after="0"/>
              <w:rPr>
                <w:sz w:val="20"/>
                <w:szCs w:val="20"/>
                <w:color w:val="auto"/>
              </w:rPr>
            </w:pPr>
          </w:p>
        </w:tc>
        <w:tc>
          <w:tcPr>
            <w:tcW w:w="1480" w:type="dxa"/>
            <w:vAlign w:val="bottom"/>
          </w:tcPr>
          <w:p>
            <w:pPr>
              <w:jc w:val="right"/>
              <w:ind w:right="753"/>
              <w:spacing w:after="0"/>
              <w:rPr>
                <w:sz w:val="20"/>
                <w:szCs w:val="20"/>
                <w:color w:val="auto"/>
              </w:rPr>
            </w:pPr>
            <w:r>
              <w:rPr>
                <w:rFonts w:ascii="Arial" w:cs="Arial" w:eastAsia="Arial" w:hAnsi="Arial"/>
                <w:sz w:val="18"/>
                <w:szCs w:val="18"/>
                <w:color w:val="auto"/>
              </w:rPr>
              <w:t>Yes</w:t>
            </w:r>
          </w:p>
        </w:tc>
        <w:tc>
          <w:tcPr>
            <w:tcW w:w="240" w:type="dxa"/>
            <w:vAlign w:val="bottom"/>
          </w:tcPr>
          <w:p>
            <w:pPr>
              <w:spacing w:after="0"/>
              <w:rPr>
                <w:sz w:val="20"/>
                <w:szCs w:val="20"/>
                <w:color w:val="auto"/>
              </w:rPr>
            </w:pPr>
          </w:p>
        </w:tc>
        <w:tc>
          <w:tcPr>
            <w:tcW w:w="1480" w:type="dxa"/>
            <w:vAlign w:val="bottom"/>
          </w:tcPr>
          <w:p>
            <w:pPr>
              <w:jc w:val="center"/>
              <w:ind w:right="314"/>
              <w:spacing w:after="0"/>
              <w:rPr>
                <w:sz w:val="20"/>
                <w:szCs w:val="20"/>
                <w:color w:val="auto"/>
              </w:rPr>
            </w:pPr>
            <w:r>
              <w:rPr>
                <w:rFonts w:ascii="Arial" w:cs="Arial" w:eastAsia="Arial" w:hAnsi="Arial"/>
                <w:sz w:val="18"/>
                <w:szCs w:val="18"/>
                <w:color w:val="auto"/>
                <w:w w:val="77"/>
              </w:rPr>
              <w:t>Yes</w:t>
            </w:r>
          </w:p>
        </w:tc>
        <w:tc>
          <w:tcPr>
            <w:tcW w:w="220" w:type="dxa"/>
            <w:vAlign w:val="bottom"/>
          </w:tcPr>
          <w:p>
            <w:pPr>
              <w:spacing w:after="0"/>
              <w:rPr>
                <w:sz w:val="20"/>
                <w:szCs w:val="20"/>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51" w:name="page52"/>
    <w:bookmarkEnd w:id="5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340" w:right="80" w:hanging="332"/>
        <w:spacing w:after="0" w:line="25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9" w:lineRule="exact"/>
        <w:rPr>
          <w:rFonts w:ascii="Arial" w:cs="Arial" w:eastAsia="Arial" w:hAnsi="Arial"/>
          <w:sz w:val="18"/>
          <w:szCs w:val="18"/>
          <w:color w:val="auto"/>
        </w:rPr>
      </w:pPr>
    </w:p>
    <w:p>
      <w:pPr>
        <w:ind w:left="340" w:right="100" w:hanging="332"/>
        <w:spacing w:after="0" w:line="28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From July 1, 2015 through June 30, 2016, catastrophe treaty also covered losses caused by severe winter weather during any consecutive 28 day period.</w:t>
      </w:r>
    </w:p>
    <w:p>
      <w:pPr>
        <w:spacing w:after="0" w:line="32" w:lineRule="exact"/>
        <w:rPr>
          <w:rFonts w:ascii="Arial" w:cs="Arial" w:eastAsia="Arial" w:hAnsi="Arial"/>
          <w:sz w:val="16"/>
          <w:szCs w:val="16"/>
          <w:color w:val="auto"/>
        </w:rPr>
      </w:pPr>
    </w:p>
    <w:p>
      <w:pPr>
        <w:ind w:left="340" w:right="2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July 1, 2015, reinstatement premium protection for $16,000,000 of catastrophe coverage in excess of $4,000,000. Effective July 1, 2016, reinstatement premium protection for $20,000,000 of catastrophe coverage in excess of $5,000,000. Effective July 1, 2017, reinstatement premium protection for $145,000,000 of catastrophe coverage in excess of $5,000,000.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single maximum risks per occurrence to which we are subject under the new treaties effective July 1, 2017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860" w:type="dxa"/>
            <w:vAlign w:val="bottom"/>
            <w:vMerge w:val="restart"/>
          </w:tcPr>
          <w:p>
            <w:pPr>
              <w:ind w:left="1220"/>
              <w:spacing w:after="0"/>
              <w:rPr>
                <w:sz w:val="20"/>
                <w:szCs w:val="20"/>
                <w:color w:val="auto"/>
              </w:rPr>
            </w:pPr>
            <w:r>
              <w:rPr>
                <w:rFonts w:ascii="Arial" w:cs="Arial" w:eastAsia="Arial" w:hAnsi="Arial"/>
                <w:sz w:val="15"/>
                <w:szCs w:val="15"/>
                <w:b w:val="1"/>
                <w:bCs w:val="1"/>
                <w:color w:val="auto"/>
              </w:rPr>
              <w:t>Treaty</w:t>
            </w:r>
          </w:p>
        </w:tc>
        <w:tc>
          <w:tcPr>
            <w:tcW w:w="560" w:type="dxa"/>
            <w:vAlign w:val="bottom"/>
            <w:vMerge w:val="restart"/>
          </w:tcPr>
          <w:p>
            <w:pPr>
              <w:spacing w:after="0"/>
              <w:rPr>
                <w:sz w:val="15"/>
                <w:szCs w:val="15"/>
                <w:color w:val="auto"/>
              </w:rPr>
            </w:pPr>
          </w:p>
        </w:tc>
        <w:tc>
          <w:tcPr>
            <w:tcW w:w="3080" w:type="dxa"/>
            <w:vAlign w:val="bottom"/>
          </w:tcPr>
          <w:p>
            <w:pPr>
              <w:spacing w:after="0"/>
              <w:rPr>
                <w:sz w:val="15"/>
                <w:szCs w:val="15"/>
                <w:color w:val="auto"/>
              </w:rPr>
            </w:pPr>
          </w:p>
        </w:tc>
        <w:tc>
          <w:tcPr>
            <w:tcW w:w="4920" w:type="dxa"/>
            <w:vAlign w:val="bottom"/>
            <w:gridSpan w:val="4"/>
          </w:tcPr>
          <w:p>
            <w:pPr>
              <w:ind w:left="40"/>
              <w:spacing w:after="0"/>
              <w:rPr>
                <w:sz w:val="20"/>
                <w:szCs w:val="20"/>
                <w:color w:val="auto"/>
              </w:rPr>
            </w:pPr>
            <w:r>
              <w:rPr>
                <w:rFonts w:ascii="Arial" w:cs="Arial" w:eastAsia="Arial" w:hAnsi="Arial"/>
                <w:sz w:val="15"/>
                <w:szCs w:val="15"/>
                <w:b w:val="1"/>
                <w:bCs w:val="1"/>
                <w:color w:val="auto"/>
              </w:rPr>
              <w:t>July 1, 2017 - June 30, 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080" w:type="dxa"/>
            <w:vAlign w:val="bottom"/>
            <w:tcBorders>
              <w:top w:val="single" w:sz="8" w:color="auto"/>
              <w:bottom w:val="single" w:sz="8" w:color="auto"/>
            </w:tcBorders>
          </w:tcPr>
          <w:p>
            <w:pPr>
              <w:ind w:left="2140"/>
              <w:spacing w:after="0" w:line="162" w:lineRule="exact"/>
              <w:rPr>
                <w:sz w:val="20"/>
                <w:szCs w:val="20"/>
                <w:color w:val="auto"/>
              </w:rPr>
            </w:pPr>
            <w:r>
              <w:rPr>
                <w:rFonts w:ascii="Arial" w:cs="Arial" w:eastAsia="Arial" w:hAnsi="Arial"/>
                <w:sz w:val="15"/>
                <w:szCs w:val="15"/>
                <w:b w:val="1"/>
                <w:bCs w:val="1"/>
                <w:color w:val="auto"/>
                <w:w w:val="88"/>
              </w:rPr>
              <w:t>Range of Loss</w:t>
            </w:r>
          </w:p>
        </w:tc>
        <w:tc>
          <w:tcPr>
            <w:tcW w:w="20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80" w:type="dxa"/>
            <w:vAlign w:val="bottom"/>
            <w:tcBorders>
              <w:top w:val="single" w:sz="8" w:color="auto"/>
              <w:bottom w:val="single" w:sz="8" w:color="auto"/>
            </w:tcBorders>
          </w:tcPr>
          <w:p>
            <w:pPr>
              <w:jc w:val="right"/>
              <w:ind w:right="594"/>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 (1)</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$1,000,000 - $10,000,000</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$10,000,000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$750,000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$750,000 - $4,500,000</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(4)</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$5,000,000 - $320,000,000</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$320,000,000</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Two year treaty with expiration date of June 30, 2019.</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Covered by excess of loss treaties up to $3,500,000 and by facultative facility from $3,500,000 to $10,000,000.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single maximum risks per occurrence to which we are subject under the treaties that expired on June 30, 2017 and 2016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700" w:type="dxa"/>
            <w:vAlign w:val="bottom"/>
            <w:vMerge w:val="restart"/>
          </w:tcPr>
          <w:p>
            <w:pPr>
              <w:ind w:left="640"/>
              <w:spacing w:after="0"/>
              <w:rPr>
                <w:sz w:val="20"/>
                <w:szCs w:val="20"/>
                <w:color w:val="auto"/>
              </w:rPr>
            </w:pPr>
            <w:r>
              <w:rPr>
                <w:rFonts w:ascii="Arial" w:cs="Arial" w:eastAsia="Arial" w:hAnsi="Arial"/>
                <w:sz w:val="15"/>
                <w:szCs w:val="15"/>
                <w:b w:val="1"/>
                <w:bCs w:val="1"/>
                <w:color w:val="auto"/>
              </w:rPr>
              <w:t>Treaty</w:t>
            </w:r>
          </w:p>
        </w:tc>
        <w:tc>
          <w:tcPr>
            <w:tcW w:w="240" w:type="dxa"/>
            <w:vAlign w:val="bottom"/>
            <w:vMerge w:val="restart"/>
          </w:tcPr>
          <w:p>
            <w:pPr>
              <w:spacing w:after="0"/>
              <w:rPr>
                <w:sz w:val="15"/>
                <w:szCs w:val="15"/>
                <w:color w:val="auto"/>
              </w:rPr>
            </w:pPr>
          </w:p>
        </w:tc>
        <w:tc>
          <w:tcPr>
            <w:tcW w:w="3220" w:type="dxa"/>
            <w:vAlign w:val="bottom"/>
            <w:tcBorders>
              <w:bottom w:val="single" w:sz="8" w:color="auto"/>
            </w:tcBorders>
            <w:gridSpan w:val="3"/>
          </w:tcPr>
          <w:p>
            <w:pPr>
              <w:ind w:left="1420"/>
              <w:spacing w:after="0"/>
              <w:rPr>
                <w:sz w:val="20"/>
                <w:szCs w:val="20"/>
                <w:color w:val="auto"/>
              </w:rPr>
            </w:pPr>
            <w:r>
              <w:rPr>
                <w:rFonts w:ascii="Arial" w:cs="Arial" w:eastAsia="Arial" w:hAnsi="Arial"/>
                <w:sz w:val="15"/>
                <w:szCs w:val="15"/>
                <w:b w:val="1"/>
                <w:bCs w:val="1"/>
                <w:color w:val="auto"/>
                <w:w w:val="91"/>
              </w:rPr>
              <w:t>July 1, 2016 - June 30, 2017</w:t>
            </w:r>
          </w:p>
        </w:tc>
        <w:tc>
          <w:tcPr>
            <w:tcW w:w="1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tcBorders>
              <w:bottom w:val="single" w:sz="8" w:color="auto"/>
            </w:tcBorders>
            <w:gridSpan w:val="3"/>
          </w:tcPr>
          <w:p>
            <w:pPr>
              <w:ind w:left="1460"/>
              <w:spacing w:after="0"/>
              <w:rPr>
                <w:sz w:val="20"/>
                <w:szCs w:val="20"/>
                <w:color w:val="auto"/>
              </w:rPr>
            </w:pPr>
            <w:r>
              <w:rPr>
                <w:rFonts w:ascii="Arial" w:cs="Arial" w:eastAsia="Arial" w:hAnsi="Arial"/>
                <w:sz w:val="15"/>
                <w:szCs w:val="15"/>
                <w:b w:val="1"/>
                <w:bCs w:val="1"/>
                <w:color w:val="auto"/>
                <w:w w:val="91"/>
              </w:rPr>
              <w:t>July 1, 2015 - June 30, 2016</w:t>
            </w: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620" w:type="dxa"/>
            <w:vAlign w:val="bottom"/>
            <w:tcBorders>
              <w:bottom w:val="single" w:sz="8" w:color="auto"/>
            </w:tcBorders>
          </w:tcPr>
          <w:p>
            <w:pPr>
              <w:ind w:left="880"/>
              <w:spacing w:after="0" w:line="162" w:lineRule="exact"/>
              <w:rPr>
                <w:sz w:val="20"/>
                <w:szCs w:val="20"/>
                <w:color w:val="auto"/>
              </w:rPr>
            </w:pPr>
            <w:r>
              <w:rPr>
                <w:rFonts w:ascii="Arial" w:cs="Arial" w:eastAsia="Arial" w:hAnsi="Arial"/>
                <w:sz w:val="15"/>
                <w:szCs w:val="15"/>
                <w:b w:val="1"/>
                <w:bCs w:val="1"/>
                <w:color w:val="auto"/>
              </w:rPr>
              <w:t>Range of Loss</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13"/>
              <w:spacing w:after="0" w:line="162" w:lineRule="exact"/>
              <w:rPr>
                <w:sz w:val="20"/>
                <w:szCs w:val="20"/>
                <w:color w:val="auto"/>
              </w:rPr>
            </w:pPr>
            <w:r>
              <w:rPr>
                <w:rFonts w:ascii="Arial" w:cs="Arial" w:eastAsia="Arial" w:hAnsi="Arial"/>
                <w:sz w:val="15"/>
                <w:szCs w:val="15"/>
                <w:b w:val="1"/>
                <w:bCs w:val="1"/>
                <w:color w:val="auto"/>
                <w:w w:val="94"/>
              </w:rPr>
              <w:t>Risk Retained</w:t>
            </w:r>
          </w:p>
        </w:tc>
        <w:tc>
          <w:tcPr>
            <w:tcW w:w="220" w:type="dxa"/>
            <w:vAlign w:val="bottom"/>
          </w:tcPr>
          <w:p>
            <w:pPr>
              <w:spacing w:after="0"/>
              <w:rPr>
                <w:sz w:val="14"/>
                <w:szCs w:val="14"/>
                <w:color w:val="auto"/>
              </w:rPr>
            </w:pPr>
          </w:p>
        </w:tc>
        <w:tc>
          <w:tcPr>
            <w:tcW w:w="2620" w:type="dxa"/>
            <w:vAlign w:val="bottom"/>
            <w:tcBorders>
              <w:bottom w:val="single" w:sz="8" w:color="auto"/>
            </w:tcBorders>
          </w:tcPr>
          <w:p>
            <w:pPr>
              <w:ind w:left="880"/>
              <w:spacing w:after="0" w:line="162" w:lineRule="exact"/>
              <w:rPr>
                <w:sz w:val="20"/>
                <w:szCs w:val="20"/>
                <w:color w:val="auto"/>
              </w:rPr>
            </w:pPr>
            <w:r>
              <w:rPr>
                <w:rFonts w:ascii="Arial" w:cs="Arial" w:eastAsia="Arial" w:hAnsi="Arial"/>
                <w:sz w:val="15"/>
                <w:szCs w:val="15"/>
                <w:b w:val="1"/>
                <w:bCs w:val="1"/>
                <w:color w:val="auto"/>
              </w:rPr>
              <w:t>Range of Loss</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53"/>
              <w:spacing w:after="0" w:line="162" w:lineRule="exact"/>
              <w:rPr>
                <w:sz w:val="20"/>
                <w:szCs w:val="20"/>
                <w:color w:val="auto"/>
              </w:rPr>
            </w:pPr>
            <w:r>
              <w:rPr>
                <w:rFonts w:ascii="Arial" w:cs="Arial" w:eastAsia="Arial" w:hAnsi="Arial"/>
                <w:sz w:val="15"/>
                <w:szCs w:val="15"/>
                <w:b w:val="1"/>
                <w:bCs w:val="1"/>
                <w:color w:val="auto"/>
                <w:w w:val="94"/>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$833,333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$750,000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$833,333 - $4,500,000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None(1)</w:t>
            </w:r>
          </w:p>
        </w:tc>
        <w:tc>
          <w:tcPr>
            <w:tcW w:w="2620" w:type="dxa"/>
            <w:vAlign w:val="bottom"/>
          </w:tcPr>
          <w:p>
            <w:pPr>
              <w:ind w:left="40"/>
              <w:spacing w:after="0"/>
              <w:rPr>
                <w:sz w:val="20"/>
                <w:szCs w:val="20"/>
                <w:color w:val="auto"/>
              </w:rPr>
            </w:pPr>
            <w:r>
              <w:rPr>
                <w:rFonts w:ascii="Arial" w:cs="Arial" w:eastAsia="Arial" w:hAnsi="Arial"/>
                <w:sz w:val="18"/>
                <w:szCs w:val="18"/>
                <w:color w:val="auto"/>
              </w:rPr>
              <w:t>$750,000 - $4,500,000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ind w:left="980"/>
              <w:spacing w:after="0"/>
              <w:rPr>
                <w:sz w:val="20"/>
                <w:szCs w:val="20"/>
                <w:color w:val="auto"/>
              </w:rPr>
            </w:pPr>
            <w:r>
              <w:rPr>
                <w:rFonts w:ascii="Arial" w:cs="Arial" w:eastAsia="Arial" w:hAnsi="Arial"/>
                <w:sz w:val="18"/>
                <w:szCs w:val="18"/>
                <w:color w:val="auto"/>
              </w:rPr>
              <w:t>None</w:t>
            </w:r>
          </w:p>
        </w:tc>
        <w:tc>
          <w:tcPr>
            <w:tcW w:w="2620" w:type="dxa"/>
            <w:vAlign w:val="bottom"/>
          </w:tcPr>
          <w:p>
            <w:pPr>
              <w:ind w:left="40"/>
              <w:spacing w:after="0"/>
              <w:rPr>
                <w:sz w:val="20"/>
                <w:szCs w:val="20"/>
                <w:color w:val="auto"/>
              </w:rPr>
            </w:pPr>
            <w:r>
              <w:rPr>
                <w:rFonts w:ascii="Arial" w:cs="Arial" w:eastAsia="Arial" w:hAnsi="Arial"/>
                <w:sz w:val="18"/>
                <w:szCs w:val="18"/>
                <w:color w:val="auto"/>
              </w:rPr>
              <w:t>$1,000,000 - $3,000,000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$3,000,000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$500,000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$425,000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$500,000 - $4,500,000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None(1)</w:t>
            </w:r>
          </w:p>
        </w:tc>
        <w:tc>
          <w:tcPr>
            <w:tcW w:w="2620" w:type="dxa"/>
            <w:vAlign w:val="bottom"/>
          </w:tcPr>
          <w:p>
            <w:pPr>
              <w:ind w:left="40"/>
              <w:spacing w:after="0"/>
              <w:rPr>
                <w:sz w:val="20"/>
                <w:szCs w:val="20"/>
                <w:color w:val="auto"/>
              </w:rPr>
            </w:pPr>
            <w:r>
              <w:rPr>
                <w:rFonts w:ascii="Arial" w:cs="Arial" w:eastAsia="Arial" w:hAnsi="Arial"/>
                <w:sz w:val="18"/>
                <w:szCs w:val="18"/>
                <w:color w:val="auto"/>
              </w:rPr>
              <w:t>$425,000 - $4,500,000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ind w:left="980"/>
              <w:spacing w:after="0"/>
              <w:rPr>
                <w:sz w:val="20"/>
                <w:szCs w:val="20"/>
                <w:color w:val="auto"/>
              </w:rPr>
            </w:pPr>
            <w:r>
              <w:rPr>
                <w:rFonts w:ascii="Arial" w:cs="Arial" w:eastAsia="Arial" w:hAnsi="Arial"/>
                <w:sz w:val="18"/>
                <w:szCs w:val="18"/>
                <w:color w:val="auto"/>
              </w:rPr>
              <w:t>None</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(2)</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$5,000,000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$4,000,000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$5,000,000 - $252,000,000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ind w:left="980"/>
              <w:spacing w:after="0"/>
              <w:rPr>
                <w:sz w:val="20"/>
                <w:szCs w:val="20"/>
                <w:color w:val="auto"/>
              </w:rPr>
            </w:pPr>
            <w:r>
              <w:rPr>
                <w:rFonts w:ascii="Arial" w:cs="Arial" w:eastAsia="Arial" w:hAnsi="Arial"/>
                <w:sz w:val="18"/>
                <w:szCs w:val="18"/>
                <w:color w:val="auto"/>
              </w:rPr>
              <w:t>None</w:t>
            </w:r>
          </w:p>
        </w:tc>
        <w:tc>
          <w:tcPr>
            <w:tcW w:w="2620" w:type="dxa"/>
            <w:vAlign w:val="bottom"/>
          </w:tcPr>
          <w:p>
            <w:pPr>
              <w:ind w:left="40"/>
              <w:spacing w:after="0"/>
              <w:rPr>
                <w:sz w:val="20"/>
                <w:szCs w:val="20"/>
                <w:color w:val="auto"/>
              </w:rPr>
            </w:pPr>
            <w:r>
              <w:rPr>
                <w:rFonts w:ascii="Arial" w:cs="Arial" w:eastAsia="Arial" w:hAnsi="Arial"/>
                <w:sz w:val="18"/>
                <w:szCs w:val="18"/>
                <w:color w:val="auto"/>
              </w:rPr>
              <w:t>$4,000,000 - $180,000,000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$252,000,000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$180,000,000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67" w:lineRule="exact"/>
        <w:rPr>
          <w:sz w:val="20"/>
          <w:szCs w:val="20"/>
          <w:color w:val="auto"/>
        </w:rPr>
      </w:pPr>
    </w:p>
    <w:p>
      <w:pPr>
        <w:ind w:right="480" w:firstLine="692"/>
        <w:spacing w:after="0" w:line="268"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or liquidity that are material to investors.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 and Financial Condition</w:t>
      </w:r>
    </w:p>
    <w:p>
      <w:pPr>
        <w:spacing w:after="0" w:line="231" w:lineRule="exact"/>
        <w:rPr>
          <w:sz w:val="20"/>
          <w:szCs w:val="20"/>
          <w:color w:val="auto"/>
        </w:rPr>
      </w:pPr>
    </w:p>
    <w:p>
      <w:pPr>
        <w:ind w:right="60" w:firstLine="648"/>
        <w:spacing w:after="0" w:line="306" w:lineRule="auto"/>
        <w:rPr>
          <w:sz w:val="20"/>
          <w:szCs w:val="20"/>
          <w:color w:val="auto"/>
        </w:rPr>
      </w:pPr>
      <w:r>
        <w:rPr>
          <w:rFonts w:ascii="Arial" w:cs="Arial" w:eastAsia="Arial" w:hAnsi="Arial"/>
          <w:sz w:val="16"/>
          <w:szCs w:val="16"/>
          <w:color w:val="auto"/>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 a property and casualty insurer, we may face significant losses from catastrophes and severe weather events.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of the exposure of our property and casualty business to catastrophic events (such as Superstorm Sandy)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have catastrophe reinsurance coverage with regard to losses of up to $320,000,000. The initial $5,000,000 of losses in a catastrophe are subject to a 20% quota share reinsurance treaty, such that we retain $4,000,000 of risk per catastrophe occurrence. With respect to any additional catastrophe losses of up to $315,000,000,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Unanticipated increases in the severity or frequency of claims may adversely affect our operating results and financial condition.</w:t>
      </w:r>
    </w:p>
    <w:p>
      <w:pPr>
        <w:spacing w:after="0" w:line="24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spacing w:after="0" w:line="174"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b w:val="1"/>
          <w:bCs w:val="1"/>
          <w:i w:val="1"/>
          <w:iCs w:val="1"/>
          <w:color w:val="auto"/>
        </w:rPr>
        <w:t>A downgrade in our financial strength rating from A.M. Best may have a material adverse effect on our competitive position, the marketability of our product offerings, and our liquidity, operating results and financial condition.</w:t>
      </w:r>
    </w:p>
    <w:p>
      <w:pPr>
        <w:spacing w:after="0" w:line="186" w:lineRule="exact"/>
        <w:rPr>
          <w:sz w:val="20"/>
          <w:szCs w:val="20"/>
          <w:color w:val="auto"/>
        </w:rPr>
      </w:pPr>
    </w:p>
    <w:p>
      <w:pPr>
        <w:ind w:firstLine="648"/>
        <w:spacing w:after="0" w:line="306" w:lineRule="auto"/>
        <w:rPr>
          <w:sz w:val="20"/>
          <w:szCs w:val="20"/>
          <w:color w:val="auto"/>
        </w:rPr>
      </w:pPr>
      <w:r>
        <w:rPr>
          <w:rFonts w:ascii="Arial" w:cs="Arial" w:eastAsia="Arial" w:hAnsi="Arial"/>
          <w:sz w:val="15"/>
          <w:szCs w:val="15"/>
          <w:color w:val="auto"/>
        </w:rPr>
        <w:t>In April 2017, A.M. Best upgraded the financial strength rating of KICO to A- (Excellent) from B++ (Good). Financial strength ratings are important factors in establishing the competitive position of insurance companies and generally have an effect on an insurance company's business. Many insurance buyers, agents, brokers and secured lenders use the ratings assigned by A.M. Best and other agencies to assist them in assessing the financial strength and overall quality of the companies with which they do business or from which they are considering purchasing insurance or in determining the financial strength of the company that provides insurance with respect to the collateral they hold. A.M. Best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On an ongoing basis, rating agencies such as A.M. Best review the financial performance and condition of insurers and can downgrade or change the outlook on an insurer's ratings due to, for example, a change in an insurer's statutory capital, a reduced confidence in management or a host of other considerations that may or may not be under the insurer's control. All ratings are subject to continuous review; therefore, the retention of these ratings cannot be assured. A downgrade in our financial strength rating from A.M. Best could have a material adverse effect on our competitiveness, the marketability of our product offerings and our ability to grow in the marketplace.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Adverse capital and credit market conditions may significantly affect our ability to meet liquidity needs or our ability to obtain credit on acceptable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w:t>
      </w:r>
    </w:p>
    <w:p>
      <w:pPr>
        <w:spacing w:after="0" w:line="21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capital and credit markets can experience periods of volatility and disruption. In some cases, markets have exerted downward pressure on the availability of liquidity and credit capacity. In the event that we need access to additional capital to support our operating expenses, make payments on our outstanding and any future indebtedness, pay for capital expenditures, or increase the amount of insurance that we seek to underwrite or to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 which may adversely affect our results of operations, financial condition and liquidity, and our net investment income can vary from period to period.</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spacing w:after="0" w:line="19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spacing w:after="0" w:line="197"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b w:val="1"/>
          <w:bCs w:val="1"/>
          <w:i w:val="1"/>
          <w:iCs w:val="1"/>
          <w:color w:val="auto"/>
        </w:rPr>
        <w:t>Reinsurance may be unavailable at current levels and prices, which may limit our ability to write new business or maintain our financial strength rating from A.M. Best.</w:t>
      </w:r>
    </w:p>
    <w:p>
      <w:pPr>
        <w:spacing w:after="0" w:line="18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 Our ability to maintain our financial strength rating from A.M. Best depends, in part, on our ability to purchase a sufficient level of catastrophe reinsurance.</w:t>
      </w: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30" w:right="3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660" w:firstLine="648"/>
        <w:spacing w:after="0" w:line="268" w:lineRule="auto"/>
        <w:rPr>
          <w:sz w:val="20"/>
          <w:szCs w:val="20"/>
          <w:color w:val="auto"/>
        </w:rPr>
      </w:pPr>
      <w:r>
        <w:rPr>
          <w:rFonts w:ascii="Arial" w:cs="Arial" w:eastAsia="Arial" w:hAnsi="Arial"/>
          <w:sz w:val="18"/>
          <w:szCs w:val="18"/>
          <w:b w:val="1"/>
          <w:bCs w:val="1"/>
          <w:i w:val="1"/>
          <w:iCs w:val="1"/>
          <w:color w:val="auto"/>
        </w:rPr>
        <w:t>Reinsurance subjects us to the credit risk of our reinsurers, which may have a material adverse effect on our operating results and financial condition.</w:t>
      </w:r>
    </w:p>
    <w:p>
      <w:pPr>
        <w:spacing w:after="0" w:line="186"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spacing w:after="0" w:line="167"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b w:val="1"/>
          <w:bCs w:val="1"/>
          <w:i w:val="1"/>
          <w:iCs w:val="1"/>
          <w:color w:val="auto"/>
        </w:rPr>
        <w:t>Applicable insurance laws regarding the change of control of our company may impede potential acquisitions that our shareholders might consider to be desirable.</w:t>
      </w:r>
    </w:p>
    <w:p>
      <w:pPr>
        <w:spacing w:after="0" w:line="18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shareholders might consider such transactions to be desirable. Similar regulations may apply in other states in which we may operate.</w:t>
      </w:r>
    </w:p>
    <w:p>
      <w:pPr>
        <w:spacing w:after="0" w:line="224" w:lineRule="exact"/>
        <w:rPr>
          <w:sz w:val="20"/>
          <w:szCs w:val="20"/>
          <w:color w:val="auto"/>
        </w:rPr>
      </w:pPr>
    </w:p>
    <w:p>
      <w:pPr>
        <w:ind w:right="480" w:firstLine="648"/>
        <w:spacing w:after="0" w:line="332" w:lineRule="auto"/>
        <w:rPr>
          <w:sz w:val="20"/>
          <w:szCs w:val="20"/>
          <w:color w:val="auto"/>
        </w:rPr>
      </w:pPr>
      <w:r>
        <w:rPr>
          <w:rFonts w:ascii="Arial" w:cs="Arial" w:eastAsia="Arial" w:hAnsi="Arial"/>
          <w:sz w:val="16"/>
          <w:szCs w:val="16"/>
          <w:b w:val="1"/>
          <w:bCs w:val="1"/>
          <w:i w:val="1"/>
          <w:iCs w:val="1"/>
          <w:color w:val="auto"/>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spacing w:after="0" w:line="13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spacing w:after="0" w:line="17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absent any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spacing w:after="0" w:line="197" w:lineRule="exact"/>
        <w:rPr>
          <w:sz w:val="20"/>
          <w:szCs w:val="20"/>
          <w:color w:val="auto"/>
        </w:rPr>
      </w:pPr>
    </w:p>
    <w:p>
      <w:pPr>
        <w:ind w:right="40" w:firstLine="692"/>
        <w:spacing w:after="0" w:line="268" w:lineRule="auto"/>
        <w:rPr>
          <w:sz w:val="20"/>
          <w:szCs w:val="20"/>
          <w:color w:val="auto"/>
        </w:rPr>
      </w:pPr>
      <w:r>
        <w:rPr>
          <w:rFonts w:ascii="Arial" w:cs="Arial" w:eastAsia="Arial" w:hAnsi="Arial"/>
          <w:sz w:val="18"/>
          <w:szCs w:val="18"/>
          <w:b w:val="1"/>
          <w:bCs w:val="1"/>
          <w:i w:val="1"/>
          <w:iCs w:val="1"/>
          <w:color w:val="auto"/>
        </w:rPr>
        <w:t>We may not be able to maintain the requisite amount of risk-based capital, which may adversely affect our profitability and our ability to compete in the property and casualty insurance markets.</w:t>
      </w:r>
    </w:p>
    <w:p>
      <w:pPr>
        <w:spacing w:after="0" w:line="186"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 capital falls below certain thresholds, we may face restrictions with respect to soliciting new business and/or keeping existing business. Similar regulations apply in other states in which we may operate.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Changing climate conditions may adversely affect our financial condition, profitability or cash flows.</w:t>
      </w:r>
    </w:p>
    <w:p>
      <w:pPr>
        <w:spacing w:after="0" w:line="225" w:lineRule="exact"/>
        <w:rPr>
          <w:sz w:val="20"/>
          <w:szCs w:val="20"/>
          <w:color w:val="auto"/>
        </w:rPr>
      </w:pPr>
    </w:p>
    <w:p>
      <w:pPr>
        <w:ind w:right="140" w:firstLine="648"/>
        <w:spacing w:after="0" w:line="332" w:lineRule="auto"/>
        <w:rPr>
          <w:sz w:val="20"/>
          <w:szCs w:val="20"/>
          <w:color w:val="auto"/>
        </w:rPr>
      </w:pPr>
      <w:r>
        <w:rPr>
          <w:rFonts w:ascii="Arial" w:cs="Arial" w:eastAsia="Arial" w:hAnsi="Arial"/>
          <w:sz w:val="16"/>
          <w:szCs w:val="16"/>
          <w:color w:val="auto"/>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Our operating results and financial condition may be adversely affected by the cyclical nature of the property and casualty business.</w:t>
      </w:r>
    </w:p>
    <w:p>
      <w:pPr>
        <w:spacing w:after="0" w:line="24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spacing w:after="0" w:line="197"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b w:val="1"/>
          <w:bCs w:val="1"/>
          <w:i w:val="1"/>
          <w:iCs w:val="1"/>
          <w:color w:val="auto"/>
        </w:rPr>
        <w:t>Because substantially all of our revenue is currently derived from sources located in New York, our business may be adversely affected by conditions in such state.</w:t>
      </w:r>
    </w:p>
    <w:p>
      <w:pPr>
        <w:spacing w:after="0" w:line="186"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Substantially all of our revenue is currently derived from sources located in the state of New York and, accordingly, is affected by the prevailing regulatory, economic, demographic, competitive and other conditions in the state. Changes in any of these conditions could make it more costly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are highly dependent on a small number of insurance brokers for a large portion of our revenues.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market our insurance products primarily through insurance brokers. A large percentage of our gross premiums written are sourced through a limited number of brokers. There are 20 brokers, which provided a total of 36.5% of our gross premiums written for the year ended December 31, 2017.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Actual claims incurred may exceed current reserves established for claims, which may adversely affect our operating results and financial condition</w:t>
      </w:r>
      <w:r>
        <w:rPr>
          <w:rFonts w:ascii="Arial" w:cs="Arial" w:eastAsia="Arial" w:hAnsi="Arial"/>
          <w:sz w:val="15"/>
          <w:szCs w:val="15"/>
          <w:i w:val="1"/>
          <w:iCs w:val="1"/>
          <w:color w:val="auto"/>
        </w:rPr>
        <w:t>.</w:t>
      </w:r>
    </w:p>
    <w:p>
      <w:pPr>
        <w:spacing w:after="0" w:line="26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As a holding company, we are dependent on the results of operations of our subsidiary, KICO; there are restrictions on the payment of dividends 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KICO.</w:t>
      </w:r>
    </w:p>
    <w:p>
      <w:pPr>
        <w:spacing w:after="0" w:line="219"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(including $30,000,000 in aggregate principal amount of 5.5% Senior Unsecured Notes due December 30, 2022 (the “Notes’)), pay expenses and pay cash dividends to our shareholders.</w:t>
      </w:r>
    </w:p>
    <w:p>
      <w:pPr>
        <w:spacing w:after="0" w:line="19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State insurance laws limit the ability of KICO to pay dividends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As of December 31, 2017, the maximum permissible distribution that KICO could pay without prior regulatory approval was approximately $3,324,000. The aggregate maximum amount of dividends permitted by law to be paid by an insurance company does not necessarily define an insurance company’s actual ability to pay dividends. The actual ability to pay dividends may be further constrained by business and regulatory considerations, such as the impact of dividends on surplus, by our competitive position and by the amount of premiums that we can write. State insurance regulators have broad discretion to limit the payment of dividends by insurance companies. Our ability to pay interest on the Notes as it comes due and the principal of the Notes at their maturity may be limited by these regulatory constraints.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the Notes.</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available to us sufficient to permit us to pay the principal, premium, if any, and interest on our indebtedness, including the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future results are dependent in part on our ability to successfully operate in an insurance industry that is highly competitive.</w:t>
      </w:r>
    </w:p>
    <w:p>
      <w:pPr>
        <w:spacing w:after="0" w:line="248"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color w:val="auto"/>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we lose key personnel or are unable to recruit qualified personnel, our ability to implement our business strategies could be delayed or hindered.</w:t>
      </w:r>
    </w:p>
    <w:p>
      <w:pPr>
        <w:spacing w:after="0" w:line="26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future success will depend, in part, upon the efforts of Barry Goldstein, our President and Chief Executive Officer, and Benjamin Walden, Executive Vice President and Chief Actuary of KICO. The loss of Mr. Goldstein, Mr. Walden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then prevailing in the market for qualified personnel. Mr. Goldstein is a party to an employment agreement with us that expires on December 31, 2019. Mr. Walden is not a party to an employment agreement with KICO.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Difficult conditions in the economy generally could adversely affect our business and operating results.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lower levels of insurance.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b w:val="1"/>
          <w:bCs w:val="1"/>
          <w:i w:val="1"/>
          <w:iCs w:val="1"/>
          <w:color w:val="auto"/>
        </w:rPr>
        <w:t>Changes in accounting standards issued by the Financial Accounting Standards Board or other standard-setting bodies may adversely affect our reported results of operations and financial condition.</w:t>
      </w:r>
    </w:p>
    <w:p>
      <w:pPr>
        <w:spacing w:after="0" w:line="18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Our business could be adversely affected by a security breach or other attack involving our computer systems or those of one or more of our vendors.</w:t>
      </w:r>
    </w:p>
    <w:p>
      <w:pPr>
        <w:spacing w:after="0" w:line="27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spacing w:after="0" w:line="197"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spacing w:after="0" w:line="19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steal, corrupt, or destroy data, including our intellectual property, financial data or the personal information of our customers or employees</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misappropriate funds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 or shut down our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deny customers, agents, brokers, or others access to our systems,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infect our systems with viruses or malware.</w:t>
      </w:r>
    </w:p>
    <w:p>
      <w:pPr>
        <w:spacing w:after="0" w:line="21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spacing w:after="0" w:line="174"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b w:val="1"/>
          <w:bCs w:val="1"/>
          <w:i w:val="1"/>
          <w:iCs w:val="1"/>
          <w:color w:val="auto"/>
        </w:rPr>
        <w:t>We rely on our information technology and telecommunication systems, and the failure of these systems could materially and adversely affect our business.</w:t>
      </w:r>
    </w:p>
    <w:p>
      <w:pPr>
        <w:spacing w:after="0" w:line="186" w:lineRule="exact"/>
        <w:rPr>
          <w:sz w:val="20"/>
          <w:szCs w:val="20"/>
          <w:color w:val="auto"/>
        </w:rPr>
      </w:pPr>
    </w:p>
    <w:p>
      <w:pPr>
        <w:jc w:val="both"/>
        <w:ind w:right="20" w:firstLine="648"/>
        <w:spacing w:after="0" w:line="370" w:lineRule="auto"/>
        <w:rPr>
          <w:sz w:val="20"/>
          <w:szCs w:val="20"/>
          <w:color w:val="auto"/>
        </w:rPr>
      </w:pPr>
      <w:r>
        <w:rPr>
          <w:rFonts w:ascii="Arial" w:cs="Arial" w:eastAsia="Arial" w:hAnsi="Arial"/>
          <w:sz w:val="15"/>
          <w:szCs w:val="15"/>
          <w:color w:val="auto"/>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being an SEC reporting company.</w:t>
      </w:r>
    </w:p>
    <w:p>
      <w:pPr>
        <w:spacing w:after="0" w:line="2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The Sarbanes-Oxley Act of 2002, as well as a variety of related rules implemented by the SEC, have required changes in corporate governance practices and generally increased the disclosure requirements of public companies. As a reporting company, we incur significant legal, accounting and other expenses in connection with our public disclosure and other obligations. Based upon SEC regulations currently in effect, we are required to establish, evaluate and report on our internal control over financial reporting. We believe that compliance with the myriad of rules and regulations applicable to reporting companies and related compliance issues will require a significant amount of time and attention from our management.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Risks Related to Our Common Stock</w:t>
      </w:r>
    </w:p>
    <w:p>
      <w:pPr>
        <w:spacing w:after="0" w:line="225"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b w:val="1"/>
          <w:bCs w:val="1"/>
          <w:i w:val="1"/>
          <w:iCs w:val="1"/>
          <w:color w:val="auto"/>
        </w:rPr>
        <w:t>Our stock price may fluctuate significantly and be highly volatile and this may make it difficult for shareholders to resell shares of our common stock at the volume, prices and times they find attractive.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could be subject to significant fluctuations and be highly volatile, which may make it difficult for shareholders to resell shares of our common stock at the volume, prices and times they find attractive. There are many factors that will impact our stock price and trading volume, including, but not limited to, the factors listed above under “Risks Related to Our Business.”</w:t>
      </w:r>
    </w:p>
    <w:p>
      <w:pPr>
        <w:spacing w:after="0" w:line="194" w:lineRule="exact"/>
        <w:rPr>
          <w:sz w:val="20"/>
          <w:szCs w:val="20"/>
          <w:color w:val="auto"/>
        </w:rPr>
      </w:pPr>
    </w:p>
    <w:p>
      <w:pPr>
        <w:jc w:val="both"/>
        <w:ind w:right="80" w:firstLine="648"/>
        <w:spacing w:after="0" w:line="306" w:lineRule="auto"/>
        <w:rPr>
          <w:sz w:val="20"/>
          <w:szCs w:val="20"/>
          <w:color w:val="auto"/>
        </w:rPr>
      </w:pPr>
      <w:r>
        <w:rPr>
          <w:rFonts w:ascii="Arial" w:cs="Arial" w:eastAsia="Arial" w:hAnsi="Arial"/>
          <w:sz w:val="16"/>
          <w:szCs w:val="16"/>
          <w:color w:val="auto"/>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p>
    <w:p>
      <w:pPr>
        <w:spacing w:after="0" w:line="161"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b w:val="1"/>
          <w:bCs w:val="1"/>
          <w:i w:val="1"/>
          <w:iCs w:val="1"/>
          <w:color w:val="auto"/>
        </w:rPr>
        <w:t>The trading volume in our common stock has been limited. As a result, shareholders may not experience liquidity in their investment in our common stock, thereby potentially limiting their ability to resell their shares at the volume, times and prices they find attractive.</w:t>
      </w:r>
    </w:p>
    <w:p>
      <w:pPr>
        <w:spacing w:after="0" w:line="13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Our common stock is currently traded on The NASDAQ Capital Market.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shareholders have reduced liquidity and may not be able to sell their shares at the volume, prices and times that they desire.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There may be future issuances or resales of our common stock which may materially and adversely affect the market price of our common stock.</w:t>
      </w:r>
    </w:p>
    <w:p>
      <w:pPr>
        <w:spacing w:after="0" w:line="26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shareholders.</w:t>
      </w:r>
    </w:p>
    <w:p>
      <w:pPr>
        <w:spacing w:after="0" w:line="22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have an effective registration on Form S-3 under the Securities Act registering for resale 595,238 shares of our common stock and effective registration statements on Form S-8 under the Securities Act registering an aggregate of 700,000 shares of our common stock issuable under our 2005 Equity Participation Plan and an aggregate of 700,000 shares of our common stock issuable under our 2014 Equity Participation Plan. Options to purchase 163,150 shares of our common stock are outstanding under the 2005 plan. Options to purchase 90,000 shares of our common stock are outstanding under the 2014 plan and 550,352 shares are reserved for issuance thereunder. We have also registered up to $39,290,000 of our securities pursuant to registration statements on Form S-3, which we may sell from time to time in one or more offerings. The shares subject to the registration statements on Form S-3 will be freely tradeable in the public market. In addition, the shares issuable pursuant to the registration statements on Form S-8 will be freely tradable in the public market, except for shares held by affiliates.</w:t>
      </w:r>
    </w:p>
    <w:p>
      <w:pPr>
        <w:spacing w:after="0" w:line="172" w:lineRule="exact"/>
        <w:rPr>
          <w:sz w:val="20"/>
          <w:szCs w:val="20"/>
          <w:color w:val="auto"/>
        </w:rPr>
      </w:pPr>
    </w:p>
    <w:p>
      <w:pPr>
        <w:ind w:right="140" w:firstLine="41"/>
        <w:spacing w:after="0" w:line="294" w:lineRule="auto"/>
        <w:rPr>
          <w:sz w:val="20"/>
          <w:szCs w:val="20"/>
          <w:color w:val="auto"/>
        </w:rPr>
      </w:pPr>
      <w:r>
        <w:rPr>
          <w:rFonts w:ascii="Arial" w:cs="Arial" w:eastAsia="Arial" w:hAnsi="Arial"/>
          <w:sz w:val="16"/>
          <w:szCs w:val="16"/>
          <w:color w:val="auto"/>
        </w:rPr>
        <w:t>The sale of a substantial number of shares of our common stock or securities convertible into, or exchangeable or exercisable for, shares of our common stock, whether directly by us or selling shareholders in future offerings or by our existing shareholders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spacing w:after="0" w:line="170"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In addition, our board of directors is authorized to designate and issue preferred stock without further shareholder approval, and we may issue other equity and equity-related securities that are senior to our common stock in the future for a number of reasons, including, without limitation, to support operations and growth, to maintain our capital ratios, and to comply with any future changes in regulatory standards.</w:t>
      </w:r>
    </w:p>
    <w:p>
      <w:pPr>
        <w:spacing w:after="0" w:line="161"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b w:val="1"/>
          <w:bCs w:val="1"/>
          <w:i w:val="1"/>
          <w:iCs w:val="1"/>
          <w:color w:val="auto"/>
        </w:rPr>
        <w:t>Our executive officers and directors own a substantial number of shares of our common stock. This will enable them to significantly influence the vote on all matters submitted to a vote of our shareholders.</w:t>
      </w:r>
    </w:p>
    <w:p>
      <w:pPr>
        <w:spacing w:after="0" w:line="18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March 12, 2018, our executive officers and directors beneficially owned 1,078,051 shares of our common stock (including options to purchase 193,500 shares of our common stock and 1,390 shares of our common stock issuable upon the vesting of restricted stock within 60 days), representing 9.9% of the outstanding shares of our common stock.</w:t>
      </w:r>
    </w:p>
    <w:p>
      <w:pPr>
        <w:spacing w:after="0" w:line="1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Accordingly, our executive officers and directors, through their beneficial ownership of our common stock, will be able to significantly influence the vote on all matters submitted to a vote of our shareholders,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shareholders, and they could take actions that advance their own interests to the detriment of our other shareholders.</w:t>
      </w:r>
    </w:p>
    <w:p>
      <w:pPr>
        <w:spacing w:after="0" w:line="197"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b w:val="1"/>
          <w:bCs w:val="1"/>
          <w:i w:val="1"/>
          <w:iCs w:val="1"/>
          <w:color w:val="auto"/>
        </w:rPr>
        <w:t>Anti-takeover provisions and the regulations to which we may be subject may make it more difficult for a third party to acquire control of us, even if the change in control would be beneficial to our shareholders.</w:t>
      </w:r>
    </w:p>
    <w:p>
      <w:pPr>
        <w:spacing w:after="0" w:line="18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shareholders from receiving a premium for their shares of common stock. Our certificate of incorporation provides that our board of directors may issue up to 2,500,000 shares of preferred stock, in one or more series, without shareholder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shareholders.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0" w:right="29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 to first year accelerated filers.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r>
        <w:rPr>
          <w:rFonts w:ascii="Arial" w:cs="Arial" w:eastAsia="Arial" w:hAnsi="Arial"/>
          <w:sz w:val="18"/>
          <w:szCs w:val="18"/>
          <w:color w:val="auto"/>
        </w:rPr>
        <w:t>.</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financial statements required by this Item 8 are included in this Annual Report following Item 16 hereof. As a first year accelerated filer, we are not required to provide supplementary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maintain a system of disclosure controls and procedures (as defined in Rule 13a-15(e) under the Securities Exchange Act of 1934, as amended (the “Exchange Act”))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the end of such period, our disclosure controls and procedures are: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30" w:right="31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2" w:lineRule="exact"/>
        <w:rPr>
          <w:sz w:val="20"/>
          <w:szCs w:val="20"/>
          <w:color w:val="auto"/>
        </w:rPr>
      </w:pPr>
    </w:p>
    <w:p>
      <w:pPr>
        <w:ind w:firstLine="69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94" w:lineRule="exact"/>
        <w:rPr>
          <w:sz w:val="20"/>
          <w:szCs w:val="20"/>
          <w:color w:val="auto"/>
        </w:rPr>
      </w:pPr>
    </w:p>
    <w:p>
      <w:pPr>
        <w:ind w:firstLine="692"/>
        <w:spacing w:after="0" w:line="290" w:lineRule="auto"/>
        <w:rPr>
          <w:sz w:val="20"/>
          <w:szCs w:val="20"/>
          <w:color w:val="auto"/>
        </w:rPr>
      </w:pPr>
      <w:r>
        <w:rPr>
          <w:rFonts w:ascii="Arial" w:cs="Arial" w:eastAsia="Arial" w:hAnsi="Arial"/>
          <w:sz w:val="16"/>
          <w:szCs w:val="16"/>
          <w:color w:val="auto"/>
        </w:rPr>
        <w:t xml:space="preserve">Management conducted an evaluation of the effectiveness of our internal control over financial reporting as of December 31, 2017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the evaluation of the effectiveness of our internal control over financial reporting management concluded that our internal control over financial reporting was effective as of December 31, 2017. The independent registered public accounting firm of the Company also reported on the effectiveness of the Company’s internal control over financial reporting as of December 31, 2017. Management’s report and the independent registered public accounting firm’s report are included under Item 8 of this Report under the captions entitled “Management’s Report on Internal Control Over Financial Reporting” and “Report of Independent Registered Public Accounting Firm.”</w:t>
      </w:r>
    </w:p>
    <w:p>
      <w:pPr>
        <w:spacing w:after="0" w:line="17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 of the Independent Registered Public Accounting Firm</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ON INTERNAL CONTROL OVER FINANCIAL REPORTING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Kingstone Companies, Inc.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audited Kingstone Companies, Inc. and Subsidiaries’ (the “Company”)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balance sheets as of December 31, 2017 and 2016 and the related consolidated statements of income and comprehensive income, stockholders’ equity, and cash flows for the years then ended of the Company and our report dated March 15, 2018 expressed an unqualified opinion on those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279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positions and offices presently held by each of our current directors and executive officers and their 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1440" w:type="dxa"/>
            <w:vAlign w:val="bottom"/>
          </w:tcPr>
          <w:p>
            <w:pPr>
              <w:jc w:val="center"/>
              <w:ind w:left="674"/>
              <w:spacing w:after="0"/>
              <w:rPr>
                <w:sz w:val="20"/>
                <w:szCs w:val="20"/>
                <w:color w:val="auto"/>
              </w:rPr>
            </w:pPr>
            <w:r>
              <w:rPr>
                <w:rFonts w:ascii="Arial" w:cs="Arial" w:eastAsia="Arial" w:hAnsi="Arial"/>
                <w:sz w:val="15"/>
                <w:szCs w:val="15"/>
                <w:b w:val="1"/>
                <w:bCs w:val="1"/>
                <w:color w:val="auto"/>
                <w:w w:val="84"/>
              </w:rPr>
              <w:t>Age</w:t>
            </w:r>
          </w:p>
        </w:tc>
        <w:tc>
          <w:tcPr>
            <w:tcW w:w="7640" w:type="dxa"/>
            <w:vAlign w:val="bottom"/>
          </w:tcPr>
          <w:p>
            <w:pPr>
              <w:ind w:left="220"/>
              <w:spacing w:after="0"/>
              <w:rPr>
                <w:sz w:val="20"/>
                <w:szCs w:val="20"/>
                <w:color w:val="auto"/>
              </w:rPr>
            </w:pPr>
            <w:r>
              <w:rPr>
                <w:rFonts w:ascii="Arial" w:cs="Arial" w:eastAsia="Arial" w:hAnsi="Arial"/>
                <w:sz w:val="15"/>
                <w:szCs w:val="15"/>
                <w:b w:val="1"/>
                <w:bCs w:val="1"/>
                <w:color w:val="auto"/>
              </w:rPr>
              <w:t>Positions and Offices Held</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440" w:type="dxa"/>
            <w:vAlign w:val="bottom"/>
            <w:tcBorders>
              <w:bottom w:val="single" w:sz="8" w:color="CCEEFF"/>
            </w:tcBorders>
            <w:shd w:val="clear" w:color="auto" w:fill="CCEEFF"/>
          </w:tcPr>
          <w:p>
            <w:pPr>
              <w:jc w:val="center"/>
              <w:ind w:left="694"/>
              <w:spacing w:after="0"/>
              <w:rPr>
                <w:sz w:val="20"/>
                <w:szCs w:val="20"/>
                <w:color w:val="auto"/>
              </w:rPr>
            </w:pPr>
            <w:r>
              <w:rPr>
                <w:rFonts w:ascii="Arial" w:cs="Arial" w:eastAsia="Arial" w:hAnsi="Arial"/>
                <w:sz w:val="18"/>
                <w:szCs w:val="18"/>
                <w:color w:val="auto"/>
                <w:w w:val="89"/>
              </w:rPr>
              <w:t>64</w:t>
            </w:r>
          </w:p>
        </w:tc>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President, Chairman of the Board, Chief Executive Officer and 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Dale A. Thatcher</w:t>
            </w:r>
          </w:p>
        </w:tc>
        <w:tc>
          <w:tcPr>
            <w:tcW w:w="1440" w:type="dxa"/>
            <w:vAlign w:val="bottom"/>
          </w:tcPr>
          <w:p>
            <w:pPr>
              <w:jc w:val="center"/>
              <w:ind w:left="694"/>
              <w:spacing w:after="0"/>
              <w:rPr>
                <w:sz w:val="20"/>
                <w:szCs w:val="20"/>
                <w:color w:val="auto"/>
              </w:rPr>
            </w:pPr>
            <w:r>
              <w:rPr>
                <w:rFonts w:ascii="Arial" w:cs="Arial" w:eastAsia="Arial" w:hAnsi="Arial"/>
                <w:sz w:val="18"/>
                <w:szCs w:val="18"/>
                <w:color w:val="auto"/>
                <w:w w:val="89"/>
              </w:rPr>
              <w:t>56</w:t>
            </w:r>
          </w:p>
        </w:tc>
        <w:tc>
          <w:tcPr>
            <w:tcW w:w="7640" w:type="dxa"/>
            <w:vAlign w:val="bottom"/>
          </w:tcPr>
          <w:p>
            <w:pPr>
              <w:ind w:left="220"/>
              <w:spacing w:after="0"/>
              <w:rPr>
                <w:sz w:val="20"/>
                <w:szCs w:val="20"/>
                <w:color w:val="auto"/>
              </w:rPr>
            </w:pPr>
            <w:r>
              <w:rPr>
                <w:rFonts w:ascii="Arial" w:cs="Arial" w:eastAsia="Arial" w:hAnsi="Arial"/>
                <w:sz w:val="18"/>
                <w:szCs w:val="18"/>
                <w:color w:val="auto"/>
              </w:rPr>
              <w:t>Chief Operating Officer and Director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1440" w:type="dxa"/>
            <w:vAlign w:val="bottom"/>
            <w:tcBorders>
              <w:bottom w:val="single" w:sz="8" w:color="CCEEFF"/>
            </w:tcBorders>
            <w:shd w:val="clear" w:color="auto" w:fill="CCEEFF"/>
          </w:tcPr>
          <w:p>
            <w:pPr>
              <w:jc w:val="center"/>
              <w:ind w:left="694"/>
              <w:spacing w:after="0"/>
              <w:rPr>
                <w:sz w:val="20"/>
                <w:szCs w:val="20"/>
                <w:color w:val="auto"/>
              </w:rPr>
            </w:pPr>
            <w:r>
              <w:rPr>
                <w:rFonts w:ascii="Arial" w:cs="Arial" w:eastAsia="Arial" w:hAnsi="Arial"/>
                <w:sz w:val="18"/>
                <w:szCs w:val="18"/>
                <w:color w:val="auto"/>
                <w:w w:val="89"/>
              </w:rPr>
              <w:t>60</w:t>
            </w:r>
          </w:p>
        </w:tc>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Benjamin Walden</w:t>
            </w:r>
          </w:p>
        </w:tc>
        <w:tc>
          <w:tcPr>
            <w:tcW w:w="1440" w:type="dxa"/>
            <w:vAlign w:val="bottom"/>
          </w:tcPr>
          <w:p>
            <w:pPr>
              <w:jc w:val="center"/>
              <w:ind w:left="694"/>
              <w:spacing w:after="0"/>
              <w:rPr>
                <w:sz w:val="20"/>
                <w:szCs w:val="20"/>
                <w:color w:val="auto"/>
              </w:rPr>
            </w:pPr>
            <w:r>
              <w:rPr>
                <w:rFonts w:ascii="Arial" w:cs="Arial" w:eastAsia="Arial" w:hAnsi="Arial"/>
                <w:sz w:val="18"/>
                <w:szCs w:val="18"/>
                <w:color w:val="auto"/>
                <w:w w:val="89"/>
              </w:rPr>
              <w:t>50</w:t>
            </w:r>
          </w:p>
        </w:tc>
        <w:tc>
          <w:tcPr>
            <w:tcW w:w="7640" w:type="dxa"/>
            <w:vAlign w:val="bottom"/>
          </w:tcPr>
          <w:p>
            <w:pPr>
              <w:ind w:left="220"/>
              <w:spacing w:after="0"/>
              <w:rPr>
                <w:sz w:val="20"/>
                <w:szCs w:val="20"/>
                <w:color w:val="auto"/>
              </w:rPr>
            </w:pPr>
            <w:r>
              <w:rPr>
                <w:rFonts w:ascii="Arial" w:cs="Arial" w:eastAsia="Arial" w:hAnsi="Arial"/>
                <w:sz w:val="18"/>
                <w:szCs w:val="18"/>
                <w:color w:val="auto"/>
              </w:rPr>
              <w:t>Executive Vice President and Chief Actuary, Kingstone Insurance Company</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1440" w:type="dxa"/>
            <w:vAlign w:val="bottom"/>
            <w:tcBorders>
              <w:bottom w:val="single" w:sz="8" w:color="CCEEFF"/>
            </w:tcBorders>
            <w:shd w:val="clear" w:color="auto" w:fill="CCEEFF"/>
          </w:tcPr>
          <w:p>
            <w:pPr>
              <w:jc w:val="center"/>
              <w:ind w:left="694"/>
              <w:spacing w:after="0"/>
              <w:rPr>
                <w:sz w:val="20"/>
                <w:szCs w:val="20"/>
                <w:color w:val="auto"/>
              </w:rPr>
            </w:pPr>
            <w:r>
              <w:rPr>
                <w:rFonts w:ascii="Arial" w:cs="Arial" w:eastAsia="Arial" w:hAnsi="Arial"/>
                <w:sz w:val="18"/>
                <w:szCs w:val="18"/>
                <w:color w:val="auto"/>
                <w:w w:val="89"/>
              </w:rPr>
              <w:t>63</w:t>
            </w:r>
          </w:p>
        </w:tc>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Secretary and 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Jay M. Haft</w:t>
            </w:r>
          </w:p>
        </w:tc>
        <w:tc>
          <w:tcPr>
            <w:tcW w:w="1440" w:type="dxa"/>
            <w:vAlign w:val="bottom"/>
          </w:tcPr>
          <w:p>
            <w:pPr>
              <w:jc w:val="center"/>
              <w:ind w:left="694"/>
              <w:spacing w:after="0"/>
              <w:rPr>
                <w:sz w:val="20"/>
                <w:szCs w:val="20"/>
                <w:color w:val="auto"/>
              </w:rPr>
            </w:pPr>
            <w:r>
              <w:rPr>
                <w:rFonts w:ascii="Arial" w:cs="Arial" w:eastAsia="Arial" w:hAnsi="Arial"/>
                <w:sz w:val="18"/>
                <w:szCs w:val="18"/>
                <w:color w:val="auto"/>
                <w:w w:val="89"/>
              </w:rPr>
              <w:t>82</w:t>
            </w:r>
          </w:p>
        </w:tc>
        <w:tc>
          <w:tcPr>
            <w:tcW w:w="76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1440" w:type="dxa"/>
            <w:vAlign w:val="bottom"/>
            <w:tcBorders>
              <w:bottom w:val="single" w:sz="8" w:color="CCEEFF"/>
            </w:tcBorders>
            <w:shd w:val="clear" w:color="auto" w:fill="CCEEFF"/>
          </w:tcPr>
          <w:p>
            <w:pPr>
              <w:jc w:val="center"/>
              <w:ind w:left="694"/>
              <w:spacing w:after="0"/>
              <w:rPr>
                <w:sz w:val="20"/>
                <w:szCs w:val="20"/>
                <w:color w:val="auto"/>
              </w:rPr>
            </w:pPr>
            <w:r>
              <w:rPr>
                <w:rFonts w:ascii="Arial" w:cs="Arial" w:eastAsia="Arial" w:hAnsi="Arial"/>
                <w:sz w:val="18"/>
                <w:szCs w:val="18"/>
                <w:color w:val="auto"/>
                <w:w w:val="89"/>
              </w:rPr>
              <w:t>58</w:t>
            </w:r>
          </w:p>
        </w:tc>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Carla A. D’Andre</w:t>
            </w:r>
          </w:p>
        </w:tc>
        <w:tc>
          <w:tcPr>
            <w:tcW w:w="1440" w:type="dxa"/>
            <w:vAlign w:val="bottom"/>
          </w:tcPr>
          <w:p>
            <w:pPr>
              <w:jc w:val="center"/>
              <w:ind w:left="694"/>
              <w:spacing w:after="0"/>
              <w:rPr>
                <w:sz w:val="20"/>
                <w:szCs w:val="20"/>
                <w:color w:val="auto"/>
              </w:rPr>
            </w:pPr>
            <w:r>
              <w:rPr>
                <w:rFonts w:ascii="Arial" w:cs="Arial" w:eastAsia="Arial" w:hAnsi="Arial"/>
                <w:sz w:val="18"/>
                <w:szCs w:val="18"/>
                <w:color w:val="auto"/>
                <w:w w:val="89"/>
              </w:rPr>
              <w:t>62</w:t>
            </w:r>
          </w:p>
        </w:tc>
        <w:tc>
          <w:tcPr>
            <w:tcW w:w="76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B. Goldstein</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Mr. Goldstein has served as our President, Chief Executive Officer, Chairman of the Board, and a director since March 2001. He served as our Chief Financial Officer from March 2001 to November 2007 and as our Treasurer from May 2001 to August 2013. Since January 2006, Mr. Goldstein has served as Chairman of the Board of Kingstone Insurance Company (“KICO”) (formerly known as Commercial Mutual Insurance Company), a New York property and casualty insurer, as well as Chairman of its Executive Committee. Mr. Goldstein has served as Chief Investment Officer of KICO since August 2008 and as its President and Chief Executive Officer since January 2012.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received his B.A.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Mr. Thatcher was elected our Chief Operating Officer and KICO’s President in March 2018. Mr. Thatcher is the founder of Atherstone Partners, a consulting practice in insurance and investments. Prior to starting Atherstone, Mr. Thatcher was Executive Vice President and Chief Financial Officer for Selective Insurance Group, Inc. and previously Chief Accounting Officer for the Ohio Casualty Group. He is a certified public accountant (inactive), a chartered property and casualty underwriter and a chartered life underwriter. Mr. Thatcher has served as one of our directors since August 2017 and currently serves as Co-Chair of our Finance Committee. He is an alumnus of the University of Cincinnati and Harvard University. We believe that Mr. Thatcher’s executive-level experience in the insurance industry gives him the qualifications and skills to serve as one of our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Victor J. Brodsky</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6"/>
          <w:szCs w:val="16"/>
          <w:color w:val="auto"/>
        </w:rPr>
        <w:t>Mr. Brodsky has served as our Chief Financial Officer since August 2009 and as our Treasurer since August 2013. He served as our Chief Accounting Officer from August 2007 through July 2009, as our Principal Financial Officer for Securities and Exchange Commission (“SEC”) reporting purposes from November 2007 through July 2009 and as our Secretary from December 2008 to August 2013. In addition, Mr. Brodsky has served as a director of KICO since February 2008, as Chief Financial Officer of KICO since September 2010 and as Executive Vice President of KICO since February 2017. He also served as Senior Vice President of KICO from January 2012 to February 2017 and as Treasurer of KICO from September 2010 through December 2011. Mr. Brodsky served from May 2008 through March 15, 2010 as Vice President of Financial Reporting and Principal Financial Officer for SEC reporting purposes of Vertical Branding Inc. Mr. Brodsky served as Chief Financial Officer of Vertical Branding from March 1998 through May 2008 and as a director of Vertical Branding from May 2002 through November 2005. He served as its Secretary from November 2005 through May 2008 and from April 2009 to March 15, 2010. A receiver was appointed for the business of Vertical Branding in February 2010. Prior to joining Vertical Branding, Mr. Brodsky spent 16 years at the CPA firm of Michael</w:t>
      </w:r>
    </w:p>
    <w:p>
      <w:pPr>
        <w:spacing w:after="0" w:line="5" w:lineRule="exact"/>
        <w:rPr>
          <w:sz w:val="20"/>
          <w:szCs w:val="20"/>
          <w:color w:val="auto"/>
        </w:rPr>
      </w:pPr>
    </w:p>
    <w:p>
      <w:pPr>
        <w:ind w:right="160" w:firstLine="8"/>
        <w:spacing w:after="0" w:line="261" w:lineRule="auto"/>
        <w:tabs>
          <w:tab w:leader="none" w:pos="1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Adest in New York. Mr. Brodsky earned a Bachelor of Business Administration degree from Hofstra University, with a major in accounting, and is a licensed CPA in New York.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Benjamin Walden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Mr. Walden has served as Executive Vice President of KICO since February 2017 and as Chief Actuary of KICO since December 2013. From January 2015 to February 2017, he served as Senior Vice President of KICO and from December 2013 to January 2015, he served as Vice President of KICO. From February 2010 to November 2013, Mr. Walden served as Chief Actuary for Interboro Insurance Company, a personal lines carrier. From July 2008 to February 2010, Mr. Walden was President of Assigned Risk Consulting, Inc., an independent actuarial consulting firm. From October 2001 to April 2009, he served as Vice President and Chief Actuary of AutoOne Insurance, an assigned risk automobile servicing carrier. Mr. Walden was also an actuarial consultant at Milliman, Inc., an independent provider of actuarial and consulting services, from January 1998 to October 2001. Mr. Walden has been a Fellow of the Casualty Actuarial Society since 1999 and holds a Bachelor of Science Degree in Mathematics from Villanova University.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Floyd R. Tupper</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has served as a director of KICO, and Chairman of its Audit Committee, since 2006. He also serves as a member of its Investment Committee.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since 2006 (including his service as Chairman of its Audit Committee), give him the qualifications and skills to serve as one of our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Jay M. Haft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Mr. Haft served for more than 15 years as a personal advisor to Victor Vekselberg, a Russian entrepreneur with considerable interests in oil, aluminum, utilities and other industries. Mr. Haft is a partner at Columbus Nova, the U.S.-based investment and operating arm of Mr. Vekselberg’s Renova Group of companies. Mr. Haft is also a strategic and financial consultant for growth stage companies. He is active in international corporate finance and mergers and acquisitions as well as in the representation of emerging growth companies. Mr. Haft has extensive experience in the Russian market, in which he has worked on growth strategies for companies looking to internationalize their business assets and enter international capital markets. He has been a founder, consultant and/or director of numerous public and private corporations, and served as Chairman of the Board of Dusa Pharmaceuticals, Inc. Mr. Haft serves on the Board of The Link of Times Foundation and The Mariinski Foundation and is an advisor to Montezemolo &amp; Partners. He has been instrumental in strategic planning and fundraising for a variety of Internet and high-tech, leading edge medical technology and marketing companies over the years. Mr. Haft served as counsel to Reed Smith, an international law firm. Mr. Haft is a past member of the Florida Commission for Government Accountability to the People, a past national trustee and Treasurer of the Miami City Ballet, and a past Board member of the Concert Association of Florida. He is also a past trustee of Florida International University Foundation and previously served on the advisory board of the Wolfsonian Museum and Florida International University Law School. Mr. Haft served as our Vice Chairman of the Board from February 1999 until March 2001. From October 1989 to February 1999, he served as our Chairman of the Board and he has served as one of our directors since 1989 (serving as Chariman of our Nominating and Corporate Governance Committee since 2010). Mr. Haft received B.A. and LL.B. degrees from Yale University. We believe that Mr. Haft’s corporate finance, business consultation, legal and executive-level experience, as well as his service on the Board of KICO since 2009, give him the qualifications and skills to serve as one of our directors.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L. Yankus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is a chartered financial analyst and a member of The CFA Institute and the American Institute of Financial Analysts. Mr. Yankus has served as one of our directors since March 2016 and Chairman of our Compensation Committee since April 2017.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Carla A. D’Andre</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including as Chair of The Institutes CPCU Society Risk Management Interest Group, Committee Director of The Institutes CPCU Reinsurance Interest Group, and a member of the Executive Advisory Council of St. John’s University School of Risk Management, Insurance and Actuarial Science. She has served as one of our directors since May 2017 and currently serves as Co-Chair of our Finance Committee. Ms. D’Andre has an M.B.A. from Pace University’s Lubin School of Business and a B.B.A.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0" w:right="29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and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of Office</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Each director will hold office until the next annual meeting of stockholders and until his successor is elected and qualified or until his earlier resignation or removal. Each executive officer will hold office until the initial meeting of the Board of Directors following the next annual meeting of stockholders and until his successor is elected and qualified or until his earlier resignation or removal.</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20" w:firstLine="648"/>
        <w:spacing w:after="0" w:line="268" w:lineRule="auto"/>
        <w:rPr>
          <w:sz w:val="20"/>
          <w:szCs w:val="20"/>
          <w:color w:val="auto"/>
        </w:rPr>
      </w:pPr>
      <w:r>
        <w:rPr>
          <w:rFonts w:ascii="Arial" w:cs="Arial" w:eastAsia="Arial" w:hAnsi="Arial"/>
          <w:sz w:val="18"/>
          <w:szCs w:val="18"/>
          <w:color w:val="auto"/>
        </w:rPr>
        <w:t>The Audit Committee of the Board of Directors is responsible for overseeing our accounting and financial reporting processes and the audits of our financial statements. The members of the Audit Committee are Messrs. Tupper, Haft and Yankus.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determined that Mr. Tupper is an “audit committee financial expert,” as that is defined in Item 407(d)(5) of Regulation S-K.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Tupper is an “independent director” based on the definition of independence in Listing Rule 5605(a)(2) of The NASDAQ Stock Market.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Section 16 of the Exchange Act requires that reports of beneficial ownership of common shares and changes in such ownership be filed with the Securities and Exchange Commission by Section 16 “reporting persons,” including directors, certain officers, holders of more than 10% of the outstanding common shares and certain trusts of which reporting persons are trustees. We are required to disclose in this Annual Report each reporting person whom we know to have failed to file any required reports under Section 16 on a timely basis during the fiscal year ended December 31, 2017. To our knowledge, based solely on a review of copies of Forms 3, 4 and 5 filed with the Securities and Exchange Commission and written representations that no other reports were required, during the fiscal year ended December 31, 2017, our officers, directors and 10% stockholders complied with all Section 16(a) filing requirements applicable to them, except that Mr. Walden filed one Form 4 late reporting one transaction.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Code of Ethics; Officer and Director Trading Restrictions Policy</w:t>
      </w:r>
    </w:p>
    <w:p>
      <w:pPr>
        <w:spacing w:after="0" w:line="225"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 xml:space="preserve">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www.kingstonecompanies.com. We intend to satisfy the disclosure requirement under Item 5.05(c) of Form 8-K regarding an amendment to, or a waiver from, our Code of Ethics or Officer and Director Trading Restrictions Policy by posting such information on our website, </w:t>
      </w:r>
      <w:r>
        <w:rPr>
          <w:rFonts w:ascii="Arial" w:cs="Arial" w:eastAsia="Arial" w:hAnsi="Arial"/>
          <w:sz w:val="16"/>
          <w:szCs w:val="16"/>
          <w:u w:val="single" w:color="auto"/>
          <w:color w:val="0000FF"/>
        </w:rPr>
        <w:t>www.kingstonecompanies.com</w:t>
      </w:r>
      <w:r>
        <w:rPr>
          <w:rFonts w:ascii="Arial" w:cs="Arial" w:eastAsia="Arial" w:hAnsi="Arial"/>
          <w:sz w:val="16"/>
          <w:szCs w:val="16"/>
          <w:color w:val="auto"/>
        </w:rPr>
        <w: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The following table sets forth certain information concerning the compensation for the fiscal years ended December 31, 2017 and 2016 for certain executive officers, including our Chief Executive Officer: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jc w:val="center"/>
              <w:ind w:right="136"/>
              <w:spacing w:after="0"/>
              <w:rPr>
                <w:sz w:val="20"/>
                <w:szCs w:val="20"/>
                <w:color w:val="auto"/>
              </w:rPr>
            </w:pPr>
            <w:r>
              <w:rPr>
                <w:rFonts w:ascii="Arial" w:cs="Arial" w:eastAsia="Arial" w:hAnsi="Arial"/>
                <w:sz w:val="15"/>
                <w:szCs w:val="15"/>
                <w:b w:val="1"/>
                <w:bCs w:val="1"/>
                <w:color w:val="auto"/>
                <w:w w:val="92"/>
              </w:rPr>
              <w:t>Non-Equity</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376"/>
              <w:spacing w:after="0" w:line="162" w:lineRule="exact"/>
              <w:rPr>
                <w:sz w:val="20"/>
                <w:szCs w:val="20"/>
                <w:color w:val="auto"/>
              </w:rPr>
            </w:pPr>
            <w:r>
              <w:rPr>
                <w:rFonts w:ascii="Arial" w:cs="Arial" w:eastAsia="Arial" w:hAnsi="Arial"/>
                <w:sz w:val="15"/>
                <w:szCs w:val="15"/>
                <w:b w:val="1"/>
                <w:bCs w:val="1"/>
                <w:color w:val="auto"/>
                <w:w w:val="89"/>
              </w:rPr>
              <w:t>Incentive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080" w:type="dxa"/>
            <w:vAlign w:val="bottom"/>
          </w:tcPr>
          <w:p>
            <w:pPr>
              <w:spacing w:after="0" w:line="162" w:lineRule="exact"/>
              <w:rPr>
                <w:sz w:val="20"/>
                <w:szCs w:val="20"/>
                <w:color w:val="auto"/>
              </w:rPr>
            </w:pPr>
            <w:r>
              <w:rPr>
                <w:rFonts w:ascii="Arial" w:cs="Arial" w:eastAsia="Arial" w:hAnsi="Arial"/>
                <w:sz w:val="15"/>
                <w:szCs w:val="15"/>
                <w:b w:val="1"/>
                <w:bCs w:val="1"/>
                <w:color w:val="auto"/>
              </w:rPr>
              <w:t>Name and Principal</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96"/>
              <w:spacing w:after="0" w:line="162" w:lineRule="exact"/>
              <w:rPr>
                <w:sz w:val="20"/>
                <w:szCs w:val="20"/>
                <w:color w:val="auto"/>
              </w:rPr>
            </w:pPr>
            <w:r>
              <w:rPr>
                <w:rFonts w:ascii="Arial" w:cs="Arial" w:eastAsia="Arial" w:hAnsi="Arial"/>
                <w:sz w:val="15"/>
                <w:szCs w:val="15"/>
                <w:b w:val="1"/>
                <w:bCs w:val="1"/>
                <w:color w:val="auto"/>
              </w:rPr>
              <w:t>Stock</w:t>
            </w:r>
          </w:p>
        </w:tc>
        <w:tc>
          <w:tcPr>
            <w:tcW w:w="220" w:type="dxa"/>
            <w:vAlign w:val="bottom"/>
          </w:tcPr>
          <w:p>
            <w:pPr>
              <w:spacing w:after="0"/>
              <w:rPr>
                <w:sz w:val="14"/>
                <w:szCs w:val="14"/>
                <w:color w:val="auto"/>
              </w:rPr>
            </w:pPr>
          </w:p>
        </w:tc>
        <w:tc>
          <w:tcPr>
            <w:tcW w:w="92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Option</w:t>
            </w:r>
          </w:p>
        </w:tc>
        <w:tc>
          <w:tcPr>
            <w:tcW w:w="240" w:type="dxa"/>
            <w:vAlign w:val="bottom"/>
          </w:tcPr>
          <w:p>
            <w:pPr>
              <w:spacing w:after="0"/>
              <w:rPr>
                <w:sz w:val="14"/>
                <w:szCs w:val="14"/>
                <w:color w:val="auto"/>
              </w:rPr>
            </w:pPr>
          </w:p>
        </w:tc>
        <w:tc>
          <w:tcPr>
            <w:tcW w:w="1120" w:type="dxa"/>
            <w:vAlign w:val="bottom"/>
          </w:tcPr>
          <w:p>
            <w:pPr>
              <w:jc w:val="center"/>
              <w:ind w:right="396"/>
              <w:spacing w:after="0" w:line="162" w:lineRule="exact"/>
              <w:rPr>
                <w:sz w:val="20"/>
                <w:szCs w:val="20"/>
                <w:color w:val="auto"/>
              </w:rPr>
            </w:pPr>
            <w:r>
              <w:rPr>
                <w:rFonts w:ascii="Arial" w:cs="Arial" w:eastAsia="Arial" w:hAnsi="Arial"/>
                <w:sz w:val="15"/>
                <w:szCs w:val="15"/>
                <w:b w:val="1"/>
                <w:bCs w:val="1"/>
                <w:color w:val="auto"/>
                <w:w w:val="88"/>
              </w:rPr>
              <w:t>Plan</w:t>
            </w:r>
          </w:p>
        </w:tc>
        <w:tc>
          <w:tcPr>
            <w:tcW w:w="900" w:type="dxa"/>
            <w:vAlign w:val="bottom"/>
          </w:tcPr>
          <w:p>
            <w:pPr>
              <w:jc w:val="right"/>
              <w:ind w:right="174"/>
              <w:spacing w:after="0" w:line="162" w:lineRule="exact"/>
              <w:rPr>
                <w:sz w:val="20"/>
                <w:szCs w:val="20"/>
                <w:color w:val="auto"/>
              </w:rPr>
            </w:pPr>
            <w:r>
              <w:rPr>
                <w:rFonts w:ascii="Arial" w:cs="Arial" w:eastAsia="Arial" w:hAnsi="Arial"/>
                <w:sz w:val="15"/>
                <w:szCs w:val="15"/>
                <w:b w:val="1"/>
                <w:bCs w:val="1"/>
                <w:color w:val="auto"/>
                <w:w w:val="97"/>
              </w:rPr>
              <w:t>All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2"/>
        </w:trPr>
        <w:tc>
          <w:tcPr>
            <w:tcW w:w="20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Position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Year</w:t>
            </w: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rPr>
              <w:t>Salary</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rPr>
              <w:t>Bonus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w w:val="90"/>
              </w:rPr>
              <w:t>Awards(1)</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w w:val="90"/>
              </w:rPr>
              <w:t>Awards(1)</w:t>
            </w:r>
          </w:p>
        </w:tc>
        <w:tc>
          <w:tcPr>
            <w:tcW w:w="22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w w:val="96"/>
              </w:rPr>
              <w:t>Compensation   Compensation</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Total</w:t>
            </w:r>
          </w:p>
        </w:tc>
      </w:tr>
      <w:tr>
        <w:trPr>
          <w:trHeight w:val="243"/>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1,670,111(3) $</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24,152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2"/>
              </w:rPr>
              <w:t>2,324,263</w:t>
            </w:r>
          </w:p>
        </w:tc>
      </w:tr>
      <w:tr>
        <w:trPr>
          <w:trHeight w:val="208"/>
        </w:trPr>
        <w:tc>
          <w:tcPr>
            <w:tcW w:w="2080" w:type="dxa"/>
            <w:vAlign w:val="bottom"/>
          </w:tcPr>
          <w:p>
            <w:pPr>
              <w:ind w:left="180"/>
              <w:spacing w:after="0"/>
              <w:rPr>
                <w:sz w:val="20"/>
                <w:szCs w:val="20"/>
                <w:color w:val="auto"/>
              </w:rPr>
            </w:pPr>
            <w:r>
              <w:rPr>
                <w:rFonts w:ascii="Arial" w:cs="Arial" w:eastAsia="Arial" w:hAnsi="Arial"/>
                <w:sz w:val="18"/>
                <w:szCs w:val="18"/>
                <w:color w:val="auto"/>
              </w:rPr>
              <w:t>Chief Executive</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2080" w:type="dxa"/>
            <w:vAlign w:val="bottom"/>
          </w:tcPr>
          <w:p>
            <w:pPr>
              <w:ind w:left="180"/>
              <w:spacing w:after="0"/>
              <w:rPr>
                <w:sz w:val="20"/>
                <w:szCs w:val="20"/>
                <w:color w:val="auto"/>
              </w:rPr>
            </w:pPr>
            <w:r>
              <w:rPr>
                <w:rFonts w:ascii="Arial" w:cs="Arial" w:eastAsia="Arial" w:hAnsi="Arial"/>
                <w:sz w:val="18"/>
                <w:szCs w:val="18"/>
                <w:color w:val="auto"/>
              </w:rPr>
              <w:t>Officer</w:t>
            </w: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575,000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653,221(4) $</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36,723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w w:val="92"/>
              </w:rPr>
              <w:t>1,464,944</w:t>
            </w:r>
          </w:p>
        </w:tc>
      </w:tr>
      <w:tr>
        <w:trPr>
          <w:trHeight w:val="244"/>
        </w:trPr>
        <w:tc>
          <w:tcPr>
            <w:tcW w:w="20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18"/>
                <w:szCs w:val="18"/>
                <w:color w:val="auto"/>
              </w:rPr>
              <w:t>Victor J. Brodsky</w:t>
            </w: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149,500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49,832(5) $</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24,500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573,832</w:t>
            </w:r>
          </w:p>
        </w:tc>
      </w:tr>
      <w:tr>
        <w:trPr>
          <w:trHeight w:val="209"/>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Chief Financial</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4"/>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294,420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34,553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36,295(6) $</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385,860</w:t>
            </w:r>
          </w:p>
        </w:tc>
      </w:tr>
      <w:tr>
        <w:trPr>
          <w:trHeight w:val="243"/>
        </w:trPr>
        <w:tc>
          <w:tcPr>
            <w:tcW w:w="2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89,700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41,981(5) $</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433,896</w:t>
            </w:r>
          </w:p>
        </w:tc>
      </w:tr>
      <w:tr>
        <w:trPr>
          <w:trHeight w:val="208"/>
        </w:trPr>
        <w:tc>
          <w:tcPr>
            <w:tcW w:w="2080" w:type="dxa"/>
            <w:vAlign w:val="bottom"/>
          </w:tcPr>
          <w:p>
            <w:pPr>
              <w:ind w:left="180"/>
              <w:spacing w:after="0"/>
              <w:rPr>
                <w:sz w:val="20"/>
                <w:szCs w:val="20"/>
                <w:color w:val="auto"/>
              </w:rPr>
            </w:pPr>
            <w:r>
              <w:rPr>
                <w:rFonts w:ascii="Arial" w:cs="Arial" w:eastAsia="Arial" w:hAnsi="Arial"/>
                <w:sz w:val="18"/>
                <w:szCs w:val="18"/>
                <w:color w:val="auto"/>
              </w:rPr>
              <w:t>Executive Vice</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President and Chief</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Actuary, Kingstone</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Insurance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246,800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28,180(2) $</w:t>
            </w:r>
          </w:p>
        </w:tc>
        <w:tc>
          <w:tcPr>
            <w:tcW w:w="1120" w:type="dxa"/>
            <w:vAlign w:val="bottom"/>
          </w:tcPr>
          <w:p>
            <w:pPr>
              <w:jc w:val="right"/>
              <w:spacing w:after="0"/>
              <w:rPr>
                <w:sz w:val="20"/>
                <w:szCs w:val="20"/>
                <w:color w:val="auto"/>
              </w:rPr>
            </w:pPr>
            <w:r>
              <w:rPr>
                <w:rFonts w:ascii="Arial" w:cs="Arial" w:eastAsia="Arial" w:hAnsi="Arial"/>
                <w:sz w:val="18"/>
                <w:szCs w:val="18"/>
                <w:color w:val="auto"/>
              </w:rPr>
              <w:t>42,623(6) $</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12,391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341,994</w:t>
            </w: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___________________</w:t>
            </w: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jc w:val="both"/>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198" w:lineRule="exact"/>
        <w:rPr>
          <w:rFonts w:ascii="Arial" w:cs="Arial" w:eastAsia="Arial" w:hAnsi="Arial"/>
          <w:sz w:val="18"/>
          <w:szCs w:val="18"/>
          <w:color w:val="auto"/>
        </w:rPr>
      </w:pPr>
    </w:p>
    <w:p>
      <w:pPr>
        <w:ind w:left="340" w:hanging="332"/>
        <w:spacing w:after="0" w:line="33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2016, Mr. Walden was granted an option under the 2014 Plan for the purchase of 10,000 common shares at an exercise price of $7.85 per share. Such option is exercisable to the extent of 2,500 shares as of the date of grant and each of the first, second and third anniversaries of the date of grant.</w:t>
      </w:r>
    </w:p>
    <w:p>
      <w:pPr>
        <w:spacing w:after="0" w:line="139"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bonus compensation of $660,446 accrued pursuant to Mr. Goldstein’s employment agreement and paid in 2018, $945,000 of long-term bonus compensation accrued pursuant to Mr. Goldstein’s employment agreement and payable in 2020 if incentive goals are maintained through December 31, 2019, and $64,655 accrued pursuant to the KICO employee profit sharing plan and paid in 2018.</w:t>
      </w:r>
    </w:p>
    <w:p>
      <w:pPr>
        <w:spacing w:after="0" w:line="194"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bonus compensation of $583,127 accrued pursuant to Mr. Goldstein’s employment agreement and paid in 2017, and $70,094 accrued pursuant to the KICO employee profit sharing plan and paid in 2017.</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amounts accrued pursuant to the KICO employee profit sharing plans for 2017 and paid in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amounts accrued pursuant to the KICO employee profit sharing plan for 2016 and paid in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Mr. Goldstein is employed as our President, Chairman of the Board and Chief Executive Officer pursuant to an employment agreement, dated January 20, 2017 (the “Goldstein Employment Agreement”), that expires on December 31, 2019. Pursuant to the Goldstein Employment Agreement, effective January 1, 2017, Mr. Goldstein is entitled to receive an annual base salary of $630,000 (an increase from $575,000 per annum in effect through December 31, 2016) and an annual bonus equal to 6% of the Company's consolidated income from operations before taxes, exclusive of our consolidated net investment income (loss) and net realized gains (losses) on investments (consistent with the bonus payable to Mr. Goldstein through December 31, 2016). In addition, pursuant to the Goldstein Employment Agreement, Mr. Goldstein is entitled to a long-term compensation payment ("LTC") of between $945,000 and $2,835,000 in the event our adjusted book value per share (as defined in the Goldstein Employment Agreement) has increased by at least an average of 8% per annum as of December 31, 2019 as compared to December 31, 2016 (with the maximum LTC payment being due if the average per annum increase is at least 14%). In consideration of certain accomplishments during the three year period ended December 31, 2016, we also paid Mr. Goldstein a bonus in the amount of $200,000. See “Termination of Employment and Change-in-Control Arrangements.”</w:t>
      </w:r>
    </w:p>
    <w:p>
      <w:pPr>
        <w:spacing w:after="0" w:line="177"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On March 14, 2018, we and Dale A. Thatcher, one of our directors, entered into an employment agreement (the “Thatcher Employment Agreement”) pursuant to which Mr. Thatcher will serve as our Chief Operating Officer. Mr. Thatcher is also to serve as KICO’s President. The Thatcher Employment Agreement is effective as of March 15, 2018 and expires on December 31, 2018. Pursuant to the Thatcher Employment Agreement, Mr. Thatcher is entitled to receive a base salary of $500,000 per annum and a minimum bonus equal to 15% of his base salary. Concurrently with the execution of the Thatcher Employment Agreement, we granted to Mr. Thatcher 35,715 shares of restricted Common Stock under the 2014 Plan. The shares granted will vest in three equal installments on each of the three annual anniversaries following the grant date, subject to the terms of the restricted stock grant agreement between Mr. Thatcher and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unexercised options held by the above named executive officers as of December 31, 2017.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5"/>
                <w:szCs w:val="15"/>
                <w:b w:val="1"/>
                <w:bCs w:val="1"/>
                <w:color w:val="auto"/>
              </w:rPr>
              <w:t>Option Awards</w:t>
            </w:r>
          </w:p>
        </w:tc>
        <w:tc>
          <w:tcPr>
            <w:tcW w:w="1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5"/>
                <w:szCs w:val="15"/>
                <w:b w:val="1"/>
                <w:bCs w:val="1"/>
                <w:color w:val="auto"/>
              </w:rPr>
              <w:t>Stock Awards</w:t>
            </w: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jc w:val="center"/>
              <w:ind w:left="102"/>
              <w:spacing w:after="0" w:line="149" w:lineRule="exact"/>
              <w:rPr>
                <w:sz w:val="20"/>
                <w:szCs w:val="20"/>
                <w:color w:val="auto"/>
              </w:rPr>
            </w:pPr>
            <w:r>
              <w:rPr>
                <w:rFonts w:ascii="Arial" w:cs="Arial" w:eastAsia="Arial" w:hAnsi="Arial"/>
                <w:sz w:val="15"/>
                <w:szCs w:val="15"/>
                <w:b w:val="1"/>
                <w:bCs w:val="1"/>
                <w:color w:val="auto"/>
                <w:w w:val="91"/>
              </w:rPr>
              <w:t>Equity</w:t>
            </w:r>
          </w:p>
        </w:tc>
        <w:tc>
          <w:tcPr>
            <w:tcW w:w="1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Equity</w:t>
            </w:r>
          </w:p>
        </w:tc>
        <w:tc>
          <w:tcPr>
            <w:tcW w:w="960" w:type="dxa"/>
            <w:vAlign w:val="bottom"/>
          </w:tcPr>
          <w:p>
            <w:pPr>
              <w:jc w:val="center"/>
              <w:ind w:left="102"/>
              <w:spacing w:after="0" w:line="162" w:lineRule="exact"/>
              <w:rPr>
                <w:sz w:val="20"/>
                <w:szCs w:val="20"/>
                <w:color w:val="auto"/>
              </w:rPr>
            </w:pPr>
            <w:r>
              <w:rPr>
                <w:rFonts w:ascii="Arial" w:cs="Arial" w:eastAsia="Arial" w:hAnsi="Arial"/>
                <w:sz w:val="15"/>
                <w:szCs w:val="15"/>
                <w:b w:val="1"/>
                <w:bCs w:val="1"/>
                <w:color w:val="auto"/>
                <w:w w:val="89"/>
              </w:rPr>
              <w:t>Incentive</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Incentive</w:t>
            </w:r>
          </w:p>
        </w:tc>
        <w:tc>
          <w:tcPr>
            <w:tcW w:w="11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Plan Awards:</w:t>
            </w: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Plan Awards:</w:t>
            </w:r>
          </w:p>
        </w:tc>
        <w:tc>
          <w:tcPr>
            <w:tcW w:w="960" w:type="dxa"/>
            <w:vAlign w:val="bottom"/>
          </w:tcPr>
          <w:p>
            <w:pPr>
              <w:jc w:val="center"/>
              <w:ind w:left="102"/>
              <w:spacing w:after="0" w:line="162" w:lineRule="exact"/>
              <w:rPr>
                <w:sz w:val="20"/>
                <w:szCs w:val="20"/>
                <w:color w:val="auto"/>
              </w:rPr>
            </w:pPr>
            <w:r>
              <w:rPr>
                <w:rFonts w:ascii="Arial" w:cs="Arial" w:eastAsia="Arial" w:hAnsi="Arial"/>
                <w:sz w:val="15"/>
                <w:szCs w:val="15"/>
                <w:b w:val="1"/>
                <w:bCs w:val="1"/>
                <w:color w:val="auto"/>
                <w:w w:val="97"/>
              </w:rPr>
              <w:t>Market or</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Number of</w:t>
            </w:r>
          </w:p>
        </w:tc>
        <w:tc>
          <w:tcPr>
            <w:tcW w:w="1140" w:type="dxa"/>
            <w:vAlign w:val="bottom"/>
            <w:gridSpan w:val="2"/>
          </w:tcPr>
          <w:p>
            <w:pPr>
              <w:ind w:left="120"/>
              <w:spacing w:after="0" w:line="162" w:lineRule="exact"/>
              <w:rPr>
                <w:sz w:val="20"/>
                <w:szCs w:val="20"/>
                <w:color w:val="auto"/>
              </w:rPr>
            </w:pPr>
            <w:r>
              <w:rPr>
                <w:rFonts w:ascii="Arial" w:cs="Arial" w:eastAsia="Arial" w:hAnsi="Arial"/>
                <w:sz w:val="15"/>
                <w:szCs w:val="15"/>
                <w:b w:val="1"/>
                <w:bCs w:val="1"/>
                <w:color w:val="auto"/>
              </w:rPr>
              <w:t>Market Value</w:t>
            </w: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11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9"/>
              </w:rPr>
              <w:t>Payout Value</w:t>
            </w: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Underlying</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Underlying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Shares of</w:t>
            </w:r>
          </w:p>
        </w:tc>
        <w:tc>
          <w:tcPr>
            <w:tcW w:w="11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of Shares of</w:t>
            </w: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Unearned</w:t>
            </w:r>
          </w:p>
        </w:tc>
        <w:tc>
          <w:tcPr>
            <w:tcW w:w="960" w:type="dxa"/>
            <w:vAlign w:val="bottom"/>
          </w:tcPr>
          <w:p>
            <w:pPr>
              <w:jc w:val="center"/>
              <w:ind w:left="102"/>
              <w:spacing w:after="0" w:line="162" w:lineRule="exact"/>
              <w:rPr>
                <w:sz w:val="20"/>
                <w:szCs w:val="20"/>
                <w:color w:val="auto"/>
              </w:rPr>
            </w:pPr>
            <w:r>
              <w:rPr>
                <w:rFonts w:ascii="Arial" w:cs="Arial" w:eastAsia="Arial" w:hAnsi="Arial"/>
                <w:sz w:val="15"/>
                <w:szCs w:val="15"/>
                <w:b w:val="1"/>
                <w:bCs w:val="1"/>
                <w:color w:val="auto"/>
                <w:w w:val="89"/>
              </w:rPr>
              <w:t>of Unearned</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Unexercised</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Unexercised</w:t>
            </w:r>
          </w:p>
        </w:tc>
        <w:tc>
          <w:tcPr>
            <w:tcW w:w="260" w:type="dxa"/>
            <w:vAlign w:val="bottom"/>
          </w:tcPr>
          <w:p>
            <w:pPr>
              <w:spacing w:after="0"/>
              <w:rPr>
                <w:sz w:val="14"/>
                <w:szCs w:val="14"/>
                <w:color w:val="auto"/>
              </w:rPr>
            </w:pPr>
          </w:p>
        </w:tc>
        <w:tc>
          <w:tcPr>
            <w:tcW w:w="960" w:type="dxa"/>
            <w:vAlign w:val="bottom"/>
          </w:tcPr>
          <w:p>
            <w:pPr>
              <w:jc w:val="center"/>
              <w:ind w:right="238"/>
              <w:spacing w:after="0" w:line="162" w:lineRule="exact"/>
              <w:rPr>
                <w:sz w:val="20"/>
                <w:szCs w:val="20"/>
                <w:color w:val="auto"/>
              </w:rPr>
            </w:pPr>
            <w:r>
              <w:rPr>
                <w:rFonts w:ascii="Arial" w:cs="Arial" w:eastAsia="Arial" w:hAnsi="Arial"/>
                <w:sz w:val="15"/>
                <w:szCs w:val="15"/>
                <w:b w:val="1"/>
                <w:bCs w:val="1"/>
                <w:color w:val="auto"/>
                <w:w w:val="90"/>
              </w:rPr>
              <w:t>Option</w:t>
            </w:r>
          </w:p>
        </w:tc>
        <w:tc>
          <w:tcPr>
            <w:tcW w:w="162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Stock That</w:t>
            </w:r>
          </w:p>
        </w:tc>
        <w:tc>
          <w:tcPr>
            <w:tcW w:w="200" w:type="dxa"/>
            <w:vAlign w:val="bottom"/>
          </w:tcPr>
          <w:p>
            <w:pPr>
              <w:spacing w:after="0"/>
              <w:rPr>
                <w:sz w:val="14"/>
                <w:szCs w:val="14"/>
                <w:color w:val="auto"/>
              </w:rPr>
            </w:pPr>
          </w:p>
        </w:tc>
        <w:tc>
          <w:tcPr>
            <w:tcW w:w="940" w:type="dxa"/>
            <w:vAlign w:val="bottom"/>
          </w:tcPr>
          <w:p>
            <w:pPr>
              <w:jc w:val="center"/>
              <w:ind w:right="119"/>
              <w:spacing w:after="0" w:line="162" w:lineRule="exact"/>
              <w:rPr>
                <w:sz w:val="20"/>
                <w:szCs w:val="20"/>
                <w:color w:val="auto"/>
              </w:rPr>
            </w:pPr>
            <w:r>
              <w:rPr>
                <w:rFonts w:ascii="Arial" w:cs="Arial" w:eastAsia="Arial" w:hAnsi="Arial"/>
                <w:sz w:val="15"/>
                <w:szCs w:val="15"/>
                <w:b w:val="1"/>
                <w:bCs w:val="1"/>
                <w:color w:val="auto"/>
                <w:w w:val="91"/>
              </w:rPr>
              <w:t>Stock That</w:t>
            </w: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Shares That</w:t>
            </w:r>
          </w:p>
        </w:tc>
        <w:tc>
          <w:tcPr>
            <w:tcW w:w="960" w:type="dxa"/>
            <w:vAlign w:val="bottom"/>
          </w:tcPr>
          <w:p>
            <w:pPr>
              <w:jc w:val="center"/>
              <w:ind w:left="102"/>
              <w:spacing w:after="0" w:line="162" w:lineRule="exact"/>
              <w:rPr>
                <w:sz w:val="20"/>
                <w:szCs w:val="20"/>
                <w:color w:val="auto"/>
              </w:rPr>
            </w:pPr>
            <w:r>
              <w:rPr>
                <w:rFonts w:ascii="Arial" w:cs="Arial" w:eastAsia="Arial" w:hAnsi="Arial"/>
                <w:sz w:val="15"/>
                <w:szCs w:val="15"/>
                <w:b w:val="1"/>
                <w:bCs w:val="1"/>
                <w:color w:val="auto"/>
                <w:w w:val="90"/>
              </w:rPr>
              <w:t>Shares That</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Options</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Options</w:t>
            </w:r>
          </w:p>
        </w:tc>
        <w:tc>
          <w:tcPr>
            <w:tcW w:w="260" w:type="dxa"/>
            <w:vAlign w:val="bottom"/>
          </w:tcPr>
          <w:p>
            <w:pPr>
              <w:spacing w:after="0"/>
              <w:rPr>
                <w:sz w:val="14"/>
                <w:szCs w:val="14"/>
                <w:color w:val="auto"/>
              </w:rPr>
            </w:pPr>
          </w:p>
        </w:tc>
        <w:tc>
          <w:tcPr>
            <w:tcW w:w="960" w:type="dxa"/>
            <w:vAlign w:val="bottom"/>
          </w:tcPr>
          <w:p>
            <w:pPr>
              <w:jc w:val="center"/>
              <w:ind w:right="258"/>
              <w:spacing w:after="0" w:line="162" w:lineRule="exact"/>
              <w:rPr>
                <w:sz w:val="20"/>
                <w:szCs w:val="20"/>
                <w:color w:val="auto"/>
              </w:rPr>
            </w:pPr>
            <w:r>
              <w:rPr>
                <w:rFonts w:ascii="Arial" w:cs="Arial" w:eastAsia="Arial" w:hAnsi="Arial"/>
                <w:sz w:val="15"/>
                <w:szCs w:val="15"/>
                <w:b w:val="1"/>
                <w:bCs w:val="1"/>
                <w:color w:val="auto"/>
                <w:w w:val="87"/>
              </w:rPr>
              <w:t>Exercise</w:t>
            </w:r>
          </w:p>
        </w:tc>
        <w:tc>
          <w:tcPr>
            <w:tcW w:w="16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Option Expiration</w:t>
            </w: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Have Not</w:t>
            </w:r>
          </w:p>
        </w:tc>
        <w:tc>
          <w:tcPr>
            <w:tcW w:w="200" w:type="dxa"/>
            <w:vAlign w:val="bottom"/>
          </w:tcPr>
          <w:p>
            <w:pPr>
              <w:spacing w:after="0"/>
              <w:rPr>
                <w:sz w:val="14"/>
                <w:szCs w:val="14"/>
                <w:color w:val="auto"/>
              </w:rPr>
            </w:pPr>
          </w:p>
        </w:tc>
        <w:tc>
          <w:tcPr>
            <w:tcW w:w="940" w:type="dxa"/>
            <w:vAlign w:val="bottom"/>
          </w:tcPr>
          <w:p>
            <w:pPr>
              <w:jc w:val="center"/>
              <w:ind w:right="139"/>
              <w:spacing w:after="0" w:line="162" w:lineRule="exact"/>
              <w:rPr>
                <w:sz w:val="20"/>
                <w:szCs w:val="20"/>
                <w:color w:val="auto"/>
              </w:rPr>
            </w:pPr>
            <w:r>
              <w:rPr>
                <w:rFonts w:ascii="Arial" w:cs="Arial" w:eastAsia="Arial" w:hAnsi="Arial"/>
                <w:sz w:val="15"/>
                <w:szCs w:val="15"/>
                <w:b w:val="1"/>
                <w:bCs w:val="1"/>
                <w:color w:val="auto"/>
                <w:w w:val="92"/>
              </w:rPr>
              <w:t>Have Not</w:t>
            </w: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Have Not</w:t>
            </w:r>
          </w:p>
        </w:tc>
        <w:tc>
          <w:tcPr>
            <w:tcW w:w="960" w:type="dxa"/>
            <w:vAlign w:val="bottom"/>
          </w:tcPr>
          <w:p>
            <w:pPr>
              <w:jc w:val="center"/>
              <w:ind w:left="122"/>
              <w:spacing w:after="0" w:line="162" w:lineRule="exact"/>
              <w:rPr>
                <w:sz w:val="20"/>
                <w:szCs w:val="20"/>
                <w:color w:val="auto"/>
              </w:rPr>
            </w:pPr>
            <w:r>
              <w:rPr>
                <w:rFonts w:ascii="Arial" w:cs="Arial" w:eastAsia="Arial" w:hAnsi="Arial"/>
                <w:sz w:val="15"/>
                <w:szCs w:val="15"/>
                <w:b w:val="1"/>
                <w:bCs w:val="1"/>
                <w:color w:val="auto"/>
                <w:w w:val="92"/>
              </w:rPr>
              <w:t>Have Not</w:t>
            </w:r>
          </w:p>
        </w:tc>
        <w:tc>
          <w:tcPr>
            <w:tcW w:w="180" w:type="dxa"/>
            <w:vAlign w:val="bottom"/>
          </w:tcPr>
          <w:p>
            <w:pPr>
              <w:spacing w:after="0"/>
              <w:rPr>
                <w:sz w:val="14"/>
                <w:szCs w:val="14"/>
                <w:color w:val="auto"/>
              </w:rPr>
            </w:pPr>
          </w:p>
        </w:tc>
      </w:tr>
      <w:tr>
        <w:trPr>
          <w:trHeight w:val="182"/>
        </w:trPr>
        <w:tc>
          <w:tcPr>
            <w:tcW w:w="17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6"/>
              </w:rPr>
              <w:t>Exercisable</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6"/>
              </w:rPr>
              <w:t>Unexercisable</w:t>
            </w:r>
          </w:p>
        </w:tc>
        <w:tc>
          <w:tcPr>
            <w:tcW w:w="260" w:type="dxa"/>
            <w:vAlign w:val="bottom"/>
          </w:tcPr>
          <w:p>
            <w:pPr>
              <w:spacing w:after="0"/>
              <w:rPr>
                <w:sz w:val="15"/>
                <w:szCs w:val="15"/>
                <w:color w:val="auto"/>
              </w:rPr>
            </w:pPr>
          </w:p>
        </w:tc>
        <w:tc>
          <w:tcPr>
            <w:tcW w:w="960" w:type="dxa"/>
            <w:vAlign w:val="bottom"/>
          </w:tcPr>
          <w:p>
            <w:pPr>
              <w:jc w:val="center"/>
              <w:ind w:right="258"/>
              <w:spacing w:after="0"/>
              <w:rPr>
                <w:sz w:val="20"/>
                <w:szCs w:val="20"/>
                <w:color w:val="auto"/>
              </w:rPr>
            </w:pPr>
            <w:r>
              <w:rPr>
                <w:rFonts w:ascii="Arial" w:cs="Arial" w:eastAsia="Arial" w:hAnsi="Arial"/>
                <w:sz w:val="15"/>
                <w:szCs w:val="15"/>
                <w:b w:val="1"/>
                <w:bCs w:val="1"/>
                <w:color w:val="auto"/>
                <w:w w:val="92"/>
              </w:rPr>
              <w:t>Price</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92"/>
              </w:rPr>
              <w:t>Date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5"/>
              </w:rPr>
              <w:t>Vested</w:t>
            </w:r>
          </w:p>
        </w:tc>
        <w:tc>
          <w:tcPr>
            <w:tcW w:w="200" w:type="dxa"/>
            <w:vAlign w:val="bottom"/>
          </w:tcPr>
          <w:p>
            <w:pPr>
              <w:spacing w:after="0"/>
              <w:rPr>
                <w:sz w:val="15"/>
                <w:szCs w:val="15"/>
                <w:color w:val="auto"/>
              </w:rPr>
            </w:pPr>
          </w:p>
        </w:tc>
        <w:tc>
          <w:tcPr>
            <w:tcW w:w="940" w:type="dxa"/>
            <w:vAlign w:val="bottom"/>
          </w:tcPr>
          <w:p>
            <w:pPr>
              <w:jc w:val="center"/>
              <w:ind w:right="119"/>
              <w:spacing w:after="0"/>
              <w:rPr>
                <w:sz w:val="20"/>
                <w:szCs w:val="20"/>
                <w:color w:val="auto"/>
              </w:rPr>
            </w:pPr>
            <w:r>
              <w:rPr>
                <w:rFonts w:ascii="Arial" w:cs="Arial" w:eastAsia="Arial" w:hAnsi="Arial"/>
                <w:sz w:val="15"/>
                <w:szCs w:val="15"/>
                <w:b w:val="1"/>
                <w:bCs w:val="1"/>
                <w:color w:val="auto"/>
                <w:w w:val="85"/>
              </w:rPr>
              <w:t>Vested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1"/>
              </w:rPr>
              <w:t>Vested</w:t>
            </w:r>
          </w:p>
        </w:tc>
        <w:tc>
          <w:tcPr>
            <w:tcW w:w="960" w:type="dxa"/>
            <w:vAlign w:val="bottom"/>
          </w:tcPr>
          <w:p>
            <w:pPr>
              <w:jc w:val="center"/>
              <w:ind w:left="102"/>
              <w:spacing w:after="0"/>
              <w:rPr>
                <w:sz w:val="20"/>
                <w:szCs w:val="20"/>
                <w:color w:val="auto"/>
              </w:rPr>
            </w:pPr>
            <w:r>
              <w:rPr>
                <w:rFonts w:ascii="Arial" w:cs="Arial" w:eastAsia="Arial" w:hAnsi="Arial"/>
                <w:sz w:val="15"/>
                <w:szCs w:val="15"/>
                <w:b w:val="1"/>
                <w:bCs w:val="1"/>
                <w:color w:val="auto"/>
                <w:w w:val="85"/>
              </w:rPr>
              <w:t>Vested</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11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6.73</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8/12/19</w:t>
            </w:r>
          </w:p>
        </w:tc>
        <w:tc>
          <w:tcPr>
            <w:tcW w:w="1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Victor J. Brodsky</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20,000</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8"/>
              <w:spacing w:after="0"/>
              <w:rPr>
                <w:sz w:val="20"/>
                <w:szCs w:val="20"/>
                <w:color w:val="auto"/>
              </w:rPr>
            </w:pPr>
            <w:r>
              <w:rPr>
                <w:rFonts w:ascii="Arial" w:cs="Arial" w:eastAsia="Arial" w:hAnsi="Arial"/>
                <w:sz w:val="18"/>
                <w:szCs w:val="18"/>
                <w:color w:val="auto"/>
              </w:rPr>
              <w:t>5.09</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8/29/18</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7,220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135,736</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682"/>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8"/>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6.60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12/16/18</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4,330</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81,404</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r>
      <w:tr>
        <w:trPr>
          <w:trHeight w:val="222"/>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5,000(1) $</w:t>
            </w:r>
          </w:p>
        </w:tc>
        <w:tc>
          <w:tcPr>
            <w:tcW w:w="960" w:type="dxa"/>
            <w:vAlign w:val="bottom"/>
          </w:tcPr>
          <w:p>
            <w:pPr>
              <w:jc w:val="right"/>
              <w:ind w:right="98"/>
              <w:spacing w:after="0"/>
              <w:rPr>
                <w:sz w:val="20"/>
                <w:szCs w:val="20"/>
                <w:color w:val="auto"/>
              </w:rPr>
            </w:pPr>
            <w:r>
              <w:rPr>
                <w:rFonts w:ascii="Arial" w:cs="Arial" w:eastAsia="Arial" w:hAnsi="Arial"/>
                <w:sz w:val="18"/>
                <w:szCs w:val="18"/>
                <w:color w:val="auto"/>
              </w:rPr>
              <w:t>7.85</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3/11/21</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682"/>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8"/>
              <w:spacing w:after="0"/>
              <w:rPr>
                <w:sz w:val="20"/>
                <w:szCs w:val="20"/>
                <w:color w:val="auto"/>
              </w:rPr>
            </w:pPr>
            <w:r>
              <w:rPr>
                <w:rFonts w:ascii="Arial" w:cs="Arial" w:eastAsia="Arial" w:hAnsi="Arial"/>
                <w:sz w:val="16"/>
                <w:szCs w:val="16"/>
                <w:color w:val="auto"/>
                <w:w w:val="74"/>
              </w:rPr>
              <w:t>-</w:t>
            </w:r>
          </w:p>
        </w:tc>
      </w:tr>
    </w:tbl>
    <w:p>
      <w:pPr>
        <w:spacing w:after="0" w:line="228" w:lineRule="exact"/>
        <w:rPr>
          <w:sz w:val="20"/>
          <w:szCs w:val="20"/>
          <w:color w:val="auto"/>
        </w:rPr>
      </w:pPr>
    </w:p>
    <w:p>
      <w:pPr>
        <w:ind w:left="5620" w:right="4400" w:hanging="5612"/>
        <w:spacing w:after="0" w:line="825" w:lineRule="auto"/>
        <w:tabs>
          <w:tab w:leader="none" w:pos="326"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Such options are exercisable to the extent of 2,500 shares on each of March 11, 2018 and 2019.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 of Employment and Change-in-Control Arrangements</w:t>
      </w:r>
    </w:p>
    <w:p>
      <w:pPr>
        <w:spacing w:after="0" w:line="225"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Pursuant to the Goldstein Employment Agreement, in the event that Mr. Goldstein's employment is terminated by us without cause or he resigns for good reason (each as defined in the Goldstein Employment Agreement), Mr. Goldstein would be entitled to receive his base salary, the 6% bonus and the LTC payment for the remainder of the term. In addition, in such event, Mr. Goldstein’s vested options would remain exercisable until the first anniversary of the termination date.</w:t>
      </w:r>
    </w:p>
    <w:p>
      <w:pPr>
        <w:spacing w:after="0" w:line="197" w:lineRule="exact"/>
        <w:rPr>
          <w:sz w:val="20"/>
          <w:szCs w:val="20"/>
          <w:color w:val="auto"/>
        </w:rPr>
      </w:pPr>
    </w:p>
    <w:p>
      <w:pPr>
        <w:ind w:right="300" w:firstLine="648"/>
        <w:spacing w:after="0" w:line="306" w:lineRule="auto"/>
        <w:rPr>
          <w:sz w:val="20"/>
          <w:szCs w:val="20"/>
          <w:color w:val="auto"/>
        </w:rPr>
      </w:pPr>
      <w:r>
        <w:rPr>
          <w:rFonts w:ascii="Arial" w:cs="Arial" w:eastAsia="Arial" w:hAnsi="Arial"/>
          <w:sz w:val="16"/>
          <w:szCs w:val="16"/>
          <w:color w:val="auto"/>
        </w:rPr>
        <w:t>Mr. Goldstein would be entitled, under certain circumstances, to a payment equal to one and one-half times his then annual salary and the target LTC payment of $1,890,000 in the event of the termination of his employment following a change of control of the Company. Under such circumstances, Mr. Goldstein’s outstanding options would become exercisable and would remain exercisable until the first anniversary of the termination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the compensation of our directors for the fiscal year ended December 31,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540" w:type="dxa"/>
            <w:vAlign w:val="bottom"/>
            <w:gridSpan w:val="2"/>
          </w:tcPr>
          <w:p>
            <w:pPr>
              <w:jc w:val="right"/>
              <w:ind w:right="114"/>
              <w:spacing w:after="0"/>
              <w:rPr>
                <w:sz w:val="20"/>
                <w:szCs w:val="20"/>
                <w:color w:val="auto"/>
              </w:rPr>
            </w:pPr>
            <w:r>
              <w:rPr>
                <w:rFonts w:ascii="Arial" w:cs="Arial" w:eastAsia="Arial" w:hAnsi="Arial"/>
                <w:sz w:val="15"/>
                <w:szCs w:val="15"/>
                <w:b w:val="1"/>
                <w:bCs w:val="1"/>
                <w:color w:val="auto"/>
              </w:rPr>
              <w:t>Fees Earned or</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8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2420" w:type="dxa"/>
            <w:vAlign w:val="bottom"/>
          </w:tcPr>
          <w:p>
            <w:pPr>
              <w:spacing w:after="0"/>
              <w:rPr>
                <w:sz w:val="15"/>
                <w:szCs w:val="15"/>
                <w:color w:val="auto"/>
              </w:rPr>
            </w:pPr>
          </w:p>
        </w:tc>
        <w:tc>
          <w:tcPr>
            <w:tcW w:w="1120" w:type="dxa"/>
            <w:vAlign w:val="bottom"/>
          </w:tcPr>
          <w:p>
            <w:pPr>
              <w:jc w:val="right"/>
              <w:ind w:right="194"/>
              <w:spacing w:after="0"/>
              <w:rPr>
                <w:sz w:val="20"/>
                <w:szCs w:val="20"/>
                <w:color w:val="auto"/>
              </w:rPr>
            </w:pPr>
            <w:r>
              <w:rPr>
                <w:rFonts w:ascii="Arial" w:cs="Arial" w:eastAsia="Arial" w:hAnsi="Arial"/>
                <w:sz w:val="15"/>
                <w:szCs w:val="15"/>
                <w:b w:val="1"/>
                <w:bCs w:val="1"/>
                <w:color w:val="auto"/>
                <w:w w:val="91"/>
              </w:rPr>
              <w:t>Paid in Cash</w:t>
            </w:r>
          </w:p>
        </w:tc>
        <w:tc>
          <w:tcPr>
            <w:tcW w:w="138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 Awards(4)</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Option Awards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Jay M. Haft</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50,000</w:t>
            </w:r>
          </w:p>
        </w:tc>
        <w:tc>
          <w:tcPr>
            <w:tcW w:w="5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26,700</w:t>
            </w:r>
          </w:p>
        </w:tc>
        <w:tc>
          <w:tcPr>
            <w:tcW w:w="1160" w:type="dxa"/>
            <w:vAlign w:val="bottom"/>
            <w:tcBorders>
              <w:top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76,700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Jack D. Seibald(1)</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17,167</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51,500</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26,700</w:t>
            </w: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50,750</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26,700</w:t>
            </w: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Carla A. D’Andre(2)</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31,250</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17,625</w:t>
            </w: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Dale A. Thatcher(3)</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19,464</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12,124</w:t>
            </w: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31,587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Seibald resigned as a director in April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D’Andre was appointed a director in May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Thatcher was appointed a director in August 2017.</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non-employee directors are currently entitled to receive annual compensation for their services as directors as follows:</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$50,000 (including $6,000 for services as a director of KICO)</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additional $11,000 for services as committee chair (and $1,500 for services as KICO committee chair)</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2,000 shares of our common stock which vest in one-third increments over a three year period (the initial grant of shares having been made in January 2016)</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12. SECURITY OWNERSHIP OF CERTAIN BENEFICIAL OWNERS AND MANAGEMENT AND RELATED STOCKHOLDER MATTERS</w:t>
      </w:r>
      <w:r>
        <w:rPr>
          <w:rFonts w:ascii="Arial" w:cs="Arial" w:eastAsia="Arial" w:hAnsi="Arial"/>
          <w:sz w:val="16"/>
          <w:szCs w:val="16"/>
          <w:color w:val="auto"/>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Security Ownership</w:t>
      </w:r>
    </w:p>
    <w:p>
      <w:pPr>
        <w:spacing w:after="0" w:line="225"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The following table sets forth certain information as of March 12, 2018 regarding the beneficial ownership of our shares of common stock by (i) each person who we believe to be the beneficial owner of more than 5% of our outstanding shares of common stock, (ii) each present director, (iii) each person listed in the Summary Compensation Table under “Executive Compensation,” and (iv) all of our present executive officers and directors as a group.</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and Address of Beneficial Owner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Number of</w:t>
      </w:r>
    </w:p>
    <w:p>
      <w:pPr>
        <w:spacing w:after="0" w:line="1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9"/>
          <w:szCs w:val="19"/>
          <w:b w:val="1"/>
          <w:bCs w:val="1"/>
          <w:color w:val="auto"/>
        </w:rPr>
        <w:t>Shares</w:t>
      </w:r>
      <w:r>
        <w:rPr>
          <w:sz w:val="20"/>
          <w:szCs w:val="20"/>
          <w:color w:val="auto"/>
        </w:rPr>
        <w:tab/>
      </w:r>
      <w:r>
        <w:rPr>
          <w:rFonts w:ascii="Arial" w:cs="Arial" w:eastAsia="Arial" w:hAnsi="Arial"/>
          <w:sz w:val="19"/>
          <w:szCs w:val="19"/>
          <w:b w:val="1"/>
          <w:bCs w:val="1"/>
          <w:color w:val="auto"/>
        </w:rPr>
        <w:t>Approximate</w:t>
      </w:r>
    </w:p>
    <w:p>
      <w:pPr>
        <w:spacing w:after="0" w:line="15"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Beneficially</w:t>
        <w:tab/>
        <w:t>Percent of</w:t>
      </w:r>
    </w:p>
    <w:p>
      <w:pPr>
        <w:ind w:left="200"/>
        <w:spacing w:after="0" w:line="233" w:lineRule="auto"/>
        <w:tabs>
          <w:tab w:leader="none" w:pos="1640" w:val="left"/>
        </w:tabs>
        <w:rPr>
          <w:sz w:val="20"/>
          <w:szCs w:val="20"/>
          <w:color w:val="auto"/>
        </w:rPr>
      </w:pPr>
      <w:r>
        <w:rPr>
          <w:rFonts w:ascii="Arial" w:cs="Arial" w:eastAsia="Arial" w:hAnsi="Arial"/>
          <w:sz w:val="22"/>
          <w:szCs w:val="22"/>
          <w:b w:val="1"/>
          <w:bCs w:val="1"/>
          <w:color w:val="auto"/>
        </w:rPr>
        <w:t>Owned</w:t>
      </w:r>
      <w:r>
        <w:rPr>
          <w:sz w:val="20"/>
          <w:szCs w:val="20"/>
          <w:color w:val="auto"/>
        </w:rPr>
        <w:tab/>
      </w:r>
      <w:r>
        <w:rPr>
          <w:rFonts w:ascii="Arial" w:cs="Arial" w:eastAsia="Arial" w:hAnsi="Arial"/>
          <w:sz w:val="22"/>
          <w:szCs w:val="22"/>
          <w:b w:val="1"/>
          <w:bCs w:val="1"/>
          <w:color w:val="auto"/>
        </w:rPr>
        <w:t>Class</w:t>
      </w:r>
    </w:p>
    <w:p>
      <w:pPr>
        <w:spacing w:after="0" w:line="1" w:lineRule="exact"/>
        <w:rPr>
          <w:sz w:val="20"/>
          <w:szCs w:val="20"/>
          <w:color w:val="auto"/>
        </w:rPr>
      </w:pPr>
    </w:p>
    <w:p>
      <w:pPr>
        <w:sectPr>
          <w:pgSz w:w="11900" w:h="16838" w:orient="portrait"/>
          <w:cols w:equalWidth="0" w:num="2">
            <w:col w:w="8120" w:space="720"/>
            <w:col w:w="258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68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887,198</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6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69 Beaver Dam Road</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88,424</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Salisbury, Connecticut</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Floyd R. Tupper</w:t>
            </w:r>
          </w:p>
        </w:tc>
        <w:tc>
          <w:tcPr>
            <w:tcW w:w="6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80" w:type="dxa"/>
            <w:vAlign w:val="bottom"/>
            <w:shd w:val="clear" w:color="auto" w:fill="CCEEFF"/>
          </w:tcPr>
          <w:p>
            <w:pPr>
              <w:spacing w:after="0" w:line="219" w:lineRule="exact"/>
              <w:rPr>
                <w:sz w:val="20"/>
                <w:szCs w:val="20"/>
                <w:color w:val="auto"/>
              </w:rPr>
            </w:pPr>
            <w:r>
              <w:rPr>
                <w:rFonts w:ascii="Arial" w:cs="Arial" w:eastAsia="Arial" w:hAnsi="Arial"/>
                <w:sz w:val="18"/>
                <w:szCs w:val="18"/>
                <w:color w:val="auto"/>
              </w:rPr>
              <w:t>220 East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51,612</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6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29,316</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6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19,834</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6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10 Pheasant Hill Road</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1,667</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Farmington, Connecticut</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6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3561 Avocado Avenue</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Miami, Florida</w:t>
            </w:r>
          </w:p>
        </w:tc>
        <w:tc>
          <w:tcPr>
            <w:tcW w:w="6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jc w:val="right"/>
              <w:ind w:right="4672"/>
              <w:spacing w:after="0"/>
              <w:rPr>
                <w:sz w:val="20"/>
                <w:szCs w:val="20"/>
                <w:color w:val="auto"/>
              </w:rPr>
            </w:pPr>
            <w:r>
              <w:rPr>
                <w:rFonts w:ascii="Arial" w:cs="Arial" w:eastAsia="Arial" w:hAnsi="Arial"/>
                <w:sz w:val="18"/>
                <w:szCs w:val="18"/>
                <w:color w:val="auto"/>
              </w:rPr>
              <w:t>74</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type w:val="continuous"/>
        </w:sectPr>
      </w:pPr>
    </w:p>
    <w:bookmarkStart w:id="75" w:name="page76"/>
    <w:bookmarkEnd w:id="7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Dale A. Thatcher</w:t>
            </w:r>
          </w:p>
        </w:tc>
        <w:tc>
          <w:tcPr>
            <w:tcW w:w="5040" w:type="dxa"/>
            <w:vAlign w:val="bottom"/>
            <w:vMerge w:val="restart"/>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212 Third Street</w:t>
            </w:r>
          </w:p>
        </w:tc>
        <w:tc>
          <w:tcPr>
            <w:tcW w:w="50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Milford, PA</w:t>
            </w:r>
          </w:p>
        </w:tc>
        <w:tc>
          <w:tcPr>
            <w:tcW w:w="50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RenaissanceRe Ventures Ltd.</w:t>
            </w:r>
          </w:p>
        </w:tc>
        <w:tc>
          <w:tcPr>
            <w:tcW w:w="5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Renaissance Other Investments</w:t>
            </w:r>
          </w:p>
        </w:tc>
        <w:tc>
          <w:tcPr>
            <w:tcW w:w="5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Holding II Ltd.</w:t>
            </w:r>
          </w:p>
        </w:tc>
        <w:tc>
          <w:tcPr>
            <w:tcW w:w="5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RenaissanceRe Holdings Ltd.</w:t>
            </w:r>
          </w:p>
        </w:tc>
        <w:tc>
          <w:tcPr>
            <w:tcW w:w="5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Renaissance House</w:t>
            </w:r>
          </w:p>
        </w:tc>
        <w:tc>
          <w:tcPr>
            <w:tcW w:w="5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12 Crow Lane</w:t>
            </w:r>
          </w:p>
        </w:tc>
        <w:tc>
          <w:tcPr>
            <w:tcW w:w="5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Pembrooke HM19</w:t>
            </w:r>
          </w:p>
        </w:tc>
        <w:tc>
          <w:tcPr>
            <w:tcW w:w="50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595,238</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50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w:t>
            </w:r>
          </w:p>
        </w:tc>
        <w:tc>
          <w:tcPr>
            <w:tcW w:w="5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and directors as a group</w:t>
            </w:r>
          </w:p>
        </w:tc>
        <w:tc>
          <w:tcPr>
            <w:tcW w:w="50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1,078,051</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(7 persons)</w:t>
            </w:r>
          </w:p>
        </w:tc>
        <w:tc>
          <w:tcPr>
            <w:tcW w:w="50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(1)(2)(3)(4)(5)(6)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___________________</w:t>
            </w:r>
          </w:p>
        </w:tc>
        <w:tc>
          <w:tcPr>
            <w:tcW w:w="5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5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40" w:right="20" w:hanging="332"/>
        <w:spacing w:after="0" w:line="26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upon Schedule 13D filed under the Securities Exchange Act of 1934, as amended (the “Exchange Act”), and/or other information that is publicly available.</w:t>
      </w:r>
    </w:p>
    <w:p>
      <w:pPr>
        <w:spacing w:after="0" w:line="18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(i) 183,500 shares issuable upon the exercise of options that are currently exercisable and (ii) 73,168 shares owned by Mr. Goldstein’s wife. The inclusion of the shares owned by Mr. Goldstein’s wife shall not be construed as an admission that Mr. Goldstein is, for purposes of Section 13(d) or 13(g) of the Exchange Act, the beneficial owner of such shares.</w:t>
      </w:r>
    </w:p>
    <w:p>
      <w:pPr>
        <w:spacing w:after="0" w:line="194"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31,460 shares owned by Mr. Tupper’s wife. The inclusion of the shares owned by Mr. Tupper’s wife shall not be construed as an admission that Mr. Tupper is, for purposes of Section 13(d) or 13(g) of the Exchange Act, the beneficial owner of such shares.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556 shares issuable upon the vesting of restricted stock within 60 days.</w:t>
      </w:r>
    </w:p>
    <w:p>
      <w:pPr>
        <w:spacing w:after="0" w:line="225"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10,000 shares issuable upon the exercise of options that are exercisable currently or within 60 days and (ii) 334 shares issuable upon the vesting of restricted stock within 60 days.</w:t>
      </w: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500 shares issuable upon the vesting of restricted stock within 60 days.</w:t>
      </w:r>
    </w:p>
    <w:p>
      <w:pPr>
        <w:spacing w:after="0" w:line="218"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Schedule 13G, as amended, RenaissanceRe Ventures Ltd. (“RenaissanceRe Ventures”), a wholly owned subsidiary of Renaissance Other Investments Holdings II Ltd. (“ROIHL II”), a wholly owned subsidiary of RenaissanceRe Holdings Ltd. (“RenaissanceRe Holdings”), have shared voting and dispositive power over the 595,238 shares. RenaissanceRe Ventures, ROIHL II and RenaissanceRe Holdings each may be deemed to beneficially own the 595,238 shares.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right="960" w:firstLine="648"/>
        <w:spacing w:after="0" w:line="268" w:lineRule="auto"/>
        <w:rPr>
          <w:sz w:val="20"/>
          <w:szCs w:val="20"/>
          <w:color w:val="auto"/>
        </w:rPr>
      </w:pPr>
      <w:r>
        <w:rPr>
          <w:rFonts w:ascii="Arial" w:cs="Arial" w:eastAsia="Arial" w:hAnsi="Arial"/>
          <w:sz w:val="18"/>
          <w:szCs w:val="18"/>
          <w:color w:val="auto"/>
        </w:rPr>
        <w:t>The following table sets forth information as of December 31, 2017 with respect to compensation plans (including individual compensation arrangements) under which our common shares are authorized for issuance, aggregated as follows:</w:t>
      </w:r>
    </w:p>
    <w:p>
      <w:pPr>
        <w:spacing w:after="0" w:line="186"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compensation plans previously approved by security holders; and</w:t>
      </w:r>
    </w:p>
    <w:p>
      <w:pPr>
        <w:spacing w:after="0" w:line="1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compensation plans not previously approved by security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5"/>
              </w:rPr>
              <w:t>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9"/>
              </w:rPr>
              <w:t>remaining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available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securities to be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21"/>
              <w:spacing w:after="0" w:line="162"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6"/>
              </w:rPr>
              <w:t>future issuance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issued upon</w:t>
            </w:r>
          </w:p>
        </w:tc>
        <w:tc>
          <w:tcPr>
            <w:tcW w:w="26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5"/>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under 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exercise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21"/>
              <w:spacing w:after="0" w:line="162" w:lineRule="exact"/>
              <w:rPr>
                <w:sz w:val="20"/>
                <w:szCs w:val="20"/>
                <w:color w:val="auto"/>
              </w:rPr>
            </w:pPr>
            <w:r>
              <w:rPr>
                <w:rFonts w:ascii="Arial" w:cs="Arial" w:eastAsia="Arial" w:hAnsi="Arial"/>
                <w:sz w:val="15"/>
                <w:szCs w:val="15"/>
                <w:b w:val="1"/>
                <w:bCs w:val="1"/>
                <w:color w:val="auto"/>
                <w:w w:val="88"/>
              </w:rPr>
              <w:t>price of</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6"/>
              </w:rPr>
              <w:t>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1"/>
              <w:spacing w:after="0" w:line="162" w:lineRule="exact"/>
              <w:rPr>
                <w:sz w:val="20"/>
                <w:szCs w:val="20"/>
                <w:color w:val="auto"/>
              </w:rPr>
            </w:pPr>
            <w:r>
              <w:rPr>
                <w:rFonts w:ascii="Arial" w:cs="Arial" w:eastAsia="Arial" w:hAnsi="Arial"/>
                <w:sz w:val="15"/>
                <w:szCs w:val="15"/>
                <w:b w:val="1"/>
                <w:bCs w:val="1"/>
                <w:color w:val="auto"/>
                <w:w w:val="86"/>
              </w:rPr>
              <w:t>outstanding</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plans (excluding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1"/>
              <w:spacing w:after="0" w:line="162" w:lineRule="exact"/>
              <w:rPr>
                <w:sz w:val="20"/>
                <w:szCs w:val="20"/>
                <w:color w:val="auto"/>
              </w:rPr>
            </w:pPr>
            <w:r>
              <w:rPr>
                <w:rFonts w:ascii="Arial" w:cs="Arial" w:eastAsia="Arial" w:hAnsi="Arial"/>
                <w:sz w:val="15"/>
                <w:szCs w:val="15"/>
                <w:b w:val="1"/>
                <w:bCs w:val="1"/>
                <w:color w:val="auto"/>
                <w:w w:val="85"/>
              </w:rPr>
              <w:t>options,</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5"/>
              </w:rPr>
              <w:t>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warrants and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1"/>
              <w:spacing w:after="0" w:line="162" w:lineRule="exact"/>
              <w:rPr>
                <w:sz w:val="20"/>
                <w:szCs w:val="20"/>
                <w:color w:val="auto"/>
              </w:rPr>
            </w:pPr>
            <w:r>
              <w:rPr>
                <w:rFonts w:ascii="Arial" w:cs="Arial" w:eastAsia="Arial" w:hAnsi="Arial"/>
                <w:sz w:val="15"/>
                <w:szCs w:val="15"/>
                <w:b w:val="1"/>
                <w:bCs w:val="1"/>
                <w:color w:val="auto"/>
                <w:w w:val="92"/>
              </w:rPr>
              <w:t>warrants and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9"/>
              </w:rPr>
              <w:t>reflected in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6"/>
              </w:rPr>
              <w:t>rights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1"/>
              <w:spacing w:after="0"/>
              <w:rPr>
                <w:sz w:val="20"/>
                <w:szCs w:val="20"/>
                <w:color w:val="auto"/>
              </w:rPr>
            </w:pPr>
            <w:r>
              <w:rPr>
                <w:rFonts w:ascii="Arial" w:cs="Arial" w:eastAsia="Arial" w:hAnsi="Arial"/>
                <w:sz w:val="15"/>
                <w:szCs w:val="15"/>
                <w:b w:val="1"/>
                <w:bCs w:val="1"/>
                <w:color w:val="auto"/>
                <w:w w:val="91"/>
              </w:rPr>
              <w:t>rights</w:t>
            </w:r>
          </w:p>
        </w:tc>
        <w:tc>
          <w:tcPr>
            <w:tcW w:w="28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column (a))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550,352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341,150</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550,352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Our Board of Directors is currently comprised of Barry B. Goldstein, Jay M. Haft, Floyd R. Tupper, William L. Yankus, Carla A. D’Andre and Dale A. Thatcher. Each of Messrs. Haft, Tupper, and Yankus and Ms. D’Andre is currently an “independent director” based on the definition of independence in Listing Rule 5605(a)(2) of The NASDAQ Stock Market.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right="140" w:firstLine="648"/>
        <w:spacing w:after="0" w:line="332" w:lineRule="auto"/>
        <w:rPr>
          <w:sz w:val="20"/>
          <w:szCs w:val="20"/>
          <w:color w:val="auto"/>
        </w:rPr>
      </w:pPr>
      <w:r>
        <w:rPr>
          <w:rFonts w:ascii="Arial" w:cs="Arial" w:eastAsia="Arial" w:hAnsi="Arial"/>
          <w:sz w:val="16"/>
          <w:szCs w:val="16"/>
          <w:color w:val="auto"/>
        </w:rPr>
        <w:t>The members of our Board’s Audit Committee currently are Messrs. Tupper, Haft and Yankus, each of whom is an “independent director” based on the definition of independence in Listing Rule 5605(a)(2) of The NASDAQ Stock Market and Rule 10A-3(b)(1) under the Exchange Act.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right="780" w:firstLine="648"/>
        <w:spacing w:after="0" w:line="332" w:lineRule="auto"/>
        <w:rPr>
          <w:sz w:val="20"/>
          <w:szCs w:val="20"/>
          <w:color w:val="auto"/>
        </w:rPr>
      </w:pPr>
      <w:r>
        <w:rPr>
          <w:rFonts w:ascii="Arial" w:cs="Arial" w:eastAsia="Arial" w:hAnsi="Arial"/>
          <w:sz w:val="16"/>
          <w:szCs w:val="16"/>
          <w:color w:val="auto"/>
        </w:rPr>
        <w:t>The members of our Board’s Nominating and Corporate Governance Committee currently are Mr. Haft and Ms. D’Andre, each of whom is an “independent director” based on the definition of independence in Listing Rule 5605(a)(2) of The NASDAQ Stock Market.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800" w:firstLine="648"/>
        <w:spacing w:after="0" w:line="332" w:lineRule="auto"/>
        <w:rPr>
          <w:sz w:val="20"/>
          <w:szCs w:val="20"/>
          <w:color w:val="auto"/>
        </w:rPr>
      </w:pPr>
      <w:r>
        <w:rPr>
          <w:rFonts w:ascii="Arial" w:cs="Arial" w:eastAsia="Arial" w:hAnsi="Arial"/>
          <w:sz w:val="16"/>
          <w:szCs w:val="16"/>
          <w:color w:val="auto"/>
        </w:rPr>
        <w:t>The members of our Board’s Compensation Committee currently are Messrs. Yankus, Haft and Tupper and Ms. D’Andre, each of whom is an “independent director” based on the definition of independence in Listing Rule 5605(a)(2) of The NASDAQ Stock Market.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r>
        <w:rPr>
          <w:rFonts w:ascii="Arial" w:cs="Arial" w:eastAsia="Arial" w:hAnsi="Arial"/>
          <w:sz w:val="18"/>
          <w:szCs w:val="18"/>
          <w:color w:val="auto"/>
        </w:rPr>
        <w:t>.</w:t>
      </w:r>
    </w:p>
    <w:p>
      <w:pPr>
        <w:spacing w:after="0" w:line="231" w:lineRule="exact"/>
        <w:rPr>
          <w:sz w:val="20"/>
          <w:szCs w:val="20"/>
          <w:color w:val="auto"/>
        </w:rPr>
      </w:pPr>
    </w:p>
    <w:p>
      <w:pPr>
        <w:ind w:right="420" w:firstLine="648"/>
        <w:spacing w:after="0" w:line="268" w:lineRule="auto"/>
        <w:rPr>
          <w:sz w:val="20"/>
          <w:szCs w:val="20"/>
          <w:color w:val="auto"/>
        </w:rPr>
      </w:pPr>
      <w:r>
        <w:rPr>
          <w:rFonts w:ascii="Arial" w:cs="Arial" w:eastAsia="Arial" w:hAnsi="Arial"/>
          <w:sz w:val="18"/>
          <w:szCs w:val="18"/>
          <w:color w:val="auto"/>
        </w:rPr>
        <w:t>The following is a summary of the fees billed to us by Marcum LLP, our independent auditors, for professional services rendered for the fiscal year ended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Fee Category</w:t>
            </w:r>
          </w:p>
        </w:tc>
        <w:tc>
          <w:tcPr>
            <w:tcW w:w="13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5"/>
                <w:szCs w:val="15"/>
                <w:b w:val="1"/>
                <w:bCs w:val="1"/>
                <w:color w:val="auto"/>
                <w:w w:val="97"/>
              </w:rPr>
              <w:t>Fiscal 2017 Fees</w:t>
            </w:r>
          </w:p>
        </w:tc>
        <w:tc>
          <w:tcPr>
            <w:tcW w:w="13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5"/>
                <w:szCs w:val="15"/>
                <w:b w:val="1"/>
                <w:bCs w:val="1"/>
                <w:color w:val="auto"/>
                <w:w w:val="97"/>
              </w:rPr>
              <w:t>Fiscal 2016 Fees</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392,214</w:t>
            </w:r>
          </w:p>
        </w:tc>
        <w:tc>
          <w:tcPr>
            <w:tcW w:w="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210,451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Audit-Related Fees(2)</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2,060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All Other Fees(4)</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392,214</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212,511</w:t>
            </w:r>
          </w:p>
        </w:tc>
      </w:tr>
    </w:tbl>
    <w:p>
      <w:pPr>
        <w:spacing w:after="0" w:line="208" w:lineRule="exact"/>
        <w:rPr>
          <w:sz w:val="20"/>
          <w:szCs w:val="20"/>
          <w:color w:val="auto"/>
        </w:rPr>
      </w:pPr>
    </w:p>
    <w:p>
      <w:pPr>
        <w:jc w:val="both"/>
        <w:ind w:left="340" w:right="20" w:hanging="332"/>
        <w:spacing w:after="0" w:line="25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Forms S-3 and services provided in connection with other statutory or regulatory filings.</w:t>
      </w:r>
    </w:p>
    <w:p>
      <w:pPr>
        <w:ind w:left="340" w:hanging="332"/>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Audit-Related Fees consist of aggregate fees billed for assurance and related services that are reasonably related to the performance of the audit or review of our financial statements and are not reported under “Audit Fees.”</w:t>
      </w: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 Fees consist of fees billed by our independent auditors for professional services related to tax advice.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Other Fees consist of aggregate fees billed for products and services provided by our independent auditors, other than those disclosed above.</w:t>
      </w:r>
    </w:p>
    <w:p>
      <w:pPr>
        <w:spacing w:after="0" w:line="24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6"/>
          </w:tcPr>
          <w:p>
            <w:pPr>
              <w:spacing w:after="0"/>
              <w:rPr>
                <w:sz w:val="20"/>
                <w:szCs w:val="20"/>
                <w:color w:val="auto"/>
              </w:rPr>
            </w:pPr>
            <w:r>
              <w:rPr>
                <w:rFonts w:ascii="Arial" w:cs="Arial" w:eastAsia="Arial" w:hAnsi="Arial"/>
                <w:sz w:val="18"/>
                <w:szCs w:val="18"/>
                <w:b w:val="1"/>
                <w:bCs w:val="1"/>
                <w:color w:val="auto"/>
              </w:rPr>
              <w:t>Exhibit</w:t>
            </w: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gridSpan w:val="6"/>
          </w:tcPr>
          <w:p>
            <w:pPr>
              <w:spacing w:after="0"/>
              <w:rPr>
                <w:sz w:val="20"/>
                <w:szCs w:val="20"/>
                <w:color w:val="auto"/>
              </w:rPr>
            </w:pPr>
            <w:r>
              <w:rPr>
                <w:rFonts w:ascii="Arial" w:cs="Arial" w:eastAsia="Arial" w:hAnsi="Arial"/>
                <w:sz w:val="18"/>
                <w:szCs w:val="18"/>
                <w:b w:val="1"/>
                <w:bCs w:val="1"/>
                <w:color w:val="auto"/>
              </w:rPr>
              <w:t>Number</w:t>
            </w:r>
          </w:p>
        </w:tc>
        <w:tc>
          <w:tcPr>
            <w:tcW w:w="10480" w:type="dxa"/>
            <w:vAlign w:val="bottom"/>
          </w:tcPr>
          <w:p>
            <w:pPr>
              <w:ind w:left="32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3(a)</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Restated Certificate of Incorporation, as amended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3(b)</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By-laws, as amended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4(a)</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Indenture, dated as of December 9, 2017, between Kingstone Companies, Inc. and Wilmington Trust, National Association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4(b)</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88"/>
              </w:rPr>
              <w:t>First Supplemental Indenture, dated as of December 19, 2017, between Kingstone Companies, Inc. and Wilmington Trust, National Association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4(c)</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Form of Global Note representing $30,000,000 aggregate principal amount of 5.50% Senior Unsecured Notes due 2022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10(a)</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2005 Equity Participation Plan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10(b)</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2014 Equity Participation Plan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10(c)</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Employment Agreement, dated as of January 20, 2017, between Kingstone Companies, Inc. and Barry B. Goldstein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10(d)</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Employment Agreement, dated as of April 28, 2017, between Kingstone Insurance Company and Barry B. Goldstein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10(e)</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0"/>
              </w:rPr>
              <w:t>Stock Option Agreement, dated as of August 12, 2014, between Kingstone Companies, Inc. and Barry B. Goldstein (2005 Equity Participation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Plan)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10(f)</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0"/>
              </w:rPr>
              <w:t>Stock Option Agreement, dated as of August 12, 2014, between Kingstone Companies, Inc. and Barry B. Goldstein (2014 Equity Participation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Plan)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10(g)</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Purchase Agreement, dated April 18, 2016, by and between Kingstone Companies, Inc. and RenaissanceRe Ventures Ltd.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10(h)</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2"/>
              </w:rPr>
              <w:t>Underwriting Agreement, dated January 25, 2017, among Kingstone Companies, Inc., the selling stockholders named therein and Sandler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O’Neill &amp; Partners, L.P., as representative of the underwriters named therein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10 (i)</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8"/>
              </w:rPr>
              <w:t>Underwriting Agreement, dated December 14, 2017, between Kingstone Companies, Inc. and Sandler O’Neill &amp; Partners, L.P.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10 (j)</w:t>
              </w:r>
            </w:hyperlink>
          </w:p>
        </w:tc>
        <w:tc>
          <w:tcPr>
            <w:tcW w:w="10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Employment Agreement, dated March 14, 2018, between Kingstone Companies, Inc. and Dale A. Thatcher</w:t>
            </w:r>
          </w:p>
        </w:tc>
        <w:tc>
          <w:tcPr>
            <w:tcW w:w="0" w:type="dxa"/>
            <w:vAlign w:val="bottom"/>
          </w:tcPr>
          <w:p>
            <w:pPr>
              <w:spacing w:after="0"/>
              <w:rPr>
                <w:sz w:val="1"/>
                <w:szCs w:val="1"/>
                <w:color w:val="auto"/>
              </w:rPr>
            </w:pPr>
          </w:p>
        </w:tc>
      </w:tr>
      <w:tr>
        <w:trPr>
          <w:trHeight w:val="809"/>
        </w:trPr>
        <w:tc>
          <w:tcPr>
            <w:tcW w:w="20" w:type="dxa"/>
            <w:vAlign w:val="bottom"/>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0480" w:type="dxa"/>
            <w:vAlign w:val="bottom"/>
            <w:tcBorders>
              <w:top w:val="single" w:sz="8" w:color="CCEEFF"/>
              <w:bottom w:val="single" w:sz="8" w:color="auto"/>
            </w:tcBorders>
          </w:tcPr>
          <w:p>
            <w:pPr>
              <w:ind w:left="46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 w:type="dxa"/>
            <w:vAlign w:val="bottom"/>
            <w:gridSpan w:val="7"/>
          </w:tcPr>
          <w:p>
            <w:pPr>
              <w:spacing w:after="0"/>
              <w:rPr>
                <w:rFonts w:ascii="Arial" w:cs="Arial" w:eastAsia="Arial" w:hAnsi="Arial"/>
                <w:sz w:val="15"/>
                <w:szCs w:val="15"/>
                <w:color w:val="0000EE"/>
              </w:rPr>
            </w:pPr>
            <w:hyperlink w:anchor="page1">
              <w:r>
                <w:rPr>
                  <w:rFonts w:ascii="Arial" w:cs="Arial" w:eastAsia="Arial" w:hAnsi="Arial"/>
                  <w:sz w:val="15"/>
                  <w:szCs w:val="15"/>
                  <w:color w:val="0000EE"/>
                </w:rPr>
                <w:t>Index</w:t>
              </w:r>
            </w:hyperlink>
          </w:p>
        </w:tc>
        <w:tc>
          <w:tcPr>
            <w:tcW w:w="10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vMerge w:val="restart"/>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 w:type="dxa"/>
            <w:vAlign w:val="bottom"/>
            <w:shd w:val="clear" w:color="auto" w:fill="CCEEFF"/>
          </w:tcPr>
          <w:p>
            <w:pPr>
              <w:spacing w:after="0" w:line="176" w:lineRule="exact"/>
              <w:rPr>
                <w:rFonts w:ascii="Arial" w:cs="Arial" w:eastAsia="Arial" w:hAnsi="Arial"/>
                <w:sz w:val="18"/>
                <w:szCs w:val="18"/>
                <w:color w:val="0000EE"/>
                <w:w w:val="79"/>
              </w:rPr>
            </w:pPr>
            <w:hyperlink w:anchor="page160">
              <w:r>
                <w:rPr>
                  <w:rFonts w:ascii="Arial" w:cs="Arial" w:eastAsia="Arial" w:hAnsi="Arial"/>
                  <w:sz w:val="18"/>
                  <w:szCs w:val="18"/>
                  <w:color w:val="0000EE"/>
                  <w:w w:val="79"/>
                </w:rPr>
                <w:t>10</w:t>
              </w:r>
            </w:hyperlink>
          </w:p>
        </w:tc>
        <w:tc>
          <w:tcPr>
            <w:tcW w:w="64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(k)</w:t>
              </w:r>
            </w:hyperlink>
          </w:p>
        </w:tc>
        <w:tc>
          <w:tcPr>
            <w:tcW w:w="105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Stock Grant Agreement dated as of March 14, 2018, between Kingstone Companies, Inc. and Dale A. Thatcher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 w:type="dxa"/>
            <w:vAlign w:val="bottom"/>
            <w:shd w:val="clear" w:color="auto" w:fill="CCEEFF"/>
          </w:tcPr>
          <w:p>
            <w:pPr>
              <w:spacing w:after="0" w:line="176" w:lineRule="exact"/>
              <w:rPr>
                <w:rFonts w:ascii="Arial" w:cs="Arial" w:eastAsia="Arial" w:hAnsi="Arial"/>
                <w:sz w:val="18"/>
                <w:szCs w:val="18"/>
                <w:color w:val="0000EE"/>
                <w:w w:val="79"/>
              </w:rPr>
            </w:pPr>
            <w:hyperlink w:anchor="page163">
              <w:r>
                <w:rPr>
                  <w:rFonts w:ascii="Arial" w:cs="Arial" w:eastAsia="Arial" w:hAnsi="Arial"/>
                  <w:sz w:val="18"/>
                  <w:szCs w:val="18"/>
                  <w:color w:val="0000EE"/>
                  <w:w w:val="79"/>
                </w:rPr>
                <w:t>10</w:t>
              </w:r>
            </w:hyperlink>
          </w:p>
        </w:tc>
        <w:tc>
          <w:tcPr>
            <w:tcW w:w="64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(l)</w:t>
              </w:r>
            </w:hyperlink>
          </w:p>
        </w:tc>
        <w:tc>
          <w:tcPr>
            <w:tcW w:w="105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Employment Agreement, dated March 14, 2018, between Kingstone Insurance Company and Dale A. Thatcher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6"/>
            <w:shd w:val="clear" w:color="auto" w:fill="CCEEFF"/>
          </w:tcPr>
          <w:p>
            <w:pPr>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14(a)</w:t>
              </w:r>
            </w:hyperlink>
          </w:p>
        </w:tc>
        <w:tc>
          <w:tcPr>
            <w:tcW w:w="105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Code of Ethics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6"/>
            <w:shd w:val="clear" w:color="auto" w:fill="CCEEFF"/>
          </w:tcPr>
          <w:p>
            <w:pPr>
              <w:spacing w:after="0" w:line="176" w:lineRule="exact"/>
              <w:rPr>
                <w:rFonts w:ascii="Arial" w:cs="Arial" w:eastAsia="Arial" w:hAnsi="Arial"/>
                <w:sz w:val="18"/>
                <w:szCs w:val="18"/>
                <w:color w:val="0000EE"/>
              </w:rPr>
            </w:pPr>
            <w:hyperlink r:id="rId125">
              <w:r>
                <w:rPr>
                  <w:rFonts w:ascii="Arial" w:cs="Arial" w:eastAsia="Arial" w:hAnsi="Arial"/>
                  <w:sz w:val="18"/>
                  <w:szCs w:val="18"/>
                  <w:color w:val="0000EE"/>
                </w:rPr>
                <w:t>14(b)</w:t>
              </w:r>
            </w:hyperlink>
          </w:p>
        </w:tc>
        <w:tc>
          <w:tcPr>
            <w:tcW w:w="105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Officer and Director Trading Restrictions Policy (4)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60" w:hanging="1252"/>
        <w:spacing w:after="0"/>
        <w:tabs>
          <w:tab w:leader="none" w:pos="1260" w:val="left"/>
        </w:tabs>
        <w:numPr>
          <w:ilvl w:val="0"/>
          <w:numId w:val="38"/>
        </w:numPr>
        <w:rPr>
          <w:rFonts w:ascii="Arial" w:cs="Arial" w:eastAsia="Arial" w:hAnsi="Arial"/>
          <w:sz w:val="18"/>
          <w:szCs w:val="18"/>
          <w:u w:val="single" w:color="auto"/>
          <w:color w:val="0000EE"/>
        </w:rPr>
      </w:pPr>
      <w:r>
        <w:rPr>
          <w:rFonts w:ascii="Arial" w:cs="Arial" w:eastAsia="Arial" w:hAnsi="Arial"/>
          <w:sz w:val="18"/>
          <w:szCs w:val="18"/>
          <w:color w:val="auto"/>
        </w:rPr>
        <w:t>Subsidiaries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260" w:hanging="1252"/>
        <w:spacing w:after="0"/>
        <w:tabs>
          <w:tab w:leader="none" w:pos="1260" w:val="left"/>
        </w:tabs>
        <w:numPr>
          <w:ilvl w:val="0"/>
          <w:numId w:val="39"/>
        </w:numPr>
        <w:rPr>
          <w:rFonts w:ascii="Arial" w:cs="Arial" w:eastAsia="Arial" w:hAnsi="Arial"/>
          <w:sz w:val="18"/>
          <w:szCs w:val="18"/>
          <w:u w:val="single" w:color="auto"/>
          <w:color w:val="0000EE"/>
        </w:rPr>
      </w:pPr>
      <w:r>
        <w:rPr>
          <w:rFonts w:ascii="Arial" w:cs="Arial" w:eastAsia="Arial" w:hAnsi="Arial"/>
          <w:sz w:val="18"/>
          <w:szCs w:val="18"/>
          <w:color w:val="auto"/>
        </w:rPr>
        <w:t>Consent of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00" w:type="dxa"/>
            <w:vAlign w:val="bottom"/>
            <w:gridSpan w:val="2"/>
            <w:shd w:val="clear" w:color="auto" w:fill="CCEEFF"/>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31(a)</w:t>
              </w:r>
            </w:hyperlink>
          </w:p>
        </w:tc>
        <w:tc>
          <w:tcPr>
            <w:tcW w:w="2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Rule 13a-14(a)/15d-14(a)</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Certification of Principal Executive Officer as 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gridSpan w:val="2"/>
            <w:shd w:val="clear" w:color="auto" w:fill="CCEEFF"/>
          </w:tcPr>
          <w:p>
            <w:pPr>
              <w:spacing w:after="0" w:line="176" w:lineRule="exact"/>
              <w:rPr>
                <w:rFonts w:ascii="Arial" w:cs="Arial" w:eastAsia="Arial" w:hAnsi="Arial"/>
                <w:sz w:val="18"/>
                <w:szCs w:val="18"/>
                <w:color w:val="0000EE"/>
              </w:rPr>
            </w:pPr>
            <w:hyperlink w:anchor="page183">
              <w:r>
                <w:rPr>
                  <w:rFonts w:ascii="Arial" w:cs="Arial" w:eastAsia="Arial" w:hAnsi="Arial"/>
                  <w:sz w:val="18"/>
                  <w:szCs w:val="18"/>
                  <w:color w:val="0000EE"/>
                </w:rPr>
                <w:t>31(b)</w:t>
              </w:r>
            </w:hyperlink>
          </w:p>
        </w:tc>
        <w:tc>
          <w:tcPr>
            <w:tcW w:w="22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88"/>
              </w:rPr>
              <w:t>Rule 13a-14(a)/15d-14(a)</w:t>
            </w:r>
          </w:p>
        </w:tc>
        <w:tc>
          <w:tcPr>
            <w:tcW w:w="8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Certification of Principal Financial Officer as 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60" w:right="40" w:hanging="1252"/>
        <w:spacing w:after="0" w:line="268" w:lineRule="auto"/>
        <w:tabs>
          <w:tab w:leader="none" w:pos="1260" w:val="left"/>
        </w:tabs>
        <w:numPr>
          <w:ilvl w:val="0"/>
          <w:numId w:val="40"/>
        </w:numPr>
        <w:rPr>
          <w:rFonts w:ascii="Arial" w:cs="Arial" w:eastAsia="Arial" w:hAnsi="Arial"/>
          <w:sz w:val="18"/>
          <w:szCs w:val="18"/>
          <w:u w:val="single" w:color="auto"/>
          <w:color w:val="0000EE"/>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101.SCH 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101.CAL 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101.DEF 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101.LAB 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101.PRE XBRL Taxonomy Extension Presentation Linkbase.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217" w:lineRule="exact"/>
        <w:rPr>
          <w:sz w:val="20"/>
          <w:szCs w:val="20"/>
          <w:color w:val="auto"/>
        </w:rPr>
      </w:pPr>
    </w:p>
    <w:p>
      <w:pPr>
        <w:ind w:left="820" w:right="700" w:hanging="812"/>
        <w:spacing w:after="0" w:line="268"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Denotes document filed as an exhibit to our Quarterly Report on Form 10-Q for the period ended March 31, 2014 and incorporated herein by reference.</w:t>
      </w:r>
    </w:p>
    <w:p>
      <w:pPr>
        <w:spacing w:after="0" w:line="185" w:lineRule="exact"/>
        <w:rPr>
          <w:rFonts w:ascii="Arial" w:cs="Arial" w:eastAsia="Arial" w:hAnsi="Arial"/>
          <w:sz w:val="18"/>
          <w:szCs w:val="18"/>
          <w:color w:val="auto"/>
        </w:rPr>
      </w:pPr>
    </w:p>
    <w:p>
      <w:pPr>
        <w:ind w:left="820" w:hanging="812"/>
        <w:spacing w:after="0"/>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Denotes document filed as an exhibit to our Current Report on Form 8-K for an event dated November 5, 2009 and incorporated herein by reference.</w:t>
      </w:r>
    </w:p>
    <w:p>
      <w:pPr>
        <w:spacing w:after="0" w:line="248" w:lineRule="exact"/>
        <w:rPr>
          <w:rFonts w:ascii="Arial" w:cs="Arial" w:eastAsia="Arial" w:hAnsi="Arial"/>
          <w:sz w:val="16"/>
          <w:szCs w:val="16"/>
          <w:color w:val="auto"/>
        </w:rPr>
      </w:pPr>
    </w:p>
    <w:p>
      <w:pPr>
        <w:ind w:left="820" w:hanging="812"/>
        <w:spacing w:after="0"/>
        <w:tabs>
          <w:tab w:leader="none" w:pos="8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Denotes document filed as an exhibit to our Current Report on Form 8-K for an event dated December 19, 2017 and incorporated herein by reference.</w:t>
      </w:r>
    </w:p>
    <w:p>
      <w:pPr>
        <w:spacing w:after="0" w:line="259" w:lineRule="exact"/>
        <w:rPr>
          <w:rFonts w:ascii="Arial" w:cs="Arial" w:eastAsia="Arial" w:hAnsi="Arial"/>
          <w:sz w:val="15"/>
          <w:szCs w:val="15"/>
          <w:color w:val="auto"/>
        </w:rPr>
      </w:pPr>
    </w:p>
    <w:p>
      <w:pPr>
        <w:ind w:left="820" w:right="300" w:hanging="812"/>
        <w:spacing w:after="0" w:line="268"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Denotes document filed as an exhibit to our Annual Report on Form 10-K for the fiscal year ended December 31, 2014 and incorporated herein by reference.</w:t>
      </w:r>
    </w:p>
    <w:p>
      <w:pPr>
        <w:spacing w:after="0" w:line="185" w:lineRule="exact"/>
        <w:rPr>
          <w:rFonts w:ascii="Arial" w:cs="Arial" w:eastAsia="Arial" w:hAnsi="Arial"/>
          <w:sz w:val="18"/>
          <w:szCs w:val="18"/>
          <w:color w:val="auto"/>
        </w:rPr>
      </w:pPr>
    </w:p>
    <w:p>
      <w:pPr>
        <w:ind w:left="820" w:hanging="812"/>
        <w:spacing w:after="0"/>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Denotes document filed as an exhibit to our Current Report on Form 8-K for an event dated August 12, 2014 and incorporated herein by reference.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9" w:lineRule="exact"/>
        <w:rPr>
          <w:sz w:val="20"/>
          <w:szCs w:val="20"/>
          <w:color w:val="auto"/>
        </w:rPr>
      </w:pPr>
    </w:p>
    <w:p>
      <w:pPr>
        <w:ind w:left="820" w:hanging="812"/>
        <w:spacing w:after="0"/>
        <w:tabs>
          <w:tab w:leader="none" w:pos="8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Denotes document filed as an exhibit to our Current Report on Form 8-K for an event dated January 20, 2017 and incorporated herein by reference.</w:t>
      </w:r>
    </w:p>
    <w:p>
      <w:pPr>
        <w:spacing w:after="0" w:line="246" w:lineRule="exact"/>
        <w:rPr>
          <w:rFonts w:ascii="Arial" w:cs="Arial" w:eastAsia="Arial" w:hAnsi="Arial"/>
          <w:sz w:val="15"/>
          <w:szCs w:val="15"/>
          <w:color w:val="auto"/>
        </w:rPr>
      </w:pPr>
    </w:p>
    <w:p>
      <w:pPr>
        <w:ind w:left="820" w:hanging="812"/>
        <w:spacing w:after="0"/>
        <w:tabs>
          <w:tab w:leader="none" w:pos="8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Denotes document filed as an exhibit to our Current Report on Form 8-K for an event dated April 18, 2016 and</w:t>
      </w:r>
    </w:p>
    <w:p>
      <w:pPr>
        <w:ind w:left="820"/>
        <w:spacing w:after="0" w:line="223" w:lineRule="auto"/>
        <w:rPr>
          <w:sz w:val="20"/>
          <w:szCs w:val="20"/>
          <w:color w:val="auto"/>
        </w:rPr>
      </w:pPr>
      <w:r>
        <w:rPr>
          <w:rFonts w:ascii="Arial" w:cs="Arial" w:eastAsia="Arial" w:hAnsi="Arial"/>
          <w:sz w:val="22"/>
          <w:szCs w:val="22"/>
          <w:color w:val="auto"/>
        </w:rPr>
        <w:t>incorporated herein by reference.</w:t>
      </w:r>
    </w:p>
    <w:p>
      <w:pPr>
        <w:spacing w:after="0" w:line="231" w:lineRule="auto"/>
        <w:rPr>
          <w:sz w:val="20"/>
          <w:szCs w:val="20"/>
          <w:color w:val="auto"/>
        </w:rPr>
      </w:pPr>
      <w:r>
        <w:rPr>
          <w:rFonts w:ascii="Arial" w:cs="Arial" w:eastAsia="Arial" w:hAnsi="Arial"/>
          <w:sz w:val="22"/>
          <w:szCs w:val="22"/>
          <w:color w:val="auto"/>
        </w:rPr>
        <w:t>(8)</w:t>
      </w:r>
    </w:p>
    <w:p>
      <w:pPr>
        <w:ind w:left="820"/>
        <w:spacing w:after="0" w:line="237" w:lineRule="auto"/>
        <w:rPr>
          <w:sz w:val="20"/>
          <w:szCs w:val="20"/>
          <w:color w:val="auto"/>
        </w:rPr>
      </w:pPr>
      <w:r>
        <w:rPr>
          <w:rFonts w:ascii="Arial" w:cs="Arial" w:eastAsia="Arial" w:hAnsi="Arial"/>
          <w:sz w:val="19"/>
          <w:szCs w:val="19"/>
          <w:color w:val="auto"/>
        </w:rPr>
        <w:t>Denotes document filed as an exhibit to our Current Report on Form 8-K for an event dated January 25, 2017 and</w:t>
      </w:r>
    </w:p>
    <w:p>
      <w:pPr>
        <w:spacing w:after="0" w:line="10" w:lineRule="exact"/>
        <w:rPr>
          <w:sz w:val="20"/>
          <w:szCs w:val="20"/>
          <w:color w:val="auto"/>
        </w:rPr>
      </w:pPr>
    </w:p>
    <w:p>
      <w:pPr>
        <w:ind w:left="820" w:hanging="812"/>
        <w:spacing w:after="0"/>
        <w:tabs>
          <w:tab w:leader="none" w:pos="8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incorporated herein by reference.</w:t>
      </w:r>
    </w:p>
    <w:p>
      <w:pPr>
        <w:spacing w:after="0" w:line="206" w:lineRule="exact"/>
        <w:rPr>
          <w:rFonts w:ascii="Arial" w:cs="Arial" w:eastAsia="Arial" w:hAnsi="Arial"/>
          <w:sz w:val="22"/>
          <w:szCs w:val="22"/>
          <w:color w:val="auto"/>
        </w:rPr>
      </w:pPr>
    </w:p>
    <w:p>
      <w:pPr>
        <w:ind w:left="820" w:right="320"/>
        <w:spacing w:after="0" w:line="251" w:lineRule="auto"/>
        <w:rPr>
          <w:rFonts w:ascii="Arial" w:cs="Arial" w:eastAsia="Arial" w:hAnsi="Arial"/>
          <w:sz w:val="22"/>
          <w:szCs w:val="22"/>
          <w:color w:val="auto"/>
        </w:rPr>
      </w:pPr>
      <w:r>
        <w:rPr>
          <w:rFonts w:ascii="Arial" w:cs="Arial" w:eastAsia="Arial" w:hAnsi="Arial"/>
          <w:sz w:val="22"/>
          <w:szCs w:val="22"/>
          <w:color w:val="auto"/>
        </w:rPr>
        <w:t>Denotes document filed as an exhibit to our Current Report on Form 8-K for an event dated December 14, 2017 and incorporated herein by reference.</w:t>
      </w:r>
    </w:p>
    <w:p>
      <w:pPr>
        <w:spacing w:after="0" w:line="186" w:lineRule="exact"/>
        <w:rPr>
          <w:rFonts w:ascii="Arial" w:cs="Arial" w:eastAsia="Arial" w:hAnsi="Arial"/>
          <w:sz w:val="22"/>
          <w:szCs w:val="22"/>
          <w:color w:val="auto"/>
        </w:rPr>
      </w:pPr>
    </w:p>
    <w:p>
      <w:pPr>
        <w:ind w:left="820" w:hanging="812"/>
        <w:spacing w:after="0"/>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Denotes document filed as an exhibit to our Annual Report on Form 10-K for the fiscal year ended December 31, 2016 and incorporated herein by</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FORM 10-K SUMMARY</w:t>
      </w:r>
      <w:r>
        <w:rPr>
          <w:rFonts w:ascii="Arial" w:cs="Arial" w:eastAsia="Arial" w:hAnsi="Arial"/>
          <w:sz w:val="18"/>
          <w:szCs w:val="18"/>
          <w:b w:val="1"/>
          <w:bCs w:val="1"/>
          <w:color w:val="auto"/>
        </w:rPr>
        <w: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130" w:right="47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31"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KINGSTONE COMPANIES, INC.</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March 15, 2018</w:t>
      </w:r>
      <w:r>
        <w:rPr>
          <w:sz w:val="20"/>
          <w:szCs w:val="20"/>
          <w:color w:val="auto"/>
        </w:rPr>
        <w:tab/>
      </w:r>
      <w:r>
        <w:rPr>
          <w:rFonts w:ascii="Arial" w:cs="Arial" w:eastAsia="Arial" w:hAnsi="Arial"/>
          <w:sz w:val="16"/>
          <w:szCs w:val="16"/>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Barry B. Goldstein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5"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Capacity</w:t>
            </w: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Date</w:t>
            </w:r>
          </w:p>
        </w:tc>
      </w:tr>
      <w:tr>
        <w:trPr>
          <w:trHeight w:val="36"/>
        </w:trPr>
        <w:tc>
          <w:tcPr>
            <w:tcW w:w="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424"/>
        </w:trPr>
        <w:tc>
          <w:tcPr>
            <w:tcW w:w="2880" w:type="dxa"/>
            <w:vAlign w:val="bottom"/>
            <w:gridSpan w:val="2"/>
          </w:tcPr>
          <w:p>
            <w:pPr>
              <w:spacing w:after="0"/>
              <w:rPr>
                <w:sz w:val="20"/>
                <w:szCs w:val="20"/>
                <w:color w:val="auto"/>
              </w:rPr>
            </w:pPr>
            <w:r>
              <w:rPr>
                <w:rFonts w:ascii="Arial" w:cs="Arial" w:eastAsia="Arial" w:hAnsi="Arial"/>
                <w:sz w:val="18"/>
                <w:szCs w:val="18"/>
                <w:color w:val="auto"/>
              </w:rPr>
              <w:t>/s/ Barry B. Goldstein</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w w:val="90"/>
              </w:rPr>
              <w:t>President, Chairman of the Board, Chief Executive Officer, Treasurer and Director (Principal</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March 15, 2018</w:t>
            </w:r>
          </w:p>
        </w:tc>
      </w:tr>
      <w:tr>
        <w:trPr>
          <w:trHeight w:val="204"/>
        </w:trPr>
        <w:tc>
          <w:tcPr>
            <w:tcW w:w="2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6740" w:type="dxa"/>
            <w:vAlign w:val="bottom"/>
            <w:gridSpan w:val="2"/>
          </w:tcPr>
          <w:p>
            <w:pPr>
              <w:ind w:left="120"/>
              <w:spacing w:after="0" w:line="197" w:lineRule="exact"/>
              <w:rPr>
                <w:sz w:val="20"/>
                <w:szCs w:val="20"/>
                <w:color w:val="auto"/>
              </w:rPr>
            </w:pPr>
            <w:r>
              <w:rPr>
                <w:rFonts w:ascii="Arial" w:cs="Arial" w:eastAsia="Arial" w:hAnsi="Arial"/>
                <w:sz w:val="18"/>
                <w:szCs w:val="18"/>
                <w:color w:val="auto"/>
              </w:rPr>
              <w:t>Executive Officer</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Barry B. Goldstein</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6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Victor J. Brodsky</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and Treasurer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March 15,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Victor J. Brodsky</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6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Jay M. Haft</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March 15,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Jay M. Haft</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6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Floyd R. Tupper</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March 15,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Floyd R. Tupper</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6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Dale Thatcher</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March 15,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Dale Thatcher</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6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L. Yankus</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March 15,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William L. Yankus</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6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Carla D’Andre</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March 15, 2018</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Carla D’Andre</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2"/>
        </w:trPr>
        <w:tc>
          <w:tcPr>
            <w:tcW w:w="8960" w:type="dxa"/>
            <w:vAlign w:val="bottom"/>
            <w:gridSpan w:val="2"/>
          </w:tcPr>
          <w:p>
            <w:pPr>
              <w:spacing w:after="0"/>
              <w:rPr>
                <w:rFonts w:ascii="Arial" w:cs="Arial" w:eastAsia="Arial" w:hAnsi="Arial"/>
                <w:sz w:val="15"/>
                <w:szCs w:val="15"/>
                <w:color w:val="0000EE"/>
              </w:rPr>
            </w:pPr>
            <w:hyperlink w:anchor="page1">
              <w:r>
                <w:rPr>
                  <w:rFonts w:ascii="Arial" w:cs="Arial" w:eastAsia="Arial" w:hAnsi="Arial"/>
                  <w:sz w:val="15"/>
                  <w:szCs w:val="15"/>
                  <w:color w:val="0000EE"/>
                </w:rPr>
                <w:t>Index</w:t>
              </w:r>
            </w:hyperlink>
          </w:p>
        </w:tc>
        <w:tc>
          <w:tcPr>
            <w:tcW w:w="2460" w:type="dxa"/>
            <w:vAlign w:val="bottom"/>
          </w:tcPr>
          <w:p>
            <w:pPr>
              <w:spacing w:after="0"/>
              <w:rPr>
                <w:sz w:val="14"/>
                <w:szCs w:val="14"/>
                <w:color w:val="auto"/>
              </w:rPr>
            </w:pPr>
          </w:p>
        </w:tc>
      </w:tr>
      <w:tr>
        <w:trPr>
          <w:trHeight w:val="586"/>
        </w:trPr>
        <w:tc>
          <w:tcPr>
            <w:tcW w:w="340" w:type="dxa"/>
            <w:vAlign w:val="bottom"/>
            <w:tcBorders>
              <w:top w:val="single" w:sz="8" w:color="0000EE"/>
            </w:tcBorders>
          </w:tcPr>
          <w:p>
            <w:pPr>
              <w:spacing w:after="0"/>
              <w:rPr>
                <w:sz w:val="24"/>
                <w:szCs w:val="24"/>
                <w:color w:val="auto"/>
              </w:rPr>
            </w:pPr>
          </w:p>
        </w:tc>
        <w:tc>
          <w:tcPr>
            <w:tcW w:w="8620" w:type="dxa"/>
            <w:vAlign w:val="bottom"/>
          </w:tcPr>
          <w:p>
            <w:pPr>
              <w:ind w:left="3740"/>
              <w:spacing w:after="0"/>
              <w:rPr>
                <w:sz w:val="20"/>
                <w:szCs w:val="20"/>
                <w:color w:val="auto"/>
              </w:rPr>
            </w:pPr>
            <w:r>
              <w:rPr>
                <w:rFonts w:ascii="Arial" w:cs="Arial" w:eastAsia="Arial" w:hAnsi="Arial"/>
                <w:sz w:val="18"/>
                <w:szCs w:val="18"/>
                <w:b w:val="1"/>
                <w:bCs w:val="1"/>
                <w:color w:val="auto"/>
              </w:rPr>
              <w:t>Index to Consolidated Financial Statements</w:t>
            </w:r>
          </w:p>
        </w:tc>
        <w:tc>
          <w:tcPr>
            <w:tcW w:w="2460" w:type="dxa"/>
            <w:vAlign w:val="bottom"/>
          </w:tcPr>
          <w:p>
            <w:pPr>
              <w:spacing w:after="0"/>
              <w:rPr>
                <w:sz w:val="24"/>
                <w:szCs w:val="24"/>
                <w:color w:val="auto"/>
              </w:rPr>
            </w:pPr>
          </w:p>
        </w:tc>
      </w:tr>
      <w:tr>
        <w:trPr>
          <w:trHeight w:val="581"/>
        </w:trPr>
        <w:tc>
          <w:tcPr>
            <w:tcW w:w="34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60" w:type="dxa"/>
            <w:vAlign w:val="bottom"/>
          </w:tcPr>
          <w:p>
            <w:pPr>
              <w:jc w:val="center"/>
              <w:ind w:left="1012"/>
              <w:spacing w:after="0"/>
              <w:rPr>
                <w:sz w:val="20"/>
                <w:szCs w:val="20"/>
                <w:color w:val="auto"/>
              </w:rPr>
            </w:pPr>
            <w:r>
              <w:rPr>
                <w:rFonts w:ascii="Arial" w:cs="Arial" w:eastAsia="Arial" w:hAnsi="Arial"/>
                <w:sz w:val="18"/>
                <w:szCs w:val="18"/>
                <w:b w:val="1"/>
                <w:bCs w:val="1"/>
                <w:color w:val="auto"/>
                <w:w w:val="83"/>
              </w:rPr>
              <w:t>Page</w:t>
            </w:r>
          </w:p>
        </w:tc>
      </w:tr>
      <w:tr>
        <w:trPr>
          <w:trHeight w:val="218"/>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2460" w:type="dxa"/>
            <w:vAlign w:val="bottom"/>
            <w:shd w:val="clear" w:color="auto" w:fill="CCEEFF"/>
          </w:tcPr>
          <w:p>
            <w:pPr>
              <w:jc w:val="center"/>
              <w:ind w:left="1012"/>
              <w:spacing w:after="0"/>
              <w:rPr>
                <w:sz w:val="20"/>
                <w:szCs w:val="20"/>
                <w:color w:val="auto"/>
              </w:rPr>
            </w:pPr>
            <w:r>
              <w:rPr>
                <w:rFonts w:ascii="Arial" w:cs="Arial" w:eastAsia="Arial" w:hAnsi="Arial"/>
                <w:sz w:val="18"/>
                <w:szCs w:val="18"/>
                <w:color w:val="auto"/>
                <w:w w:val="88"/>
              </w:rPr>
              <w:t>F-2</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2017 and 2016</w:t>
            </w:r>
          </w:p>
        </w:tc>
        <w:tc>
          <w:tcPr>
            <w:tcW w:w="2460" w:type="dxa"/>
            <w:vAlign w:val="bottom"/>
          </w:tcPr>
          <w:p>
            <w:pPr>
              <w:jc w:val="center"/>
              <w:ind w:left="1012"/>
              <w:spacing w:after="0"/>
              <w:rPr>
                <w:sz w:val="20"/>
                <w:szCs w:val="20"/>
                <w:color w:val="auto"/>
              </w:rPr>
            </w:pPr>
            <w:r>
              <w:rPr>
                <w:rFonts w:ascii="Arial" w:cs="Arial" w:eastAsia="Arial" w:hAnsi="Arial"/>
                <w:sz w:val="18"/>
                <w:szCs w:val="18"/>
                <w:color w:val="auto"/>
                <w:w w:val="88"/>
              </w:rPr>
              <w:t>F-3</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Income and Comprehensive Income for the years ended</w:t>
            </w:r>
          </w:p>
        </w:tc>
        <w:tc>
          <w:tcPr>
            <w:tcW w:w="2460" w:type="dxa"/>
            <w:vAlign w:val="bottom"/>
            <w:shd w:val="clear" w:color="auto" w:fill="CCEEFF"/>
          </w:tcPr>
          <w:p>
            <w:pPr>
              <w:jc w:val="center"/>
              <w:ind w:left="1012"/>
              <w:spacing w:after="0"/>
              <w:rPr>
                <w:sz w:val="20"/>
                <w:szCs w:val="20"/>
                <w:color w:val="auto"/>
              </w:rPr>
            </w:pPr>
            <w:r>
              <w:rPr>
                <w:rFonts w:ascii="Arial" w:cs="Arial" w:eastAsia="Arial" w:hAnsi="Arial"/>
                <w:sz w:val="18"/>
                <w:szCs w:val="18"/>
                <w:color w:val="auto"/>
                <w:w w:val="88"/>
              </w:rPr>
              <w:t>F-4</w:t>
            </w:r>
          </w:p>
        </w:tc>
      </w:tr>
      <w:tr>
        <w:trPr>
          <w:trHeight w:val="216"/>
        </w:trPr>
        <w:tc>
          <w:tcPr>
            <w:tcW w:w="34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December 31, 2017 and 2016</w:t>
            </w:r>
          </w:p>
        </w:tc>
        <w:tc>
          <w:tcPr>
            <w:tcW w:w="246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2017</w:t>
            </w:r>
          </w:p>
        </w:tc>
        <w:tc>
          <w:tcPr>
            <w:tcW w:w="2460" w:type="dxa"/>
            <w:vAlign w:val="bottom"/>
            <w:shd w:val="clear" w:color="auto" w:fill="CCEEFF"/>
          </w:tcPr>
          <w:p>
            <w:pPr>
              <w:jc w:val="center"/>
              <w:ind w:left="1012"/>
              <w:spacing w:after="0"/>
              <w:rPr>
                <w:sz w:val="20"/>
                <w:szCs w:val="20"/>
                <w:color w:val="auto"/>
              </w:rPr>
            </w:pPr>
            <w:r>
              <w:rPr>
                <w:rFonts w:ascii="Arial" w:cs="Arial" w:eastAsia="Arial" w:hAnsi="Arial"/>
                <w:sz w:val="18"/>
                <w:szCs w:val="18"/>
                <w:color w:val="auto"/>
                <w:w w:val="88"/>
              </w:rPr>
              <w:t>F-5</w:t>
            </w:r>
          </w:p>
        </w:tc>
      </w:tr>
      <w:tr>
        <w:trPr>
          <w:trHeight w:val="216"/>
        </w:trPr>
        <w:tc>
          <w:tcPr>
            <w:tcW w:w="34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and 2016</w:t>
            </w:r>
          </w:p>
        </w:tc>
        <w:tc>
          <w:tcPr>
            <w:tcW w:w="246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2017 and 2016</w:t>
            </w:r>
          </w:p>
        </w:tc>
        <w:tc>
          <w:tcPr>
            <w:tcW w:w="2460" w:type="dxa"/>
            <w:vAlign w:val="bottom"/>
            <w:shd w:val="clear" w:color="auto" w:fill="CCEEFF"/>
          </w:tcPr>
          <w:p>
            <w:pPr>
              <w:jc w:val="center"/>
              <w:ind w:left="1012"/>
              <w:spacing w:after="0"/>
              <w:rPr>
                <w:sz w:val="20"/>
                <w:szCs w:val="20"/>
                <w:color w:val="auto"/>
              </w:rPr>
            </w:pPr>
            <w:r>
              <w:rPr>
                <w:rFonts w:ascii="Arial" w:cs="Arial" w:eastAsia="Arial" w:hAnsi="Arial"/>
                <w:sz w:val="18"/>
                <w:szCs w:val="18"/>
                <w:color w:val="auto"/>
                <w:w w:val="88"/>
              </w:rPr>
              <w:t>F-6</w:t>
            </w: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2460" w:type="dxa"/>
            <w:vAlign w:val="bottom"/>
          </w:tcPr>
          <w:p>
            <w:pPr>
              <w:jc w:val="center"/>
              <w:ind w:left="1012"/>
              <w:spacing w:after="0"/>
              <w:rPr>
                <w:sz w:val="20"/>
                <w:szCs w:val="20"/>
                <w:color w:val="auto"/>
              </w:rPr>
            </w:pPr>
            <w:r>
              <w:rPr>
                <w:rFonts w:ascii="Arial" w:cs="Arial" w:eastAsia="Arial" w:hAnsi="Arial"/>
                <w:sz w:val="18"/>
                <w:szCs w:val="18"/>
                <w:color w:val="auto"/>
                <w:w w:val="88"/>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Kingstone Companies, Inc. and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Kingstone Companies, Inc. and Subsidiaries (the “Company”) as of December 31, 2017 and 2016, the related consolidated statements of income and comprehensive income, stockholders’ equity and cash flows for the years then ended,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the years then ended, in conformity with accounting principles generally accepted in the United States of America.</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15, 2018</w:t>
      </w:r>
      <w:r>
        <w:rPr>
          <w:rFonts w:ascii="Arial" w:cs="Arial" w:eastAsia="Arial" w:hAnsi="Arial"/>
          <w:sz w:val="18"/>
          <w:szCs w:val="18"/>
          <w:i w:val="1"/>
          <w:iCs w:val="1"/>
          <w:color w:val="auto"/>
        </w:rPr>
        <w:t>,</w:t>
      </w:r>
      <w:r>
        <w:rPr>
          <w:rFonts w:ascii="Arial" w:cs="Arial" w:eastAsia="Arial" w:hAnsi="Arial"/>
          <w:sz w:val="18"/>
          <w:szCs w:val="18"/>
          <w:color w:val="auto"/>
        </w:rPr>
        <w:t xml:space="preserve"> expressed an unqualified opinion on the effectiveness of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17"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060" w:type="dxa"/>
            <w:vAlign w:val="bottom"/>
            <w:tcBorders>
              <w:top w:val="single" w:sz="8" w:color="auto"/>
            </w:tcBorders>
          </w:tcPr>
          <w:p>
            <w:pPr>
              <w:jc w:val="center"/>
              <w:ind w:left="8606"/>
              <w:spacing w:after="0" w:line="158" w:lineRule="exact"/>
              <w:rPr>
                <w:sz w:val="20"/>
                <w:szCs w:val="20"/>
                <w:color w:val="auto"/>
              </w:rPr>
            </w:pPr>
            <w:r>
              <w:rPr>
                <w:rFonts w:ascii="Arial" w:cs="Arial" w:eastAsia="Arial" w:hAnsi="Arial"/>
                <w:sz w:val="15"/>
                <w:szCs w:val="15"/>
                <w:b w:val="1"/>
                <w:bCs w:val="1"/>
                <w:color w:val="auto"/>
                <w:w w:val="88"/>
              </w:rPr>
              <w:t>December 31,</w:t>
            </w:r>
          </w:p>
        </w:tc>
        <w:tc>
          <w:tcPr>
            <w:tcW w:w="13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5"/>
                <w:szCs w:val="15"/>
                <w:b w:val="1"/>
                <w:bCs w:val="1"/>
                <w:color w:val="auto"/>
                <w:w w:val="90"/>
              </w:rPr>
              <w:t>December 31,</w:t>
            </w:r>
          </w:p>
        </w:tc>
      </w:tr>
      <w:tr>
        <w:trPr>
          <w:trHeight w:val="182"/>
        </w:trPr>
        <w:tc>
          <w:tcPr>
            <w:tcW w:w="100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2017</w:t>
            </w:r>
          </w:p>
        </w:tc>
        <w:tc>
          <w:tcPr>
            <w:tcW w:w="13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42" w:lineRule="exact"/>
        <w:rPr>
          <w:sz w:val="20"/>
          <w:szCs w:val="20"/>
          <w:color w:val="auto"/>
        </w:rPr>
      </w:pPr>
    </w:p>
    <w:p>
      <w:pPr>
        <w:ind w:left="380" w:right="2560" w:hanging="161"/>
        <w:spacing w:after="0" w:line="305" w:lineRule="auto"/>
        <w:rPr>
          <w:sz w:val="20"/>
          <w:szCs w:val="20"/>
          <w:color w:val="auto"/>
        </w:rPr>
      </w:pPr>
      <w:r>
        <w:rPr>
          <w:rFonts w:ascii="Arial" w:cs="Arial" w:eastAsia="Arial" w:hAnsi="Arial"/>
          <w:sz w:val="15"/>
          <w:szCs w:val="15"/>
          <w:color w:val="auto"/>
        </w:rPr>
        <w:t>Fixed-maturity securities, held-to-maturity, at amortized cost (fair value of $5,150,076 at December 31, 2017 and $5,298,119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Fixed-maturity securities, available-for-sale, at fair value (amortized cost of</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$119,122,106 at December 31, 2017 and $80,596,628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380" w:right="2980" w:hanging="161"/>
        <w:spacing w:after="0" w:line="295" w:lineRule="auto"/>
        <w:rPr>
          <w:sz w:val="20"/>
          <w:szCs w:val="20"/>
          <w:color w:val="auto"/>
        </w:rPr>
      </w:pPr>
      <w:r>
        <w:rPr>
          <w:rFonts w:ascii="Arial" w:cs="Arial" w:eastAsia="Arial" w:hAnsi="Arial"/>
          <w:sz w:val="16"/>
          <w:szCs w:val="16"/>
          <w:color w:val="auto"/>
        </w:rPr>
        <w:t>Equity securities, available-for-sale, at fair value (cost of $13,761,841 at December 31, 2017 and $9,709,385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investments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Investment subscription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Premiums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Reinsurance receivables,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assets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and loss adjustment expense reserves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Advance premiums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Reinsurance balances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ceding commission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tabs>
          <w:tab w:leader="none" w:pos="380" w:val="left"/>
          <w:tab w:leader="none" w:pos="136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4,869,808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5,094,902</w:t>
      </w:r>
    </w:p>
    <w:p>
      <w:pPr>
        <w:spacing w:after="0" w:line="225"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5"/>
          <w:szCs w:val="15"/>
          <w:color w:val="auto"/>
        </w:rPr>
        <w:t>119,988,256</w:t>
      </w:r>
      <w:r>
        <w:rPr>
          <w:sz w:val="20"/>
          <w:szCs w:val="20"/>
          <w:color w:val="auto"/>
        </w:rPr>
        <w:tab/>
      </w:r>
      <w:r>
        <w:rPr>
          <w:rFonts w:ascii="Arial" w:cs="Arial" w:eastAsia="Arial" w:hAnsi="Arial"/>
          <w:sz w:val="15"/>
          <w:szCs w:val="15"/>
          <w:color w:val="auto"/>
        </w:rPr>
        <w:t>80,428,828</w:t>
      </w:r>
    </w:p>
    <w:p>
      <w:pPr>
        <w:spacing w:after="0" w:line="260" w:lineRule="exact"/>
        <w:rPr>
          <w:sz w:val="20"/>
          <w:szCs w:val="20"/>
          <w:color w:val="auto"/>
        </w:rPr>
      </w:pPr>
    </w:p>
    <w:p>
      <w:pPr>
        <w:jc w:val="both"/>
        <w:ind w:left="300"/>
        <w:spacing w:after="0"/>
        <w:tabs>
          <w:tab w:leader="none" w:pos="1740" w:val="left"/>
        </w:tabs>
        <w:rPr>
          <w:sz w:val="20"/>
          <w:szCs w:val="20"/>
          <w:color w:val="auto"/>
        </w:rPr>
      </w:pPr>
      <w:r>
        <w:rPr>
          <w:rFonts w:ascii="Arial" w:cs="Arial" w:eastAsia="Arial" w:hAnsi="Arial"/>
          <w:sz w:val="18"/>
          <w:szCs w:val="18"/>
          <w:color w:val="auto"/>
        </w:rPr>
        <w:t>14,286,198</w:t>
      </w:r>
      <w:r>
        <w:rPr>
          <w:sz w:val="20"/>
          <w:szCs w:val="20"/>
          <w:color w:val="auto"/>
        </w:rPr>
        <w:tab/>
      </w:r>
      <w:r>
        <w:rPr>
          <w:rFonts w:ascii="Arial" w:cs="Arial" w:eastAsia="Arial" w:hAnsi="Arial"/>
          <w:sz w:val="18"/>
          <w:szCs w:val="18"/>
          <w:color w:val="auto"/>
        </w:rPr>
        <w:t>9,987,686</w:t>
      </w:r>
    </w:p>
    <w:p>
      <w:pPr>
        <w:spacing w:after="0" w:line="36"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5"/>
          <w:szCs w:val="15"/>
          <w:color w:val="auto"/>
        </w:rPr>
        <w:t>139,144,262</w:t>
      </w:r>
      <w:r>
        <w:rPr>
          <w:sz w:val="20"/>
          <w:szCs w:val="20"/>
          <w:color w:val="auto"/>
        </w:rPr>
        <w:tab/>
      </w:r>
      <w:r>
        <w:rPr>
          <w:rFonts w:ascii="Arial" w:cs="Arial" w:eastAsia="Arial" w:hAnsi="Arial"/>
          <w:sz w:val="15"/>
          <w:szCs w:val="15"/>
          <w:color w:val="auto"/>
        </w:rPr>
        <w:t>95,511,416</w:t>
      </w:r>
    </w:p>
    <w:p>
      <w:pPr>
        <w:spacing w:after="0" w:line="50"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48,381,633</w:t>
      </w:r>
      <w:r>
        <w:rPr>
          <w:sz w:val="20"/>
          <w:szCs w:val="20"/>
          <w:color w:val="auto"/>
        </w:rPr>
        <w:tab/>
      </w:r>
      <w:r>
        <w:rPr>
          <w:rFonts w:ascii="Arial" w:cs="Arial" w:eastAsia="Arial" w:hAnsi="Arial"/>
          <w:sz w:val="18"/>
          <w:szCs w:val="18"/>
          <w:color w:val="auto"/>
        </w:rPr>
        <w:t>12,044,520</w:t>
      </w:r>
    </w:p>
    <w:p>
      <w:pPr>
        <w:spacing w:after="0" w:line="9" w:lineRule="exact"/>
        <w:rPr>
          <w:sz w:val="20"/>
          <w:szCs w:val="20"/>
          <w:color w:val="auto"/>
        </w:rPr>
      </w:pPr>
    </w:p>
    <w:p>
      <w:pPr>
        <w:jc w:val="both"/>
        <w:ind w:left="400"/>
        <w:spacing w:after="0"/>
        <w:tabs>
          <w:tab w:leader="none" w:pos="2380" w:val="left"/>
        </w:tabs>
        <w:rPr>
          <w:sz w:val="20"/>
          <w:szCs w:val="20"/>
          <w:color w:val="auto"/>
        </w:rPr>
      </w:pPr>
      <w:r>
        <w:rPr>
          <w:rFonts w:ascii="Arial" w:cs="Arial" w:eastAsia="Arial" w:hAnsi="Arial"/>
          <w:sz w:val="18"/>
          <w:szCs w:val="18"/>
          <w:color w:val="auto"/>
        </w:rPr>
        <w:t>2,000,000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13,217,698</w:t>
      </w:r>
      <w:r>
        <w:rPr>
          <w:sz w:val="20"/>
          <w:szCs w:val="20"/>
          <w:color w:val="auto"/>
        </w:rPr>
        <w:tab/>
      </w:r>
      <w:r>
        <w:rPr>
          <w:rFonts w:ascii="Arial" w:cs="Arial" w:eastAsia="Arial" w:hAnsi="Arial"/>
          <w:sz w:val="18"/>
          <w:szCs w:val="18"/>
          <w:color w:val="auto"/>
        </w:rPr>
        <w:t>11,649,398</w:t>
      </w:r>
    </w:p>
    <w:p>
      <w:pPr>
        <w:spacing w:after="0" w:line="9"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28,519,130</w:t>
      </w:r>
      <w:r>
        <w:rPr>
          <w:sz w:val="20"/>
          <w:szCs w:val="20"/>
          <w:color w:val="auto"/>
        </w:rPr>
        <w:tab/>
      </w:r>
      <w:r>
        <w:rPr>
          <w:rFonts w:ascii="Arial" w:cs="Arial" w:eastAsia="Arial" w:hAnsi="Arial"/>
          <w:sz w:val="18"/>
          <w:szCs w:val="18"/>
          <w:color w:val="auto"/>
        </w:rPr>
        <w:t>32,197,765</w:t>
      </w:r>
    </w:p>
    <w:p>
      <w:pPr>
        <w:spacing w:after="0" w:line="9"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14,847,236</w:t>
      </w:r>
      <w:r>
        <w:rPr>
          <w:sz w:val="20"/>
          <w:szCs w:val="20"/>
          <w:color w:val="auto"/>
        </w:rPr>
        <w:tab/>
      </w:r>
      <w:r>
        <w:rPr>
          <w:rFonts w:ascii="Arial" w:cs="Arial" w:eastAsia="Arial" w:hAnsi="Arial"/>
          <w:sz w:val="18"/>
          <w:szCs w:val="18"/>
          <w:color w:val="auto"/>
        </w:rPr>
        <w:t>12,239,781</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1,010,000</w:t>
      </w:r>
      <w:r>
        <w:rPr>
          <w:sz w:val="20"/>
          <w:szCs w:val="20"/>
          <w:color w:val="auto"/>
        </w:rPr>
        <w:tab/>
      </w:r>
      <w:r>
        <w:rPr>
          <w:rFonts w:ascii="Arial" w:cs="Arial" w:eastAsia="Arial" w:hAnsi="Arial"/>
          <w:sz w:val="18"/>
          <w:szCs w:val="18"/>
          <w:color w:val="auto"/>
        </w:rPr>
        <w:t>1,350,000</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4,772,577</w:t>
      </w:r>
      <w:r>
        <w:rPr>
          <w:sz w:val="20"/>
          <w:szCs w:val="20"/>
          <w:color w:val="auto"/>
        </w:rPr>
        <w:tab/>
      </w:r>
      <w:r>
        <w:rPr>
          <w:rFonts w:ascii="Arial" w:cs="Arial" w:eastAsia="Arial" w:hAnsi="Arial"/>
          <w:sz w:val="18"/>
          <w:szCs w:val="18"/>
          <w:color w:val="auto"/>
        </w:rPr>
        <w:t>3,011,373</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2,655,527</w:t>
      </w:r>
      <w:r>
        <w:rPr>
          <w:sz w:val="20"/>
          <w:szCs w:val="20"/>
          <w:color w:val="auto"/>
        </w:rPr>
        <w:tab/>
      </w:r>
      <w:r>
        <w:rPr>
          <w:rFonts w:ascii="Arial" w:cs="Arial" w:eastAsia="Arial" w:hAnsi="Arial"/>
          <w:sz w:val="18"/>
          <w:szCs w:val="18"/>
          <w:color w:val="auto"/>
        </w:rPr>
        <w:t>1,442,209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  254,548,063</w:t>
      </w:r>
      <w:r>
        <w:rPr>
          <w:sz w:val="20"/>
          <w:szCs w:val="20"/>
          <w:color w:val="auto"/>
        </w:rPr>
        <w:tab/>
      </w:r>
      <w:r>
        <w:rPr>
          <w:rFonts w:ascii="Arial" w:cs="Arial" w:eastAsia="Arial" w:hAnsi="Arial"/>
          <w:sz w:val="16"/>
          <w:szCs w:val="16"/>
          <w:color w:val="auto"/>
        </w:rPr>
        <w:t>$  169,446,462</w:t>
      </w:r>
    </w:p>
    <w:p>
      <w:pPr>
        <w:spacing w:after="0" w:line="200" w:lineRule="exact"/>
        <w:rPr>
          <w:sz w:val="20"/>
          <w:szCs w:val="20"/>
          <w:color w:val="auto"/>
        </w:rPr>
      </w:pPr>
    </w:p>
    <w:p>
      <w:pPr>
        <w:spacing w:after="0" w:line="295"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48,799,622   $   41,736,719</w:t>
      </w:r>
    </w:p>
    <w:p>
      <w:pPr>
        <w:spacing w:after="0" w:line="38"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65,647,663</w:t>
      </w:r>
      <w:r>
        <w:rPr>
          <w:rFonts w:ascii="Arial" w:cs="Arial" w:eastAsia="Arial" w:hAnsi="Arial"/>
          <w:sz w:val="15"/>
          <w:szCs w:val="15"/>
          <w:color w:val="auto"/>
        </w:rPr>
        <w:t>54,994,375</w:t>
      </w:r>
    </w:p>
    <w:p>
      <w:pPr>
        <w:spacing w:after="0" w:line="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1,477,693</w:t>
      </w:r>
      <w:r>
        <w:rPr>
          <w:rFonts w:ascii="Arial" w:cs="Arial" w:eastAsia="Arial" w:hAnsi="Arial"/>
          <w:sz w:val="15"/>
          <w:szCs w:val="15"/>
          <w:color w:val="auto"/>
        </w:rPr>
        <w:t>1,421,560</w:t>
      </w:r>
    </w:p>
    <w:p>
      <w:pPr>
        <w:spacing w:after="0" w:line="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2,563,966</w:t>
      </w:r>
      <w:r>
        <w:rPr>
          <w:rFonts w:ascii="Arial" w:cs="Arial" w:eastAsia="Arial" w:hAnsi="Arial"/>
          <w:sz w:val="15"/>
          <w:szCs w:val="15"/>
          <w:color w:val="auto"/>
        </w:rPr>
        <w:t>2,146,017</w:t>
      </w:r>
    </w:p>
    <w:p>
      <w:pPr>
        <w:spacing w:after="0" w:line="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4,266,412</w:t>
      </w:r>
      <w:r>
        <w:rPr>
          <w:rFonts w:ascii="Arial" w:cs="Arial" w:eastAsia="Arial" w:hAnsi="Arial"/>
          <w:sz w:val="15"/>
          <w:szCs w:val="15"/>
          <w:color w:val="auto"/>
        </w:rPr>
        <w:t>6,851,841</w:t>
      </w:r>
    </w:p>
    <w:p>
      <w:pPr>
        <w:spacing w:after="0" w:line="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7,487,654</w:t>
      </w:r>
      <w:r>
        <w:rPr>
          <w:rFonts w:ascii="Arial" w:cs="Arial" w:eastAsia="Arial" w:hAnsi="Arial"/>
          <w:sz w:val="15"/>
          <w:szCs w:val="15"/>
          <w:color w:val="auto"/>
        </w:rPr>
        <w:t>5,448,448</w:t>
      </w:r>
    </w:p>
    <w:p>
      <w:pPr>
        <w:spacing w:after="0" w:line="9"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600,342</w:t>
      </w:r>
      <w:r>
        <w:rPr>
          <w:rFonts w:ascii="Arial" w:cs="Arial" w:eastAsia="Arial" w:hAnsi="Arial"/>
          <w:sz w:val="15"/>
          <w:szCs w:val="15"/>
          <w:color w:val="auto"/>
        </w:rPr>
        <w:t>166,949</w:t>
      </w:r>
    </w:p>
    <w:p>
      <w:pPr>
        <w:spacing w:after="0" w:line="9"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29,126,965-</w:t>
      </w:r>
    </w:p>
    <w:p>
      <w:pPr>
        <w:spacing w:after="0" w:line="30" w:lineRule="exact"/>
        <w:rPr>
          <w:sz w:val="20"/>
          <w:szCs w:val="20"/>
          <w:color w:val="auto"/>
        </w:rPr>
      </w:pPr>
    </w:p>
    <w:p>
      <w:pPr>
        <w:ind w:left="220"/>
        <w:spacing w:after="0"/>
        <w:tabs>
          <w:tab w:leader="none" w:pos="1580" w:val="left"/>
        </w:tabs>
        <w:rPr>
          <w:sz w:val="20"/>
          <w:szCs w:val="20"/>
          <w:color w:val="auto"/>
        </w:rPr>
      </w:pPr>
      <w:r>
        <w:rPr>
          <w:rFonts w:ascii="Arial" w:cs="Arial" w:eastAsia="Arial" w:hAnsi="Arial"/>
          <w:sz w:val="15"/>
          <w:szCs w:val="15"/>
          <w:color w:val="auto"/>
        </w:rPr>
        <w:t>159,970,317</w:t>
      </w:r>
      <w:r>
        <w:rPr>
          <w:sz w:val="20"/>
          <w:szCs w:val="20"/>
          <w:color w:val="auto"/>
        </w:rPr>
        <w:tab/>
      </w:r>
      <w:r>
        <w:rPr>
          <w:rFonts w:ascii="Arial" w:cs="Arial" w:eastAsia="Arial" w:hAnsi="Arial"/>
          <w:sz w:val="15"/>
          <w:szCs w:val="15"/>
          <w:color w:val="auto"/>
        </w:rPr>
        <w:t>112,765,909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33020</wp:posOffset>
            </wp:positionV>
            <wp:extent cx="17322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100" w:space="720"/>
            <w:col w:w="260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$.01 par value; authorized 2,500,000 shares</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Common stock, $.01 par value; authorized 20,000,000 shares; issued 11,618,646 shares</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December 31, 2017 and 8,896,335 at December 31, 2016; outstanding</w:t>
            </w: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10,631,837 shares at December 31, 2017 and 7,921,866 shares at December 31, 2016</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116,186</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in excess of par</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68,380,390</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37,950,401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1,100,647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72,931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27,152,822</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20,563,720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96,750,045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58,676,015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986,809 shares at December 31, 2017</w:t>
            </w: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and 974,469 shares at December 31, 2016</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(2,172,299)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94,577,746</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56,680,553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  254,548,063</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  169,446,462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5" w:name="page86"/>
    <w:bookmarkEnd w:id="8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17"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Borders>
              <w:top w:val="single" w:sz="8" w:color="auto"/>
            </w:tcBorders>
            <w:gridSpan w:val="2"/>
          </w:tcPr>
          <w:p>
            <w:pPr>
              <w:spacing w:after="0" w:line="172" w:lineRule="exact"/>
              <w:rPr>
                <w:sz w:val="20"/>
                <w:szCs w:val="20"/>
                <w:color w:val="auto"/>
              </w:rPr>
            </w:pPr>
            <w:r>
              <w:rPr>
                <w:rFonts w:ascii="Arial" w:cs="Arial" w:eastAsia="Arial" w:hAnsi="Arial"/>
                <w:sz w:val="15"/>
                <w:szCs w:val="15"/>
                <w:i w:val="1"/>
                <w:iCs w:val="1"/>
                <w:color w:val="auto"/>
              </w:rPr>
              <w:t>Years ended December 31,</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73"/>
              <w:spacing w:after="0" w:line="172"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77,351,023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61,407,906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Ceding commission revenue</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9,933,133</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11,268,241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4,132,586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3,115,583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Net realized gains on sales of investments</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84,313</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529,448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1,268,255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1,115,486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92,769,310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77,436,664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34,185,537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27,789,661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w w:val="97"/>
              </w:rPr>
              <w:t>21,182,254</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18,327,190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18,115,614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14,866,646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3,512,927</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1,909,779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1,402,928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1,124,921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60,335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78,459,595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64,018,197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 before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14,309,715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13,418,467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4,323,230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4,518,701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9,986,485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8,899,766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Gross change in unrealized gains (losses)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on available-for-sale-securities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1,364,319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adjustment for gains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included in net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(84,313)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unrealized gains (losses)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1,280,006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Income tax (expense) benefit related to items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(435,202)</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211,877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844,804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10,831,289</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8,488,477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0.96</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0.94</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10,388,440</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7,736,594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10,581,577</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7,807,263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0.3025</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0.2500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376"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w w:val="91"/>
              </w:rPr>
              <w:t>Accumulated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1"/>
              </w:rPr>
              <w:t>Capital</w:t>
            </w:r>
          </w:p>
        </w:tc>
        <w:tc>
          <w:tcPr>
            <w:tcW w:w="960" w:type="dxa"/>
            <w:vAlign w:val="bottom"/>
          </w:tcPr>
          <w:p>
            <w:pPr>
              <w:jc w:val="right"/>
              <w:ind w:right="234"/>
              <w:spacing w:after="0"/>
              <w:rPr>
                <w:sz w:val="20"/>
                <w:szCs w:val="20"/>
                <w:color w:val="auto"/>
              </w:rPr>
            </w:pPr>
            <w:r>
              <w:rPr>
                <w:rFonts w:ascii="Arial" w:cs="Arial" w:eastAsia="Arial" w:hAnsi="Arial"/>
                <w:sz w:val="15"/>
                <w:szCs w:val="15"/>
                <w:b w:val="1"/>
                <w:bCs w:val="1"/>
                <w:color w:val="auto"/>
              </w:rPr>
              <w:t>Other</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5"/>
                <w:szCs w:val="15"/>
                <w:b w:val="1"/>
                <w:bCs w:val="1"/>
                <w:color w:val="auto"/>
              </w:rPr>
              <w:t>Preferred Stock</w:t>
            </w: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400"/>
              <w:spacing w:after="0"/>
              <w:rPr>
                <w:sz w:val="20"/>
                <w:szCs w:val="20"/>
                <w:color w:val="auto"/>
              </w:rPr>
            </w:pPr>
            <w:r>
              <w:rPr>
                <w:rFonts w:ascii="Arial" w:cs="Arial" w:eastAsia="Arial" w:hAnsi="Arial"/>
                <w:sz w:val="15"/>
                <w:szCs w:val="15"/>
                <w:b w:val="1"/>
                <w:bCs w:val="1"/>
                <w:color w:val="auto"/>
              </w:rPr>
              <w:t>Common Stock</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83"/>
              </w:rPr>
              <w:t>in Excess</w:t>
            </w:r>
          </w:p>
        </w:tc>
        <w:tc>
          <w:tcPr>
            <w:tcW w:w="1840" w:type="dxa"/>
            <w:vAlign w:val="bottom"/>
            <w:gridSpan w:val="2"/>
          </w:tcPr>
          <w:p>
            <w:pPr>
              <w:jc w:val="right"/>
              <w:ind w:right="73"/>
              <w:spacing w:after="0"/>
              <w:rPr>
                <w:sz w:val="20"/>
                <w:szCs w:val="20"/>
                <w:color w:val="auto"/>
              </w:rPr>
            </w:pPr>
            <w:r>
              <w:rPr>
                <w:rFonts w:ascii="Arial" w:cs="Arial" w:eastAsia="Arial" w:hAnsi="Arial"/>
                <w:sz w:val="15"/>
                <w:szCs w:val="15"/>
                <w:b w:val="1"/>
                <w:bCs w:val="1"/>
                <w:color w:val="auto"/>
                <w:w w:val="92"/>
              </w:rPr>
              <w:t>Comprehensive Retained</w:t>
            </w: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5"/>
                <w:szCs w:val="15"/>
                <w:b w:val="1"/>
                <w:bCs w:val="1"/>
                <w:color w:val="auto"/>
              </w:rPr>
              <w:t>Treasury Stock</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87"/>
              </w:rPr>
              <w:t>Shares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5"/>
                <w:szCs w:val="15"/>
                <w:b w:val="1"/>
                <w:bCs w:val="1"/>
                <w:color w:val="auto"/>
              </w:rPr>
              <w:t>Shares</w:t>
            </w: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Amount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of Par</w:t>
            </w: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5"/>
                <w:szCs w:val="15"/>
                <w:b w:val="1"/>
                <w:bCs w:val="1"/>
                <w:color w:val="auto"/>
              </w:rPr>
              <w:t>Income</w:t>
            </w: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5"/>
                <w:szCs w:val="15"/>
                <w:b w:val="1"/>
                <w:bCs w:val="1"/>
                <w:color w:val="auto"/>
              </w:rPr>
              <w:t>Earnings</w:t>
            </w: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5"/>
                <w:szCs w:val="15"/>
                <w:b w:val="1"/>
                <w:bCs w:val="1"/>
                <w:color w:val="auto"/>
              </w:rPr>
              <w:t>Shares</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5"/>
                <w:szCs w:val="15"/>
                <w:b w:val="1"/>
                <w:bCs w:val="1"/>
                <w:color w:val="auto"/>
              </w:rPr>
              <w:t>Amount</w:t>
            </w: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8,289,606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82,896</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$32,987,082</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6"/>
              </w:rPr>
              <w:t>$  484,220</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$13,605,225</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960,969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$(1,882,195)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$45,277,228</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Proceeds from private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980" w:type="dxa"/>
            <w:vAlign w:val="bottom"/>
            <w:gridSpan w:val="3"/>
          </w:tcPr>
          <w:p>
            <w:pPr>
              <w:spacing w:after="0"/>
              <w:rPr>
                <w:sz w:val="20"/>
                <w:szCs w:val="20"/>
                <w:color w:val="auto"/>
              </w:rPr>
            </w:pPr>
            <w:r>
              <w:rPr>
                <w:rFonts w:ascii="Arial" w:cs="Arial" w:eastAsia="Arial" w:hAnsi="Arial"/>
                <w:sz w:val="18"/>
                <w:szCs w:val="18"/>
                <w:color w:val="auto"/>
              </w:rPr>
              <w:t>placement, net of</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closing costs of $192,369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595,238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4,801,679</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4,807,631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106,882</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106,882</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 from</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ind w:left="160"/>
              <w:spacing w:after="0"/>
              <w:rPr>
                <w:sz w:val="20"/>
                <w:szCs w:val="20"/>
                <w:color w:val="auto"/>
              </w:rPr>
            </w:pPr>
            <w:r>
              <w:rPr>
                <w:rFonts w:ascii="Arial" w:cs="Arial" w:eastAsia="Arial" w:hAnsi="Arial"/>
                <w:sz w:val="18"/>
                <w:szCs w:val="18"/>
                <w:color w:val="auto"/>
              </w:rPr>
              <w:t>of stock options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563</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54,195</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54,310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Acquisition of treasury stock</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13,500</w:t>
            </w:r>
          </w:p>
        </w:tc>
        <w:tc>
          <w:tcPr>
            <w:tcW w:w="900" w:type="dxa"/>
            <w:vAlign w:val="bottom"/>
          </w:tcPr>
          <w:p>
            <w:pPr>
              <w:jc w:val="right"/>
              <w:spacing w:after="0"/>
              <w:rPr>
                <w:sz w:val="20"/>
                <w:szCs w:val="20"/>
                <w:color w:val="auto"/>
              </w:rPr>
            </w:pPr>
            <w:r>
              <w:rPr>
                <w:rFonts w:ascii="Arial" w:cs="Arial" w:eastAsia="Arial" w:hAnsi="Arial"/>
                <w:sz w:val="18"/>
                <w:szCs w:val="18"/>
                <w:color w:val="auto"/>
              </w:rPr>
              <w:t>(113,267)</w:t>
            </w:r>
          </w:p>
        </w:tc>
        <w:tc>
          <w:tcPr>
            <w:tcW w:w="900" w:type="dxa"/>
            <w:vAlign w:val="bottom"/>
          </w:tcPr>
          <w:p>
            <w:pPr>
              <w:jc w:val="right"/>
              <w:spacing w:after="0"/>
              <w:rPr>
                <w:sz w:val="20"/>
                <w:szCs w:val="20"/>
                <w:color w:val="auto"/>
              </w:rPr>
            </w:pPr>
            <w:r>
              <w:rPr>
                <w:rFonts w:ascii="Arial" w:cs="Arial" w:eastAsia="Arial" w:hAnsi="Arial"/>
                <w:sz w:val="18"/>
                <w:szCs w:val="18"/>
                <w:color w:val="auto"/>
              </w:rPr>
              <w:t>(113,267)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0"/>
              </w:rPr>
              <w:t>(1,941,271)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0"/>
              </w:rPr>
              <w:t>(1,941,271)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w w:val="92"/>
              </w:rPr>
              <w:t>8,899,766</w:t>
            </w: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w w:val="92"/>
              </w:rPr>
              <w:t>8,899,766</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gains 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w w:val="92"/>
              </w:rPr>
              <w:t>for-sale securities, net of tax</w:t>
            </w: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(411,289)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(411,289)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8,896,335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88,963</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37,950,401</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72,931</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20,563,720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974,469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(1,995,462)</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56,680,553</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Proceeds from public offering,</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980" w:type="dxa"/>
            <w:vAlign w:val="bottom"/>
            <w:gridSpan w:val="3"/>
          </w:tcPr>
          <w:p>
            <w:pPr>
              <w:spacing w:after="0"/>
              <w:rPr>
                <w:sz w:val="20"/>
                <w:szCs w:val="20"/>
                <w:color w:val="auto"/>
              </w:rPr>
            </w:pPr>
            <w:r>
              <w:rPr>
                <w:rFonts w:ascii="Arial" w:cs="Arial" w:eastAsia="Arial" w:hAnsi="Arial"/>
                <w:sz w:val="18"/>
                <w:szCs w:val="18"/>
                <w:color w:val="auto"/>
              </w:rPr>
              <w:t>net of</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offering costs of $2,173,000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2,692,500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30,109,774</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30,136,699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270,231</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270,231</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Shares deducted from restricted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980" w:type="dxa"/>
            <w:vAlign w:val="bottom"/>
            <w:gridSpan w:val="3"/>
          </w:tcPr>
          <w:p>
            <w:pPr>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awards for payment of</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withholding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(27,627)</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19,230</w:t>
            </w: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77,734</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77,927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(176,837)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w w:val="80"/>
              </w:rPr>
              <w:t>(3,214,471)</w:t>
            </w: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w w:val="80"/>
              </w:rPr>
              <w:t>(3,214,471)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9,986,485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9,986,485</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Change in unrealized gains 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980" w:type="dxa"/>
            <w:vAlign w:val="bottom"/>
            <w:gridSpan w:val="3"/>
          </w:tcPr>
          <w:p>
            <w:pPr>
              <w:spacing w:after="0"/>
              <w:rPr>
                <w:sz w:val="20"/>
                <w:szCs w:val="20"/>
                <w:color w:val="auto"/>
              </w:rPr>
            </w:pPr>
            <w:r>
              <w:rPr>
                <w:rFonts w:ascii="Arial" w:cs="Arial" w:eastAsia="Arial" w:hAnsi="Arial"/>
                <w:sz w:val="18"/>
                <w:szCs w:val="18"/>
                <w:color w:val="auto"/>
              </w:rPr>
              <w:t>available-</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for-sale securities, 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844,804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844,804</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Reclassify stranded tax effects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980" w:type="dxa"/>
            <w:vAlign w:val="bottom"/>
            <w:gridSpan w:val="3"/>
          </w:tcPr>
          <w:p>
            <w:pPr>
              <w:spacing w:after="0"/>
              <w:rPr>
                <w:sz w:val="20"/>
                <w:szCs w:val="20"/>
                <w:color w:val="auto"/>
              </w:rPr>
            </w:pPr>
            <w:r>
              <w:rPr>
                <w:rFonts w:ascii="Arial" w:cs="Arial" w:eastAsia="Arial" w:hAnsi="Arial"/>
                <w:sz w:val="18"/>
                <w:szCs w:val="18"/>
                <w:color w:val="auto"/>
              </w:rPr>
              <w:t>from</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20" w:type="dxa"/>
            <w:vAlign w:val="bottom"/>
          </w:tcPr>
          <w:p>
            <w:pPr>
              <w:spacing w:after="0"/>
              <w:rPr>
                <w:sz w:val="24"/>
                <w:szCs w:val="24"/>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to retained earnings</w:t>
            </w: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182,912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(182,912)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Balance, December 31, 2017</w:t>
            </w:r>
          </w:p>
        </w:tc>
        <w:tc>
          <w:tcPr>
            <w:tcW w:w="7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11,618,646</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$ 116,186</w:t>
            </w: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$68,380,390</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$1,100,647</w:t>
            </w:r>
          </w:p>
        </w:tc>
        <w:tc>
          <w:tcPr>
            <w:tcW w:w="10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91"/>
              </w:rPr>
              <w:t>$27,152,822</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986,809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$(2,172,299)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$94,577,746</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7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Borders>
              <w:top w:val="single" w:sz="8" w:color="auto"/>
              <w:bottom w:val="single" w:sz="8" w:color="auto"/>
            </w:tcBorders>
          </w:tcPr>
          <w:p>
            <w:pPr>
              <w:spacing w:after="0" w:line="172" w:lineRule="exact"/>
              <w:rPr>
                <w:sz w:val="20"/>
                <w:szCs w:val="20"/>
                <w:color w:val="auto"/>
              </w:rPr>
            </w:pPr>
            <w:r>
              <w:rPr>
                <w:rFonts w:ascii="Arial" w:cs="Arial" w:eastAsia="Arial" w:hAnsi="Arial"/>
                <w:sz w:val="15"/>
                <w:szCs w:val="15"/>
                <w:i w:val="1"/>
                <w:iCs w:val="1"/>
                <w:color w:val="auto"/>
              </w:rPr>
              <w:t>Years ended December 31,</w:t>
            </w:r>
          </w:p>
        </w:tc>
        <w:tc>
          <w:tcPr>
            <w:tcW w:w="4640" w:type="dxa"/>
            <w:vAlign w:val="bottom"/>
            <w:tcBorders>
              <w:top w:val="single" w:sz="8" w:color="auto"/>
              <w:bottom w:val="single" w:sz="8" w:color="auto"/>
            </w:tcBorders>
          </w:tcPr>
          <w:p>
            <w:pPr>
              <w:jc w:val="right"/>
              <w:ind w:right="466"/>
              <w:spacing w:after="0" w:line="172" w:lineRule="exact"/>
              <w:rPr>
                <w:sz w:val="20"/>
                <w:szCs w:val="20"/>
                <w:color w:val="auto"/>
              </w:rPr>
            </w:pPr>
            <w:r>
              <w:rPr>
                <w:rFonts w:ascii="Arial" w:cs="Arial" w:eastAsia="Arial" w:hAnsi="Arial"/>
                <w:sz w:val="15"/>
                <w:szCs w:val="15"/>
                <w:b w:val="1"/>
                <w:bCs w:val="1"/>
                <w:color w:val="auto"/>
              </w:rPr>
              <w:t>2017</w:t>
            </w:r>
          </w:p>
        </w:tc>
        <w:tc>
          <w:tcPr>
            <w:tcW w:w="1360" w:type="dxa"/>
            <w:vAlign w:val="bottom"/>
            <w:tcBorders>
              <w:top w:val="single" w:sz="8" w:color="auto"/>
              <w:bottom w:val="single" w:sz="8" w:color="auto"/>
            </w:tcBorders>
          </w:tcPr>
          <w:p>
            <w:pPr>
              <w:jc w:val="right"/>
              <w:ind w:right="466"/>
              <w:spacing w:after="0" w:line="172" w:lineRule="exact"/>
              <w:rPr>
                <w:sz w:val="20"/>
                <w:szCs w:val="20"/>
                <w:color w:val="auto"/>
              </w:rPr>
            </w:pPr>
            <w:r>
              <w:rPr>
                <w:rFonts w:ascii="Arial" w:cs="Arial" w:eastAsia="Arial" w:hAnsi="Arial"/>
                <w:sz w:val="15"/>
                <w:szCs w:val="15"/>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to net 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realized gains on sale of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Amortization of bond premium, net</w:t>
      </w:r>
    </w:p>
    <w:p>
      <w:pPr>
        <w:spacing w:after="0" w:line="9" w:lineRule="exact"/>
        <w:rPr>
          <w:sz w:val="20"/>
          <w:szCs w:val="20"/>
          <w:color w:val="auto"/>
        </w:rPr>
      </w:pPr>
    </w:p>
    <w:p>
      <w:pPr>
        <w:ind w:left="180" w:right="3420"/>
        <w:spacing w:after="0" w:line="250" w:lineRule="auto"/>
        <w:rPr>
          <w:sz w:val="20"/>
          <w:szCs w:val="20"/>
          <w:color w:val="auto"/>
        </w:rPr>
      </w:pPr>
      <w:r>
        <w:rPr>
          <w:rFonts w:ascii="Arial" w:cs="Arial" w:eastAsia="Arial" w:hAnsi="Arial"/>
          <w:sz w:val="18"/>
          <w:szCs w:val="18"/>
          <w:color w:val="auto"/>
        </w:rPr>
        <w:t>Amortization of discount and issuance costs on long-term debt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Excess tax benefit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income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decrease in 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Premiums receivable,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Reinsurance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policy acquisition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Increase (decrease) in operating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and loss adjustment expense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Unearned premiums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Reinsurance balances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ceding commission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 accrued expenses and other liabilities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Purchase - fixed-maturity securities held-to-maturity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 fixed-maturity securities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 - equity securities available-for-sale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 and redemption - fixed-maturity securities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Sale or maturity - fixed-maturity securities available-for-sale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 - equity securities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Investment subscription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investing activities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issuance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exercise of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Excess tax benefit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Withholding taxes paid on vested retricted stock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Dividends paid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beginning of period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9,986,485</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8,899,766</w:t>
            </w:r>
          </w:p>
        </w:tc>
      </w:tr>
      <w:tr>
        <w:trPr>
          <w:trHeight w:val="426"/>
        </w:trPr>
        <w:tc>
          <w:tcPr>
            <w:tcW w:w="3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(84,313)</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(529,448)</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1,402,928</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1,124,921</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548,846</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449,632</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5,335</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270,231</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106,882</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2"/>
        </w:trPr>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(1,809)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(293,364)</w:t>
            </w:r>
          </w:p>
        </w:tc>
      </w:tr>
      <w:tr>
        <w:trPr>
          <w:trHeight w:val="426"/>
        </w:trPr>
        <w:tc>
          <w:tcPr>
            <w:tcW w:w="3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(1,568,300)</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(1,027,743)</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3,678,635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(927,530)</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(2,607,455)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(1,404,475)</w:t>
            </w:r>
          </w:p>
        </w:tc>
      </w:tr>
      <w:tr>
        <w:trPr>
          <w:trHeight w:val="222"/>
        </w:trPr>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(1,228,493)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(615,681)</w:t>
            </w:r>
          </w:p>
        </w:tc>
      </w:tr>
      <w:tr>
        <w:trPr>
          <w:trHeight w:val="426"/>
        </w:trPr>
        <w:tc>
          <w:tcPr>
            <w:tcW w:w="32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7,062,903</w:t>
            </w:r>
          </w:p>
        </w:tc>
        <w:tc>
          <w:tcPr>
            <w:tcW w:w="30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1,860,219</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w w:val="97"/>
              </w:rPr>
              <w:t>10,653,288</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6,104,134</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56,133</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222,184</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417,949</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457,095</w:t>
            </w:r>
          </w:p>
        </w:tc>
      </w:tr>
      <w:tr>
        <w:trPr>
          <w:trHeight w:val="216"/>
        </w:trPr>
        <w:tc>
          <w:tcPr>
            <w:tcW w:w="3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(2,585,429)</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416,773</w:t>
            </w:r>
          </w:p>
        </w:tc>
      </w:tr>
      <w:tr>
        <w:trPr>
          <w:trHeight w:val="231"/>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2,039,206</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358,223</w:t>
            </w:r>
          </w:p>
        </w:tc>
      </w:tr>
      <w:tr>
        <w:trPr>
          <w:trHeight w:val="223"/>
        </w:trPr>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28,046,140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15,201,025</w:t>
            </w:r>
          </w:p>
        </w:tc>
      </w:tr>
    </w:tbl>
    <w:p>
      <w:pPr>
        <w:spacing w:after="0" w:line="200" w:lineRule="exact"/>
        <w:rPr>
          <w:sz w:val="20"/>
          <w:szCs w:val="20"/>
          <w:color w:val="auto"/>
        </w:rPr>
      </w:pPr>
    </w:p>
    <w:p>
      <w:pPr>
        <w:spacing w:after="0" w:line="224" w:lineRule="exact"/>
        <w:rPr>
          <w:sz w:val="20"/>
          <w:szCs w:val="20"/>
          <w:color w:val="auto"/>
        </w:rPr>
      </w:pPr>
    </w:p>
    <w:p>
      <w:pPr>
        <w:ind w:left="600"/>
        <w:spacing w:after="0"/>
        <w:tabs>
          <w:tab w:leader="none" w:pos="2500" w:val="left"/>
        </w:tabs>
        <w:rPr>
          <w:sz w:val="20"/>
          <w:szCs w:val="20"/>
          <w:color w:val="auto"/>
        </w:rPr>
      </w:pPr>
      <w:r>
        <w:rPr>
          <w:rFonts w:ascii="Arial" w:cs="Arial" w:eastAsia="Arial" w:hAnsi="Arial"/>
          <w:sz w:val="18"/>
          <w:szCs w:val="18"/>
          <w:color w:val="auto"/>
        </w:rPr>
        <w:t>(121,271)</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6"/>
          <w:szCs w:val="16"/>
          <w:color w:val="auto"/>
        </w:rPr>
        <w:t>(50,396,228)</w:t>
      </w:r>
      <w:r>
        <w:rPr>
          <w:sz w:val="20"/>
          <w:szCs w:val="20"/>
          <w:color w:val="auto"/>
        </w:rPr>
        <w:tab/>
      </w:r>
      <w:r>
        <w:rPr>
          <w:rFonts w:ascii="Arial" w:cs="Arial" w:eastAsia="Arial" w:hAnsi="Arial"/>
          <w:sz w:val="16"/>
          <w:szCs w:val="16"/>
          <w:color w:val="auto"/>
        </w:rPr>
        <w:t>(36,551,218)</w:t>
      </w:r>
    </w:p>
    <w:p>
      <w:pPr>
        <w:spacing w:after="0" w:line="32"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6"/>
          <w:szCs w:val="16"/>
          <w:color w:val="auto"/>
        </w:rPr>
        <w:t>(7,526,326)</w:t>
      </w:r>
      <w:r>
        <w:rPr>
          <w:sz w:val="20"/>
          <w:szCs w:val="20"/>
          <w:color w:val="auto"/>
        </w:rPr>
        <w:tab/>
      </w:r>
      <w:r>
        <w:rPr>
          <w:rFonts w:ascii="Arial" w:cs="Arial" w:eastAsia="Arial" w:hAnsi="Arial"/>
          <w:sz w:val="16"/>
          <w:szCs w:val="16"/>
          <w:color w:val="auto"/>
        </w:rPr>
        <w:t>(7,464,764)</w:t>
      </w:r>
    </w:p>
    <w:p>
      <w:pPr>
        <w:spacing w:after="0" w:line="32"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18"/>
          <w:szCs w:val="18"/>
          <w:color w:val="auto"/>
        </w:rPr>
        <w:t>247,500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8"/>
          <w:szCs w:val="18"/>
          <w:color w:val="auto"/>
        </w:rPr>
        <w:t>11,132,000</w:t>
      </w:r>
      <w:r>
        <w:rPr>
          <w:sz w:val="20"/>
          <w:szCs w:val="20"/>
          <w:color w:val="auto"/>
        </w:rPr>
        <w:tab/>
      </w:r>
      <w:r>
        <w:rPr>
          <w:rFonts w:ascii="Arial" w:cs="Arial" w:eastAsia="Arial" w:hAnsi="Arial"/>
          <w:sz w:val="18"/>
          <w:szCs w:val="18"/>
          <w:color w:val="auto"/>
        </w:rPr>
        <w:t>17,752,130</w:t>
      </w:r>
    </w:p>
    <w:p>
      <w:pPr>
        <w:spacing w:after="0" w:line="9" w:lineRule="exact"/>
        <w:rPr>
          <w:sz w:val="20"/>
          <w:szCs w:val="20"/>
          <w:color w:val="auto"/>
        </w:rPr>
      </w:pPr>
    </w:p>
    <w:p>
      <w:pPr>
        <w:ind w:left="520"/>
        <w:spacing w:after="0"/>
        <w:tabs>
          <w:tab w:leader="none" w:pos="1860" w:val="left"/>
        </w:tabs>
        <w:rPr>
          <w:sz w:val="20"/>
          <w:szCs w:val="20"/>
          <w:color w:val="auto"/>
        </w:rPr>
      </w:pPr>
      <w:r>
        <w:rPr>
          <w:rFonts w:ascii="Arial" w:cs="Arial" w:eastAsia="Arial" w:hAnsi="Arial"/>
          <w:sz w:val="18"/>
          <w:szCs w:val="18"/>
          <w:color w:val="auto"/>
        </w:rPr>
        <w:t>3,862,127</w:t>
      </w:r>
      <w:r>
        <w:rPr>
          <w:sz w:val="20"/>
          <w:szCs w:val="20"/>
          <w:color w:val="auto"/>
        </w:rPr>
        <w:tab/>
      </w:r>
      <w:r>
        <w:rPr>
          <w:rFonts w:ascii="Arial" w:cs="Arial" w:eastAsia="Arial" w:hAnsi="Arial"/>
          <w:sz w:val="18"/>
          <w:szCs w:val="18"/>
          <w:color w:val="auto"/>
        </w:rPr>
        <w:t>7,073,773</w:t>
      </w:r>
    </w:p>
    <w:p>
      <w:pPr>
        <w:spacing w:after="0" w:line="9" w:lineRule="exact"/>
        <w:rPr>
          <w:sz w:val="20"/>
          <w:szCs w:val="20"/>
          <w:color w:val="auto"/>
        </w:rPr>
      </w:pPr>
    </w:p>
    <w:p>
      <w:pPr>
        <w:ind w:left="460"/>
        <w:spacing w:after="0"/>
        <w:tabs>
          <w:tab w:leader="none" w:pos="2500" w:val="left"/>
        </w:tabs>
        <w:rPr>
          <w:sz w:val="20"/>
          <w:szCs w:val="20"/>
          <w:color w:val="auto"/>
        </w:rPr>
      </w:pPr>
      <w:r>
        <w:rPr>
          <w:rFonts w:ascii="Arial" w:cs="Arial" w:eastAsia="Arial" w:hAnsi="Arial"/>
          <w:sz w:val="18"/>
          <w:szCs w:val="18"/>
          <w:color w:val="auto"/>
        </w:rPr>
        <w:t>(2,000,000)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60"/>
        <w:spacing w:after="0"/>
        <w:tabs>
          <w:tab w:leader="none" w:pos="1940" w:val="left"/>
        </w:tabs>
        <w:rPr>
          <w:sz w:val="20"/>
          <w:szCs w:val="20"/>
          <w:color w:val="auto"/>
        </w:rPr>
      </w:pPr>
      <w:r>
        <w:rPr>
          <w:rFonts w:ascii="Arial" w:cs="Arial" w:eastAsia="Arial" w:hAnsi="Arial"/>
          <w:sz w:val="16"/>
          <w:szCs w:val="16"/>
          <w:color w:val="auto"/>
        </w:rPr>
        <w:t>(2,824,132)</w:t>
      </w:r>
      <w:r>
        <w:rPr>
          <w:sz w:val="20"/>
          <w:szCs w:val="20"/>
          <w:color w:val="auto"/>
        </w:rPr>
        <w:tab/>
      </w:r>
      <w:r>
        <w:rPr>
          <w:rFonts w:ascii="Arial" w:cs="Arial" w:eastAsia="Arial" w:hAnsi="Arial"/>
          <w:sz w:val="16"/>
          <w:szCs w:val="16"/>
          <w:color w:val="auto"/>
        </w:rPr>
        <w:t>(576,212)</w:t>
      </w:r>
    </w:p>
    <w:p>
      <w:pPr>
        <w:spacing w:after="0" w:line="32" w:lineRule="exact"/>
        <w:rPr>
          <w:sz w:val="20"/>
          <w:szCs w:val="20"/>
          <w:color w:val="auto"/>
        </w:rPr>
      </w:pPr>
    </w:p>
    <w:p>
      <w:pPr>
        <w:ind w:left="2020" w:hanging="859"/>
        <w:spacing w:after="0"/>
        <w:tabs>
          <w:tab w:leader="none" w:pos="2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250,448</w:t>
      </w:r>
    </w:p>
    <w:p>
      <w:pPr>
        <w:spacing w:after="0" w:line="2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(47,626,330)</w:t>
      </w:r>
      <w:r>
        <w:rPr>
          <w:rFonts w:ascii="Arial" w:cs="Arial" w:eastAsia="Arial" w:hAnsi="Arial"/>
          <w:sz w:val="15"/>
          <w:szCs w:val="15"/>
          <w:color w:val="auto"/>
        </w:rPr>
        <w:t>(19,515,843)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173228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0"/>
        <w:spacing w:after="0"/>
        <w:tabs>
          <w:tab w:leader="none" w:pos="1860" w:val="left"/>
        </w:tabs>
        <w:rPr>
          <w:sz w:val="20"/>
          <w:szCs w:val="20"/>
          <w:color w:val="auto"/>
        </w:rPr>
      </w:pPr>
      <w:r>
        <w:rPr>
          <w:rFonts w:ascii="Arial" w:cs="Arial" w:eastAsia="Arial" w:hAnsi="Arial"/>
          <w:sz w:val="18"/>
          <w:szCs w:val="18"/>
          <w:color w:val="auto"/>
        </w:rPr>
        <w:t>30,136,699</w:t>
      </w:r>
      <w:r>
        <w:rPr>
          <w:sz w:val="20"/>
          <w:szCs w:val="20"/>
          <w:color w:val="auto"/>
        </w:rPr>
        <w:tab/>
      </w:r>
      <w:r>
        <w:rPr>
          <w:rFonts w:ascii="Arial" w:cs="Arial" w:eastAsia="Arial" w:hAnsi="Arial"/>
          <w:sz w:val="18"/>
          <w:szCs w:val="18"/>
          <w:color w:val="auto"/>
        </w:rPr>
        <w:t>4,807,631</w:t>
      </w:r>
    </w:p>
    <w:p>
      <w:pPr>
        <w:spacing w:after="0" w:line="15" w:lineRule="exact"/>
        <w:rPr>
          <w:sz w:val="20"/>
          <w:szCs w:val="20"/>
          <w:color w:val="auto"/>
        </w:rPr>
      </w:pPr>
    </w:p>
    <w:p>
      <w:pPr>
        <w:ind w:left="420"/>
        <w:spacing w:after="0"/>
        <w:tabs>
          <w:tab w:leader="none" w:pos="2500" w:val="left"/>
        </w:tabs>
        <w:rPr>
          <w:sz w:val="20"/>
          <w:szCs w:val="20"/>
          <w:color w:val="auto"/>
        </w:rPr>
      </w:pPr>
      <w:r>
        <w:rPr>
          <w:rFonts w:ascii="Arial" w:cs="Arial" w:eastAsia="Arial" w:hAnsi="Arial"/>
          <w:sz w:val="18"/>
          <w:szCs w:val="18"/>
          <w:color w:val="auto"/>
        </w:rPr>
        <w:t>29,121,630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740"/>
        <w:spacing w:after="0"/>
        <w:tabs>
          <w:tab w:leader="none" w:pos="2080" w:val="left"/>
        </w:tabs>
        <w:rPr>
          <w:sz w:val="20"/>
          <w:szCs w:val="20"/>
          <w:color w:val="auto"/>
        </w:rPr>
      </w:pPr>
      <w:r>
        <w:rPr>
          <w:rFonts w:ascii="Arial" w:cs="Arial" w:eastAsia="Arial" w:hAnsi="Arial"/>
          <w:sz w:val="18"/>
          <w:szCs w:val="18"/>
          <w:color w:val="auto"/>
        </w:rPr>
        <w:t>77,927</w:t>
      </w:r>
      <w:r>
        <w:rPr>
          <w:sz w:val="20"/>
          <w:szCs w:val="20"/>
          <w:color w:val="auto"/>
        </w:rPr>
        <w:tab/>
      </w:r>
      <w:r>
        <w:rPr>
          <w:rFonts w:ascii="Arial" w:cs="Arial" w:eastAsia="Arial" w:hAnsi="Arial"/>
          <w:sz w:val="18"/>
          <w:szCs w:val="18"/>
          <w:color w:val="auto"/>
        </w:rPr>
        <w:t>54,310</w:t>
      </w:r>
    </w:p>
    <w:p>
      <w:pPr>
        <w:spacing w:after="0" w:line="9" w:lineRule="exact"/>
        <w:rPr>
          <w:sz w:val="20"/>
          <w:szCs w:val="20"/>
          <w:color w:val="auto"/>
        </w:rPr>
      </w:pPr>
    </w:p>
    <w:p>
      <w:pPr>
        <w:ind w:left="2320" w:hanging="1159"/>
        <w:spacing w:after="0"/>
        <w:tabs>
          <w:tab w:leader="none" w:pos="2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563</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(27,645)-</w:t>
      </w:r>
    </w:p>
    <w:p>
      <w:pPr>
        <w:spacing w:after="0" w:line="9"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6"/>
          <w:szCs w:val="16"/>
          <w:color w:val="auto"/>
        </w:rPr>
        <w:t>(176,837)</w:t>
      </w:r>
      <w:r>
        <w:rPr>
          <w:sz w:val="20"/>
          <w:szCs w:val="20"/>
          <w:color w:val="auto"/>
        </w:rPr>
        <w:tab/>
      </w:r>
      <w:r>
        <w:rPr>
          <w:rFonts w:ascii="Arial" w:cs="Arial" w:eastAsia="Arial" w:hAnsi="Arial"/>
          <w:sz w:val="16"/>
          <w:szCs w:val="16"/>
          <w:color w:val="auto"/>
        </w:rPr>
        <w:t>(113,267)</w:t>
      </w:r>
    </w:p>
    <w:p>
      <w:pPr>
        <w:spacing w:after="0" w:line="32"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6"/>
          <w:szCs w:val="16"/>
          <w:color w:val="auto"/>
        </w:rPr>
        <w:t>(3,214,471)</w:t>
      </w:r>
      <w:r>
        <w:rPr>
          <w:sz w:val="20"/>
          <w:szCs w:val="20"/>
          <w:color w:val="auto"/>
        </w:rPr>
        <w:tab/>
      </w:r>
      <w:r>
        <w:rPr>
          <w:rFonts w:ascii="Arial" w:cs="Arial" w:eastAsia="Arial" w:hAnsi="Arial"/>
          <w:sz w:val="16"/>
          <w:szCs w:val="16"/>
          <w:color w:val="auto"/>
        </w:rPr>
        <w:t>(1,941,271)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73228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33" w:lineRule="exact"/>
        <w:rPr>
          <w:sz w:val="20"/>
          <w:szCs w:val="20"/>
          <w:color w:val="auto"/>
        </w:rPr>
      </w:pPr>
    </w:p>
    <w:p>
      <w:pPr>
        <w:ind w:left="420"/>
        <w:spacing w:after="0"/>
        <w:tabs>
          <w:tab w:leader="none" w:pos="1860" w:val="left"/>
        </w:tabs>
        <w:rPr>
          <w:sz w:val="20"/>
          <w:szCs w:val="20"/>
          <w:color w:val="auto"/>
        </w:rPr>
      </w:pPr>
      <w:r>
        <w:rPr>
          <w:rFonts w:ascii="Arial" w:cs="Arial" w:eastAsia="Arial" w:hAnsi="Arial"/>
          <w:sz w:val="18"/>
          <w:szCs w:val="18"/>
          <w:color w:val="auto"/>
        </w:rPr>
        <w:t>55,917,303</w:t>
      </w:r>
      <w:r>
        <w:rPr>
          <w:sz w:val="20"/>
          <w:szCs w:val="20"/>
          <w:color w:val="auto"/>
        </w:rPr>
        <w:tab/>
      </w:r>
      <w:r>
        <w:rPr>
          <w:rFonts w:ascii="Arial" w:cs="Arial" w:eastAsia="Arial" w:hAnsi="Arial"/>
          <w:sz w:val="18"/>
          <w:szCs w:val="18"/>
          <w:color w:val="auto"/>
        </w:rPr>
        <w:t>2,807,966</w:t>
      </w:r>
    </w:p>
    <w:p>
      <w:pPr>
        <w:spacing w:after="0" w:line="252" w:lineRule="exact"/>
        <w:rPr>
          <w:sz w:val="20"/>
          <w:szCs w:val="20"/>
          <w:color w:val="auto"/>
        </w:rPr>
      </w:pPr>
    </w:p>
    <w:p>
      <w:pPr>
        <w:ind w:left="440" w:hanging="312"/>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36,337,113   $   (1,506,852)</w:t>
      </w:r>
    </w:p>
    <w:p>
      <w:pPr>
        <w:spacing w:after="0" w:line="15"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12,044,520</w:t>
      </w:r>
      <w:r>
        <w:rPr>
          <w:sz w:val="20"/>
          <w:szCs w:val="20"/>
          <w:color w:val="auto"/>
        </w:rPr>
        <w:tab/>
      </w:r>
      <w:r>
        <w:rPr>
          <w:rFonts w:ascii="Arial" w:cs="Arial" w:eastAsia="Arial" w:hAnsi="Arial"/>
          <w:sz w:val="18"/>
          <w:szCs w:val="18"/>
          <w:color w:val="auto"/>
        </w:rPr>
        <w:t>13,551,372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7322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ind w:left="120"/>
        <w:spacing w:after="0"/>
        <w:tabs>
          <w:tab w:leader="none" w:pos="400" w:val="left"/>
          <w:tab w:leader="none" w:pos="1480" w:val="left"/>
          <w:tab w:leader="none" w:pos="1780" w:val="left"/>
        </w:tabs>
        <w:rPr>
          <w:sz w:val="20"/>
          <w:szCs w:val="20"/>
          <w:color w:val="auto"/>
        </w:rPr>
      </w:pPr>
      <w:r>
        <w:rPr>
          <w:rFonts w:ascii="Arial" w:cs="Arial" w:eastAsia="Arial" w:hAnsi="Arial"/>
          <w:sz w:val="18"/>
          <w:szCs w:val="18"/>
          <w:color w:val="auto"/>
        </w:rPr>
        <w:t>$</w:t>
        <w:tab/>
        <w:t>48,381,633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12,044,520</w:t>
      </w:r>
    </w:p>
    <w:p>
      <w:pPr>
        <w:spacing w:after="0" w:line="200" w:lineRule="exact"/>
        <w:rPr>
          <w:sz w:val="20"/>
          <w:szCs w:val="20"/>
          <w:color w:val="auto"/>
        </w:rPr>
      </w:pPr>
    </w:p>
    <w:p>
      <w:pPr>
        <w:spacing w:after="0" w:line="295" w:lineRule="exact"/>
        <w:rPr>
          <w:sz w:val="20"/>
          <w:szCs w:val="20"/>
          <w:color w:val="auto"/>
        </w:rPr>
      </w:pPr>
    </w:p>
    <w:p>
      <w:pPr>
        <w:ind w:left="120"/>
        <w:spacing w:after="0"/>
        <w:tabs>
          <w:tab w:leader="none" w:pos="500" w:val="left"/>
          <w:tab w:leader="none" w:pos="1480" w:val="left"/>
          <w:tab w:leader="none" w:pos="1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5,773,000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6,028,671</w:t>
      </w:r>
    </w:p>
    <w:p>
      <w:pPr>
        <w:spacing w:after="0" w:line="206" w:lineRule="exact"/>
        <w:rPr>
          <w:sz w:val="20"/>
          <w:szCs w:val="20"/>
          <w:color w:val="auto"/>
        </w:rPr>
      </w:pPr>
    </w:p>
    <w:p>
      <w:pPr>
        <w:sectPr>
          <w:pgSz w:w="11900" w:h="16838" w:orient="portrait"/>
          <w:cols w:equalWidth="0" w:num="2">
            <w:col w:w="7980" w:space="720"/>
            <w:col w:w="2720"/>
          </w:cols>
          <w:pgMar w:left="240" w:top="130"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8" w:name="page89"/>
    <w:bookmarkEnd w:id="8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Massachusetts and Texas. KICO is currently offering its property and casualty insurance products in New York, New Jersey, Rhode Island and Pennsylvania. Although New Jersey and Rhode Island are now growing expansion markets for the Company, 98.5% of KICO’s direct written premiums for the year ended December 31, 2017 were written in the State of New York. In February 2018, a homeowners rate, rule, and form filing was made with the State of Massachusetts. KICO anticipates writing business there in 2018.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consist of Kingstone and its wholly owned subsidiaries: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Ceding Commission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the ceding commission revenue in the period that changes in the estimated losses are determined.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Expenses (“LAE”) Reserves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liability for loss and LAE represents management’s best estimate of the ultimate cost of all reported and unreported losses that are unpaid as of the balance sheet date. The liability for losses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 of income and comprehensive income are net of reinsurance recoveries.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2017 and 2016. The Company did not expense any uncollectible reinsurance for the years ended December 31, 2017 and 2016.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 The Company maintains its cash balances at several financial institutions.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classifies its fixed-maturity securities as either held-to-maturity or available-for-sale and its equity securities as available-for-sale. The Company may sell its available-for-sale securities in response to changes in interest rates, risk/reward characteristics, liquidity needs or other factors. Fixed-maturity securities that the Company has the specific intent and ability to hold until maturity are classified as such and carried at amortized cost.</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Available-for-sale securities are reported at their estimated fair values based on quoted market prices from a recognized pricing service, with unrealized gains and losses, net of tax effects, reported as a separate component of accumulated other comprehensive income in the consolidated statements of stockholders’ equity. Realized gains and losses are determined on the specific identification method and recognized in the consolidated statements of income and comprehensive income.</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Investment income is accrued to the date of the consolidated financial statements and includes amortization of premium and accretion of discount on fixed-maturities. Interest is recognized when earned, while dividends are recognized when declared. Due and accrued investment income was approximately $1,136,000 and $694,000 as of December 31, 2017 and 2016, respectively, and is included in other assets on the accompanying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Receivable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Premiums receivable are presented net of an allowance for doubtful accounts of approximately $291,000 and $212,000 as of December 31, 2017 and 2016, respectively. The allowance for uncollectible amounts is based on an analysis of amounts receivable giving consideration to historical loss experience and current economic conditions and reflects an amount that, in management’s judgment, is adequate. Uncollectible premiums receivable balances of approximately $138,000 and $98,000 were written off for the years ended December 31, 2017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Policy Acquisition Costs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Deferred 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related premiums are earned.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recorded acquired identifiable intangible assets. The cost of a group of assets acquired in a transaction is allocated to the individual assets including identifiable intangible assets based on their relative fair values. Identifiable intangible assets with a finite useful life are amortized over the period that the asset is expected to contribute directly or indirectly to the future cash flows of the Company. Intangible assets with an indefinite life are not amortized, however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2017 and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Building and building improvements, furniture, computer equipment, and software are reported at cost less accumulated depreciation. Depreciation is provided using the straight-line method over the estimated useful lives of the assets. The Company estimates the useful life for computer equipment, computer software, automobile, furniture and other equipment is three years, and building and building improvements is 39 years.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reviews its real estate assets used as its headquarters to evaluate the necessity of recording impairment losses for market changes due to declines in the fair value of the property. In evaluating potential impairment, management considers the current estimated fair value compared to the carrying value of the asset. At December 31, 2017 and 2016, the fair value of the real estate assets is estimated to be in excess of the carrying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files a consolidated tax return with its subsidiaries. At December 31, 2017, the Company had no material unrecognized tax benefits and no adjustments to liabilities or operations were required.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 December 22, 2017, the Tax Cuts and Jobs Act of 2017 was enacted (see Note 15 -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Assessments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Insurance related assessments are accrued in the period in which they have been incurred. A typical obligating event would be the issuance of an insurance policy or the occurrence of a claim. The Company is subject to a variety of assessments.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and Credit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 of credit risk are primarily cash and cash equivalents, investments, and premium and reinsurance receivables. Investments are diversified through many industries and geographic regions based upon KICO’s Investment Committee’s guidelines, which employs a variety of investment strategies. The Company believes that no significant concentration of credit risk exists with respect to investments. At times, cash may be uninsured or in deposit accounts that exceed the Federal Deposit Insurance Corporation (“FDIC”) insurance limits. The Company has not experienced any losses in such accounts and management believes the Company is not exposed to any significant credit risk. Cash equivalents are not insured by the FDIC.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the Company’s cash equivalents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178"/>
              <w:spacing w:after="0"/>
              <w:rPr>
                <w:sz w:val="20"/>
                <w:szCs w:val="20"/>
                <w:color w:val="auto"/>
              </w:rPr>
            </w:pPr>
            <w:r>
              <w:rPr>
                <w:rFonts w:ascii="Arial" w:cs="Arial" w:eastAsia="Arial" w:hAnsi="Arial"/>
                <w:sz w:val="15"/>
                <w:szCs w:val="15"/>
                <w:b w:val="1"/>
                <w:bCs w:val="1"/>
                <w:color w:val="auto"/>
                <w:w w:val="88"/>
              </w:rPr>
              <w:t>December 31,</w:t>
            </w:r>
          </w:p>
        </w:tc>
        <w:tc>
          <w:tcPr>
            <w:tcW w:w="2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Collateralized bank repurchase agreement (1)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10,249,985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280"/>
              <w:spacing w:after="0"/>
              <w:rPr>
                <w:sz w:val="20"/>
                <w:szCs w:val="20"/>
                <w:color w:val="auto"/>
              </w:rPr>
            </w:pPr>
            <w:r>
              <w:rPr>
                <w:rFonts w:ascii="Arial" w:cs="Arial" w:eastAsia="Arial" w:hAnsi="Arial"/>
                <w:sz w:val="18"/>
                <w:szCs w:val="18"/>
                <w:color w:val="auto"/>
              </w:rPr>
              <w:t>6,268,647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35,874,700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3,121,155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46,124,685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9,389,802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33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the outstanding premiums receivable balance is generally diversified due to the large number of individual insureds comprising the Company’s customer base. The Company’s customer base is concentrated in the New York City metropolitan area. The Company also has receivables from its reinsurers.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for reinsurance recoverables on unpaid and paid losses by reinsurer. Management’s policy is to review all outstanding receivables quarterly as well as the bad debt write-offs experienced in the past and establish an allowance for doubtful accounts, if deemed necessary.</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Direct premiums earned from lines of business in excess of 10% of the total subject the Company to concentration risk for the years ended December 31, 2017 and 2016 as follows:</w:t>
      </w:r>
    </w:p>
    <w:p>
      <w:pPr>
        <w:spacing w:after="0" w:line="235" w:lineRule="exact"/>
        <w:rPr>
          <w:sz w:val="20"/>
          <w:szCs w:val="20"/>
          <w:color w:val="auto"/>
        </w:rPr>
      </w:pPr>
    </w:p>
    <w:p>
      <w:pPr>
        <w:ind w:left="9220"/>
        <w:spacing w:after="0"/>
        <w:rPr>
          <w:sz w:val="20"/>
          <w:szCs w:val="20"/>
          <w:color w:val="auto"/>
        </w:rPr>
      </w:pPr>
      <w:r>
        <w:rPr>
          <w:rFonts w:ascii="Arial" w:cs="Arial" w:eastAsia="Arial" w:hAnsi="Arial"/>
          <w:sz w:val="15"/>
          <w:szCs w:val="15"/>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gridSpan w:val="2"/>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Commercial Lines</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12.2%</w:t>
            </w: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8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10.3%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Total premiums earned subject to concentration</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99.7%</w:t>
            </w: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Premiums earned not subject to concentration</w:t>
            </w:r>
          </w:p>
        </w:tc>
        <w:tc>
          <w:tcPr>
            <w:tcW w:w="8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premiums earned</w:t>
            </w: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5"/>
              </w:rPr>
              <w:t>100.0%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9500" w:type="dxa"/>
            <w:vAlign w:val="bottom"/>
            <w:tcBorders>
              <w:bottom w:val="single" w:sz="8" w:color="auto"/>
            </w:tcBorders>
            <w:gridSpan w:val="2"/>
          </w:tcPr>
          <w:p>
            <w:pPr>
              <w:jc w:val="right"/>
              <w:ind w:right="3566"/>
              <w:spacing w:after="0"/>
              <w:rPr>
                <w:sz w:val="20"/>
                <w:szCs w:val="20"/>
                <w:color w:val="auto"/>
              </w:rPr>
            </w:pPr>
            <w:r>
              <w:rPr>
                <w:rFonts w:ascii="Arial" w:cs="Arial" w:eastAsia="Arial" w:hAnsi="Arial"/>
                <w:sz w:val="18"/>
                <w:szCs w:val="18"/>
                <w:color w:val="auto"/>
              </w:rPr>
              <w:t>F-11</w:t>
            </w: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actual results could differ from these estimates and assumptions, which include the reserves for losses and loss adjustment expenses,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common share is computed by dividing income available to common stockholders by the weighted-average number of common shares outstanding. Diluted earnings per common share reflect, in periods in which they have a dilutive effect, the impact of common shares issuable upon the exercise of stock options. The computation of diluted earnings per share excludes those options with an exercise price in excess of the average market price of the Company’s common shares during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costs are charged to operations when the advertising is initiated. Advertising costs are included in other underwriting expenses in the accompanying consolidated statements of income and comprehensive income, and were approximately $202,000 and $169,000 for the years ended December 31, 2017 and 2016,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in 2017 and 2016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Compensated Absences</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Employees of the Company are entitled to paid vacations, sick days, and other time off depending on job classification, length of service and other factors. It is impracticable to estimate the amount of compensation of future absences and, accordingly, no liability has been recorded in the accompanying consolidated financial statements. The Company’s policy is to recognize the cost of compensated absences when paid to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Comprehensive income refers to revenue, expenses, gains and losses that are included in comprehensive income but are excluded from net income as these amounts are recorded directly as an adjustment to stockholders' equity, primarily from changes in unrealized gains and losses on available-for-sale securities.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the Company has adopted the provisions of Accounting Standards Update (“ASU”) 2016-09 – Compensation - Stock Compensation (Topic 718): Improvements to Employee Share-Based Payment Accounting, which requires recognition of all income tax effects from share-based payments arising on or after January 1, 2017 (the Company’s adoption date) in income tax expense. As a result, the Company realized windfall tax benefits in the period of adoption of approximately $5,000, which was recognized as a discrete period income tax benefit as required by this ASU. This benefit had no effect on the Company’s effective tax rate for the year ended December 31, 2017.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2018, the Financial Accounting Standards Board (“FASB”) issued ASU 2018-02 - Income Statement – Reporting Comprehensive Income (Topic</w:t>
      </w:r>
    </w:p>
    <w:p>
      <w:pPr>
        <w:spacing w:after="0" w:line="38" w:lineRule="exact"/>
        <w:rPr>
          <w:sz w:val="20"/>
          <w:szCs w:val="20"/>
          <w:color w:val="auto"/>
        </w:rPr>
      </w:pPr>
    </w:p>
    <w:p>
      <w:pPr>
        <w:jc w:val="both"/>
        <w:ind w:firstLine="8"/>
        <w:spacing w:after="0" w:line="252" w:lineRule="auto"/>
        <w:tabs>
          <w:tab w:leader="none" w:pos="3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Reclassification of Certain Tax Effects from Accumulated Other Comprehensive Income (“AOCI”) (“ASU 2018-02”). The deferred income tax liability for unrealized gains on available-for-sale securities that were re-measured due to the reduction in corporate income tax rates under the Tax Cuts and Jobs Act of 2017 (the “Act”) resulted in a stranded tax effect within AOCI. This is due to the effect of the tax rate change being recorded through continuing operations as required under Accounting Standards Codification 740 (“ASC 740”). The revised ASU allows for the reclassification of the stranded tax effects as a result of the Act from AOCI to retained earnings and requires certain other disclosures. The Company chose to early adopt the provisions of ASU 2018-02 and recorded a one-time reclassification of $182,912 from AOCI to retained earnings for the stranded tax effects resulting from the newly enacted corporate tax rate. The amount of the reclassification was the difference between the historical corporate tax rate and the newly enacted 21% corporate tax rate (see Consolidated Statement of Stockholders’ Equity).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FASB issued ASU 2014-09 – Revenue from Contracts with Customers (Topic 606) (“ASU 2014-09”). The core principle of the new guidance is that an entity should recognize revenue to reflect the transfer of goods and services to customers in an amount equal to the consideration the entity receives or expects to receive. ASU 2014-09, as amended by ASU 2015-14, ASU 2016-08, ASU 2016-10 and ASU 2016-20, is effective for annual reporting periods beginning after December 15, 2017, including interim periods within that reporting period. The Company adopted the new revenue standard on January 1, 2018 using the modified retrospective approach. The standard excludes from its scope the accounting for insurance contracts, financial instruments, and certain other agreements that are governed under other GAAP guidance. Accordingly, the adoption of ASU 2014-09 did not have a material effect on the Company’s consolidated financial statements.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2016, FASB issued ASU 2016-01 – Financial Instruments – Overall (Subtopic 825-10): Recognition and Measurement of Financial Assets and Financial Liabilities (“ASU 2016-01”). The updated accounting guidance requires changes to the reporting model for financial instruments. ASU 2016-01 addresses certain aspects of recognition, measurement, presentation and disclosure of financial instruments. Most significantly, ASU 2016-01 requires companies to measure equity investments (except those accounted for under the equity method of accounting or those that result in consolidation of the investee) at fair value with changes in fair value recognized in net income. ASU 2016-01 is effective for fiscal years beginning after December 15, 2017, including interim periods within those fiscal years.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Adopting ASU 2016-01 will have no impact on the Company’s total Stockholders’ Equity as of January 1, 2018, but will result in an increase to Retained Earnings of approximately $414,000, with a corresponding reduction to AOCI. Subsequent to adoption, ASU 2016-01 is expected to cause increased volatility in the Company’s Consolidated Statements of Income and Comprehensive Income.</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FASB issued ASU 2016-02 – Leases (Topic 842) (“ASU 2016-02"). Under this ASU, lessees will recognize a right-of-use-asset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interim and annual reporting periods beginning after December 15, 2018. The Company will apply the guidance using a modified retrospective approach. Early application is permitted. The Company is evaluating whether the adoption of ASU 2016-02 will have a significant impact on its consolidated results of operations, financial position or cash flows.</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2016, FASB issued ASU 2016-15 - Statement of Cash Flows (Topic 230): Classification of Certain Cash Receipts and Cash Payments (“ASU 2016-15”). The revised ASU provides accounting guidance for eight specific cash flow issues. FASB issued the standard to clarify areas where GAAP has been either unclear or lacking in specific guidance. ASU 2016-15 will be effective for the Company for interim and annual reporting periods beginning after December 15, 2018. Early adoption is permitted, including adoption in an interim period. The Company is currently evaluating the effect the updated guidance will have on its consolidated statement of cash flows.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(“ASU 2017-09”). ASU 2017-09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amendment should be applied on a prospective basis. The effective date of ASU 2017-09 is for interim and annual reporting periods, beginning after December 15, 2017. The ASU has not yet been adopted; however, it will not have a material impact on the Company's consolidated financial position, cash flows or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amortized cost and fair value of investments in available-for-sale fixed-maturity securities and equity securities as of December 31, 2017 and December 31, 2016 are summarized as follows: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2"/>
        </w:trPr>
        <w:tc>
          <w:tcPr>
            <w:tcW w:w="4580" w:type="dxa"/>
            <w:vAlign w:val="bottom"/>
            <w:gridSpan w:val="3"/>
          </w:tcPr>
          <w:p>
            <w:pPr>
              <w:spacing w:after="0"/>
              <w:rPr>
                <w:rFonts w:ascii="Arial" w:cs="Arial" w:eastAsia="Arial" w:hAnsi="Arial"/>
                <w:sz w:val="15"/>
                <w:szCs w:val="15"/>
                <w:color w:val="0000EE"/>
              </w:rPr>
            </w:pPr>
            <w:hyperlink w:anchor="page1">
              <w:r>
                <w:rPr>
                  <w:rFonts w:ascii="Arial" w:cs="Arial" w:eastAsia="Arial" w:hAnsi="Arial"/>
                  <w:sz w:val="15"/>
                  <w:szCs w:val="15"/>
                  <w:color w:val="0000EE"/>
                </w:rPr>
                <w:t>Index</w:t>
              </w:r>
            </w:hyperlink>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5"/>
                <w:szCs w:val="15"/>
                <w:b w:val="1"/>
                <w:bCs w:val="1"/>
                <w:color w:val="auto"/>
              </w:rPr>
              <w:t>December 31, 2017</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37"/>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1"/>
              </w:rPr>
              <w:t>Cost or</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5"/>
                <w:szCs w:val="15"/>
                <w:b w:val="1"/>
                <w:bCs w:val="1"/>
                <w:color w:val="auto"/>
                <w:w w:val="90"/>
              </w:rPr>
              <w:t>Gross Unrealized Losses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37"/>
              <w:spacing w:after="0"/>
              <w:rPr>
                <w:sz w:val="20"/>
                <w:szCs w:val="20"/>
                <w:color w:val="auto"/>
              </w:rPr>
            </w:pPr>
            <w:r>
              <w:rPr>
                <w:rFonts w:ascii="Arial" w:cs="Arial" w:eastAsia="Arial" w:hAnsi="Arial"/>
                <w:sz w:val="15"/>
                <w:szCs w:val="15"/>
                <w:b w:val="1"/>
                <w:bCs w:val="1"/>
                <w:color w:val="auto"/>
                <w:w w:val="92"/>
              </w:rPr>
              <w:t>Unrealized</w:t>
            </w:r>
          </w:p>
        </w:tc>
        <w:tc>
          <w:tcPr>
            <w:tcW w:w="0" w:type="dxa"/>
            <w:vAlign w:val="bottom"/>
          </w:tcPr>
          <w:p>
            <w:pPr>
              <w:spacing w:after="0"/>
              <w:rPr>
                <w:sz w:val="1"/>
                <w:szCs w:val="1"/>
                <w:color w:val="auto"/>
              </w:rPr>
            </w:pPr>
          </w:p>
        </w:tc>
      </w:tr>
      <w:tr>
        <w:trPr>
          <w:trHeight w:val="233"/>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Category</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20"/>
                <w:szCs w:val="20"/>
                <w:color w:val="auto"/>
              </w:rPr>
            </w:pPr>
          </w:p>
        </w:tc>
        <w:tc>
          <w:tcPr>
            <w:tcW w:w="940" w:type="dxa"/>
            <w:vAlign w:val="bottom"/>
          </w:tcPr>
          <w:p>
            <w:pPr>
              <w:jc w:val="center"/>
              <w:ind w:right="116"/>
              <w:spacing w:after="0"/>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right"/>
              <w:ind w:right="116"/>
              <w:spacing w:after="0"/>
              <w:rPr>
                <w:sz w:val="20"/>
                <w:szCs w:val="20"/>
                <w:color w:val="auto"/>
              </w:rPr>
            </w:pPr>
            <w:r>
              <w:rPr>
                <w:rFonts w:ascii="Arial" w:cs="Arial" w:eastAsia="Arial" w:hAnsi="Arial"/>
                <w:sz w:val="15"/>
                <w:szCs w:val="15"/>
                <w:b w:val="1"/>
                <w:bCs w:val="1"/>
                <w:color w:val="auto"/>
              </w:rPr>
              <w:t>Less than 12</w:t>
            </w:r>
          </w:p>
        </w:tc>
        <w:tc>
          <w:tcPr>
            <w:tcW w:w="1120" w:type="dxa"/>
            <w:vAlign w:val="bottom"/>
            <w:gridSpan w:val="2"/>
          </w:tcPr>
          <w:p>
            <w:pPr>
              <w:jc w:val="right"/>
              <w:ind w:right="54"/>
              <w:spacing w:after="0"/>
              <w:rPr>
                <w:sz w:val="20"/>
                <w:szCs w:val="20"/>
                <w:color w:val="auto"/>
              </w:rPr>
            </w:pPr>
            <w:r>
              <w:rPr>
                <w:rFonts w:ascii="Arial" w:cs="Arial" w:eastAsia="Arial" w:hAnsi="Arial"/>
                <w:sz w:val="15"/>
                <w:szCs w:val="15"/>
                <w:b w:val="1"/>
                <w:bCs w:val="1"/>
                <w:color w:val="auto"/>
              </w:rPr>
              <w:t>More than 12</w:t>
            </w:r>
          </w:p>
        </w:tc>
        <w:tc>
          <w:tcPr>
            <w:tcW w:w="1140" w:type="dxa"/>
            <w:vAlign w:val="bottom"/>
          </w:tcPr>
          <w:p>
            <w:pPr>
              <w:jc w:val="right"/>
              <w:ind w:right="355"/>
              <w:spacing w:after="0"/>
              <w:rPr>
                <w:sz w:val="20"/>
                <w:szCs w:val="20"/>
                <w:color w:val="auto"/>
              </w:rPr>
            </w:pPr>
            <w:r>
              <w:rPr>
                <w:rFonts w:ascii="Arial" w:cs="Arial" w:eastAsia="Arial" w:hAnsi="Arial"/>
                <w:sz w:val="15"/>
                <w:szCs w:val="15"/>
                <w:b w:val="1"/>
                <w:bCs w:val="1"/>
                <w:color w:val="auto"/>
              </w:rPr>
              <w:t>Fair</w:t>
            </w:r>
          </w:p>
        </w:tc>
        <w:tc>
          <w:tcPr>
            <w:tcW w:w="200" w:type="dxa"/>
            <w:vAlign w:val="bottom"/>
          </w:tcPr>
          <w:p>
            <w:pPr>
              <w:spacing w:after="0"/>
              <w:rPr>
                <w:sz w:val="20"/>
                <w:szCs w:val="20"/>
                <w:color w:val="auto"/>
              </w:rPr>
            </w:pPr>
          </w:p>
        </w:tc>
        <w:tc>
          <w:tcPr>
            <w:tcW w:w="920" w:type="dxa"/>
            <w:vAlign w:val="bottom"/>
          </w:tcPr>
          <w:p>
            <w:pPr>
              <w:jc w:val="center"/>
              <w:ind w:right="137"/>
              <w:spacing w:after="0"/>
              <w:rPr>
                <w:sz w:val="20"/>
                <w:szCs w:val="20"/>
                <w:color w:val="auto"/>
              </w:rPr>
            </w:pPr>
            <w:r>
              <w:rPr>
                <w:rFonts w:ascii="Arial" w:cs="Arial" w:eastAsia="Arial" w:hAnsi="Arial"/>
                <w:sz w:val="15"/>
                <w:szCs w:val="15"/>
                <w:b w:val="1"/>
                <w:bCs w:val="1"/>
                <w:color w:val="auto"/>
                <w:w w:val="91"/>
              </w:rPr>
              <w:t>Gains/</w:t>
            </w:r>
          </w:p>
        </w:tc>
        <w:tc>
          <w:tcPr>
            <w:tcW w:w="0" w:type="dxa"/>
            <w:vAlign w:val="bottom"/>
          </w:tcPr>
          <w:p>
            <w:pPr>
              <w:spacing w:after="0"/>
              <w:rPr>
                <w:sz w:val="1"/>
                <w:szCs w:val="1"/>
                <w:color w:val="auto"/>
              </w:rPr>
            </w:pPr>
          </w:p>
        </w:tc>
      </w:tr>
      <w:tr>
        <w:trPr>
          <w:trHeight w:val="206"/>
        </w:trPr>
        <w:tc>
          <w:tcPr>
            <w:tcW w:w="4580" w:type="dxa"/>
            <w:vAlign w:val="bottom"/>
            <w:gridSpan w:val="3"/>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3"/>
              </w:rPr>
              <w:t>Cost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7"/>
                <w:szCs w:val="17"/>
                <w:color w:val="auto"/>
              </w:rPr>
            </w:pPr>
          </w:p>
        </w:tc>
        <w:tc>
          <w:tcPr>
            <w:tcW w:w="900" w:type="dxa"/>
            <w:vAlign w:val="bottom"/>
          </w:tcPr>
          <w:p>
            <w:pPr>
              <w:jc w:val="right"/>
              <w:ind w:right="256"/>
              <w:spacing w:after="0"/>
              <w:rPr>
                <w:sz w:val="20"/>
                <w:szCs w:val="20"/>
                <w:color w:val="auto"/>
              </w:rPr>
            </w:pPr>
            <w:r>
              <w:rPr>
                <w:rFonts w:ascii="Arial" w:cs="Arial" w:eastAsia="Arial" w:hAnsi="Arial"/>
                <w:sz w:val="15"/>
                <w:szCs w:val="15"/>
                <w:b w:val="1"/>
                <w:bCs w:val="1"/>
                <w:color w:val="auto"/>
              </w:rPr>
              <w:t>Months</w:t>
            </w:r>
          </w:p>
        </w:tc>
        <w:tc>
          <w:tcPr>
            <w:tcW w:w="240" w:type="dxa"/>
            <w:vAlign w:val="bottom"/>
          </w:tcPr>
          <w:p>
            <w:pPr>
              <w:spacing w:after="0"/>
              <w:rPr>
                <w:sz w:val="17"/>
                <w:szCs w:val="17"/>
                <w:color w:val="auto"/>
              </w:rPr>
            </w:pPr>
          </w:p>
        </w:tc>
        <w:tc>
          <w:tcPr>
            <w:tcW w:w="880" w:type="dxa"/>
            <w:vAlign w:val="bottom"/>
          </w:tcPr>
          <w:p>
            <w:pPr>
              <w:jc w:val="right"/>
              <w:ind w:right="254"/>
              <w:spacing w:after="0"/>
              <w:rPr>
                <w:sz w:val="20"/>
                <w:szCs w:val="20"/>
                <w:color w:val="auto"/>
              </w:rPr>
            </w:pPr>
            <w:r>
              <w:rPr>
                <w:rFonts w:ascii="Arial" w:cs="Arial" w:eastAsia="Arial" w:hAnsi="Arial"/>
                <w:sz w:val="15"/>
                <w:szCs w:val="15"/>
                <w:b w:val="1"/>
                <w:bCs w:val="1"/>
                <w:color w:val="auto"/>
                <w:w w:val="97"/>
              </w:rPr>
              <w:t>Months</w:t>
            </w:r>
          </w:p>
        </w:tc>
        <w:tc>
          <w:tcPr>
            <w:tcW w:w="1140" w:type="dxa"/>
            <w:vAlign w:val="bottom"/>
          </w:tcPr>
          <w:p>
            <w:pPr>
              <w:jc w:val="right"/>
              <w:ind w:right="315"/>
              <w:spacing w:after="0"/>
              <w:rPr>
                <w:sz w:val="20"/>
                <w:szCs w:val="20"/>
                <w:color w:val="auto"/>
              </w:rPr>
            </w:pPr>
            <w:r>
              <w:rPr>
                <w:rFonts w:ascii="Arial" w:cs="Arial" w:eastAsia="Arial" w:hAnsi="Arial"/>
                <w:sz w:val="15"/>
                <w:szCs w:val="15"/>
                <w:b w:val="1"/>
                <w:bCs w:val="1"/>
                <w:color w:val="auto"/>
              </w:rPr>
              <w:t>Value</w:t>
            </w:r>
          </w:p>
        </w:tc>
        <w:tc>
          <w:tcPr>
            <w:tcW w:w="200" w:type="dxa"/>
            <w:vAlign w:val="bottom"/>
          </w:tcPr>
          <w:p>
            <w:pPr>
              <w:spacing w:after="0"/>
              <w:rPr>
                <w:sz w:val="17"/>
                <w:szCs w:val="17"/>
                <w:color w:val="auto"/>
              </w:rPr>
            </w:pPr>
          </w:p>
        </w:tc>
        <w:tc>
          <w:tcPr>
            <w:tcW w:w="920" w:type="dxa"/>
            <w:vAlign w:val="bottom"/>
          </w:tcPr>
          <w:p>
            <w:pPr>
              <w:jc w:val="center"/>
              <w:ind w:right="137"/>
              <w:spacing w:after="0"/>
              <w:rPr>
                <w:sz w:val="20"/>
                <w:szCs w:val="20"/>
                <w:color w:val="auto"/>
              </w:rPr>
            </w:pPr>
            <w:r>
              <w:rPr>
                <w:rFonts w:ascii="Arial" w:cs="Arial" w:eastAsia="Arial" w:hAnsi="Arial"/>
                <w:sz w:val="15"/>
                <w:szCs w:val="15"/>
                <w:b w:val="1"/>
                <w:bCs w:val="1"/>
                <w:color w:val="auto"/>
                <w:w w:val="80"/>
              </w:rPr>
              <w:t>(Losses)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580" w:type="dxa"/>
            <w:vAlign w:val="bottom"/>
            <w:gridSpan w:val="3"/>
          </w:tcPr>
          <w:p>
            <w:pPr>
              <w:spacing w:after="0"/>
              <w:rPr>
                <w:sz w:val="20"/>
                <w:szCs w:val="20"/>
                <w:color w:val="auto"/>
              </w:rPr>
            </w:pPr>
            <w:r>
              <w:rPr>
                <w:rFonts w:ascii="Arial" w:cs="Arial" w:eastAsia="Arial" w:hAnsi="Arial"/>
                <w:sz w:val="18"/>
                <w:szCs w:val="18"/>
                <w:color w:val="auto"/>
              </w:rPr>
              <w:t>Political subdivisions of States,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7"/>
              </w:rPr>
              <w:t>$ 11,096,122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250,135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5"/>
              </w:rPr>
              <w:t>$ 11,315,443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219,321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87,562,631</w:t>
            </w:r>
          </w:p>
        </w:tc>
        <w:tc>
          <w:tcPr>
            <w:tcW w:w="2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w w:val="99"/>
              </w:rPr>
              <w:t>1,189,207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(269,857)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(340,516)</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88,141,465</w:t>
            </w:r>
          </w:p>
        </w:tc>
        <w:tc>
          <w:tcPr>
            <w:tcW w:w="20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578,834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Residential mortgage and other</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 backed securities (1)</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20,463,353</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305,499</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(48,482)</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(189,022)</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20,531,348</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67,995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fixed-maturity securities</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119,122,106</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1,744,841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(349,153)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(529,538)</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119,988,256</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866,150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7,081,099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60,867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(120,712)</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7,000,941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Common stocks and exchange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traded mutual funds</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6,680,742</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841,250</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(222,205)</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7,285,257</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604,515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equity securities</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13,761,841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902,117</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(242,518)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(135,242)</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14,286,198</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524,357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4"/>
              </w:rPr>
              <w:t>$132,883,947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2,646,958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(664,780)</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2"/>
              </w:rPr>
              <w:t>$134,274,454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7"/>
              </w:rPr>
              <w:t>1,390,507</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340" w:hanging="332"/>
        <w:spacing w:after="0" w:line="298"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relationship with the Federal Home Loan Bank of New York ("FHLBNY") (see Note 9). The eligible collateral would be pledged to FHLBNY if KICO draws an advance from FHBLNY. As of December 31, 2017, the fair value of the eligible investments was approximately $6,703,000. KICO will retain all rights regarding all securities if pledged as collateral. As of December 31, 2017, there were no outstanding advances.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72"/>
        </w:trPr>
        <w:tc>
          <w:tcPr>
            <w:tcW w:w="4580" w:type="dxa"/>
            <w:vAlign w:val="bottom"/>
            <w:gridSpan w:val="3"/>
          </w:tcPr>
          <w:p>
            <w:pPr>
              <w:spacing w:after="0"/>
              <w:rPr>
                <w:rFonts w:ascii="Arial" w:cs="Arial" w:eastAsia="Arial" w:hAnsi="Arial"/>
                <w:sz w:val="15"/>
                <w:szCs w:val="15"/>
                <w:color w:val="0000EE"/>
              </w:rPr>
            </w:pPr>
            <w:hyperlink w:anchor="page1">
              <w:r>
                <w:rPr>
                  <w:rFonts w:ascii="Arial" w:cs="Arial" w:eastAsia="Arial" w:hAnsi="Arial"/>
                  <w:sz w:val="15"/>
                  <w:szCs w:val="15"/>
                  <w:color w:val="0000EE"/>
                </w:rPr>
                <w:t>Index</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5"/>
                <w:szCs w:val="15"/>
                <w:b w:val="1"/>
                <w:bCs w:val="1"/>
                <w:color w:val="auto"/>
              </w:rPr>
              <w:t>December 31, 2016</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137"/>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36"/>
              <w:spacing w:after="0"/>
              <w:rPr>
                <w:sz w:val="20"/>
                <w:szCs w:val="20"/>
                <w:color w:val="auto"/>
              </w:rPr>
            </w:pPr>
            <w:r>
              <w:rPr>
                <w:rFonts w:ascii="Arial" w:cs="Arial" w:eastAsia="Arial" w:hAnsi="Arial"/>
                <w:sz w:val="15"/>
                <w:szCs w:val="15"/>
                <w:b w:val="1"/>
                <w:bCs w:val="1"/>
                <w:color w:val="auto"/>
                <w:w w:val="91"/>
              </w:rPr>
              <w:t>Cost or</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5"/>
                <w:szCs w:val="15"/>
                <w:b w:val="1"/>
                <w:bCs w:val="1"/>
                <w:color w:val="auto"/>
                <w:w w:val="87"/>
              </w:rPr>
              <w:t>Gross</w:t>
            </w: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5"/>
                <w:szCs w:val="15"/>
                <w:b w:val="1"/>
                <w:bCs w:val="1"/>
                <w:color w:val="auto"/>
                <w:w w:val="91"/>
              </w:rPr>
              <w:t>Gross Unrealized Losses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37"/>
              <w:spacing w:after="0"/>
              <w:rPr>
                <w:sz w:val="20"/>
                <w:szCs w:val="20"/>
                <w:color w:val="auto"/>
              </w:rPr>
            </w:pPr>
            <w:r>
              <w:rPr>
                <w:rFonts w:ascii="Arial" w:cs="Arial" w:eastAsia="Arial" w:hAnsi="Arial"/>
                <w:sz w:val="15"/>
                <w:szCs w:val="15"/>
                <w:b w:val="1"/>
                <w:bCs w:val="1"/>
                <w:color w:val="auto"/>
                <w:w w:val="92"/>
              </w:rPr>
              <w:t>Unrealized</w:t>
            </w:r>
          </w:p>
        </w:tc>
        <w:tc>
          <w:tcPr>
            <w:tcW w:w="0" w:type="dxa"/>
            <w:vAlign w:val="bottom"/>
          </w:tcPr>
          <w:p>
            <w:pPr>
              <w:spacing w:after="0"/>
              <w:rPr>
                <w:sz w:val="1"/>
                <w:szCs w:val="1"/>
                <w:color w:val="auto"/>
              </w:rPr>
            </w:pPr>
          </w:p>
        </w:tc>
      </w:tr>
      <w:tr>
        <w:trPr>
          <w:trHeight w:val="233"/>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Category</w:t>
            </w:r>
          </w:p>
        </w:tc>
        <w:tc>
          <w:tcPr>
            <w:tcW w:w="220" w:type="dxa"/>
            <w:vAlign w:val="bottom"/>
          </w:tcPr>
          <w:p>
            <w:pPr>
              <w:spacing w:after="0"/>
              <w:rPr>
                <w:sz w:val="20"/>
                <w:szCs w:val="20"/>
                <w:color w:val="auto"/>
              </w:rPr>
            </w:pPr>
          </w:p>
        </w:tc>
        <w:tc>
          <w:tcPr>
            <w:tcW w:w="940" w:type="dxa"/>
            <w:vAlign w:val="bottom"/>
          </w:tcPr>
          <w:p>
            <w:pPr>
              <w:jc w:val="center"/>
              <w:ind w:right="136"/>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20"/>
                <w:szCs w:val="20"/>
                <w:color w:val="auto"/>
              </w:rPr>
            </w:pPr>
          </w:p>
        </w:tc>
        <w:tc>
          <w:tcPr>
            <w:tcW w:w="940" w:type="dxa"/>
            <w:vAlign w:val="bottom"/>
          </w:tcPr>
          <w:p>
            <w:pPr>
              <w:jc w:val="center"/>
              <w:ind w:right="116"/>
              <w:spacing w:after="0"/>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right"/>
              <w:ind w:right="116"/>
              <w:spacing w:after="0"/>
              <w:rPr>
                <w:sz w:val="20"/>
                <w:szCs w:val="20"/>
                <w:color w:val="auto"/>
              </w:rPr>
            </w:pPr>
            <w:r>
              <w:rPr>
                <w:rFonts w:ascii="Arial" w:cs="Arial" w:eastAsia="Arial" w:hAnsi="Arial"/>
                <w:sz w:val="15"/>
                <w:szCs w:val="15"/>
                <w:b w:val="1"/>
                <w:bCs w:val="1"/>
                <w:color w:val="auto"/>
              </w:rPr>
              <w:t>Less than 12</w:t>
            </w:r>
          </w:p>
        </w:tc>
        <w:tc>
          <w:tcPr>
            <w:tcW w:w="1120" w:type="dxa"/>
            <w:vAlign w:val="bottom"/>
            <w:gridSpan w:val="2"/>
          </w:tcPr>
          <w:p>
            <w:pPr>
              <w:jc w:val="right"/>
              <w:ind w:right="54"/>
              <w:spacing w:after="0"/>
              <w:rPr>
                <w:sz w:val="20"/>
                <w:szCs w:val="20"/>
                <w:color w:val="auto"/>
              </w:rPr>
            </w:pPr>
            <w:r>
              <w:rPr>
                <w:rFonts w:ascii="Arial" w:cs="Arial" w:eastAsia="Arial" w:hAnsi="Arial"/>
                <w:sz w:val="15"/>
                <w:szCs w:val="15"/>
                <w:b w:val="1"/>
                <w:bCs w:val="1"/>
                <w:color w:val="auto"/>
              </w:rPr>
              <w:t>More than 12</w:t>
            </w:r>
          </w:p>
        </w:tc>
        <w:tc>
          <w:tcPr>
            <w:tcW w:w="20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20"/>
                <w:szCs w:val="20"/>
                <w:color w:val="auto"/>
              </w:rPr>
            </w:pPr>
          </w:p>
        </w:tc>
        <w:tc>
          <w:tcPr>
            <w:tcW w:w="920" w:type="dxa"/>
            <w:vAlign w:val="bottom"/>
          </w:tcPr>
          <w:p>
            <w:pPr>
              <w:jc w:val="center"/>
              <w:ind w:right="137"/>
              <w:spacing w:after="0"/>
              <w:rPr>
                <w:sz w:val="20"/>
                <w:szCs w:val="20"/>
                <w:color w:val="auto"/>
              </w:rPr>
            </w:pPr>
            <w:r>
              <w:rPr>
                <w:rFonts w:ascii="Arial" w:cs="Arial" w:eastAsia="Arial" w:hAnsi="Arial"/>
                <w:sz w:val="15"/>
                <w:szCs w:val="15"/>
                <w:b w:val="1"/>
                <w:bCs w:val="1"/>
                <w:color w:val="auto"/>
                <w:w w:val="91"/>
              </w:rPr>
              <w:t>Gains/</w:t>
            </w:r>
          </w:p>
        </w:tc>
        <w:tc>
          <w:tcPr>
            <w:tcW w:w="0" w:type="dxa"/>
            <w:vAlign w:val="bottom"/>
          </w:tcPr>
          <w:p>
            <w:pPr>
              <w:spacing w:after="0"/>
              <w:rPr>
                <w:sz w:val="1"/>
                <w:szCs w:val="1"/>
                <w:color w:val="auto"/>
              </w:rPr>
            </w:pPr>
          </w:p>
        </w:tc>
      </w:tr>
      <w:tr>
        <w:trPr>
          <w:trHeight w:val="206"/>
        </w:trPr>
        <w:tc>
          <w:tcPr>
            <w:tcW w:w="4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36"/>
              <w:spacing w:after="0"/>
              <w:rPr>
                <w:sz w:val="20"/>
                <w:szCs w:val="20"/>
                <w:color w:val="auto"/>
              </w:rPr>
            </w:pPr>
            <w:r>
              <w:rPr>
                <w:rFonts w:ascii="Arial" w:cs="Arial" w:eastAsia="Arial" w:hAnsi="Arial"/>
                <w:sz w:val="15"/>
                <w:szCs w:val="15"/>
                <w:b w:val="1"/>
                <w:bCs w:val="1"/>
                <w:color w:val="auto"/>
                <w:w w:val="83"/>
              </w:rPr>
              <w:t>Cost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5"/>
                <w:szCs w:val="15"/>
                <w:b w:val="1"/>
                <w:bCs w:val="1"/>
                <w:color w:val="auto"/>
                <w:w w:val="91"/>
              </w:rPr>
              <w:t>Gains</w:t>
            </w:r>
          </w:p>
        </w:tc>
        <w:tc>
          <w:tcPr>
            <w:tcW w:w="240" w:type="dxa"/>
            <w:vAlign w:val="bottom"/>
          </w:tcPr>
          <w:p>
            <w:pPr>
              <w:spacing w:after="0"/>
              <w:rPr>
                <w:sz w:val="17"/>
                <w:szCs w:val="17"/>
                <w:color w:val="auto"/>
              </w:rPr>
            </w:pPr>
          </w:p>
        </w:tc>
        <w:tc>
          <w:tcPr>
            <w:tcW w:w="920" w:type="dxa"/>
            <w:vAlign w:val="bottom"/>
          </w:tcPr>
          <w:p>
            <w:pPr>
              <w:jc w:val="right"/>
              <w:ind w:right="256"/>
              <w:spacing w:after="0"/>
              <w:rPr>
                <w:sz w:val="20"/>
                <w:szCs w:val="20"/>
                <w:color w:val="auto"/>
              </w:rPr>
            </w:pPr>
            <w:r>
              <w:rPr>
                <w:rFonts w:ascii="Arial" w:cs="Arial" w:eastAsia="Arial" w:hAnsi="Arial"/>
                <w:sz w:val="15"/>
                <w:szCs w:val="15"/>
                <w:b w:val="1"/>
                <w:bCs w:val="1"/>
                <w:color w:val="auto"/>
              </w:rPr>
              <w:t>Months</w:t>
            </w:r>
          </w:p>
        </w:tc>
        <w:tc>
          <w:tcPr>
            <w:tcW w:w="240" w:type="dxa"/>
            <w:vAlign w:val="bottom"/>
          </w:tcPr>
          <w:p>
            <w:pPr>
              <w:spacing w:after="0"/>
              <w:rPr>
                <w:sz w:val="17"/>
                <w:szCs w:val="17"/>
                <w:color w:val="auto"/>
              </w:rPr>
            </w:pPr>
          </w:p>
        </w:tc>
        <w:tc>
          <w:tcPr>
            <w:tcW w:w="880" w:type="dxa"/>
            <w:vAlign w:val="bottom"/>
          </w:tcPr>
          <w:p>
            <w:pPr>
              <w:jc w:val="right"/>
              <w:ind w:right="254"/>
              <w:spacing w:after="0"/>
              <w:rPr>
                <w:sz w:val="20"/>
                <w:szCs w:val="20"/>
                <w:color w:val="auto"/>
              </w:rPr>
            </w:pPr>
            <w:r>
              <w:rPr>
                <w:rFonts w:ascii="Arial" w:cs="Arial" w:eastAsia="Arial" w:hAnsi="Arial"/>
                <w:sz w:val="15"/>
                <w:szCs w:val="15"/>
                <w:b w:val="1"/>
                <w:bCs w:val="1"/>
                <w:color w:val="auto"/>
                <w:w w:val="97"/>
              </w:rPr>
              <w:t>Months</w:t>
            </w:r>
          </w:p>
        </w:tc>
        <w:tc>
          <w:tcPr>
            <w:tcW w:w="200" w:type="dxa"/>
            <w:vAlign w:val="bottom"/>
          </w:tcPr>
          <w:p>
            <w:pPr>
              <w:spacing w:after="0"/>
              <w:rPr>
                <w:sz w:val="17"/>
                <w:szCs w:val="17"/>
                <w:color w:val="auto"/>
              </w:rPr>
            </w:pPr>
          </w:p>
        </w:tc>
        <w:tc>
          <w:tcPr>
            <w:tcW w:w="920" w:type="dxa"/>
            <w:vAlign w:val="bottom"/>
          </w:tcPr>
          <w:p>
            <w:pPr>
              <w:jc w:val="right"/>
              <w:ind w:right="295"/>
              <w:spacing w:after="0"/>
              <w:rPr>
                <w:sz w:val="20"/>
                <w:szCs w:val="20"/>
                <w:color w:val="auto"/>
              </w:rPr>
            </w:pPr>
            <w:r>
              <w:rPr>
                <w:rFonts w:ascii="Arial" w:cs="Arial" w:eastAsia="Arial" w:hAnsi="Arial"/>
                <w:sz w:val="15"/>
                <w:szCs w:val="15"/>
                <w:b w:val="1"/>
                <w:bCs w:val="1"/>
                <w:color w:val="auto"/>
              </w:rPr>
              <w:t>Value</w:t>
            </w:r>
          </w:p>
        </w:tc>
        <w:tc>
          <w:tcPr>
            <w:tcW w:w="220" w:type="dxa"/>
            <w:vAlign w:val="bottom"/>
          </w:tcPr>
          <w:p>
            <w:pPr>
              <w:spacing w:after="0"/>
              <w:rPr>
                <w:sz w:val="17"/>
                <w:szCs w:val="17"/>
                <w:color w:val="auto"/>
              </w:rPr>
            </w:pPr>
          </w:p>
        </w:tc>
        <w:tc>
          <w:tcPr>
            <w:tcW w:w="920" w:type="dxa"/>
            <w:vAlign w:val="bottom"/>
          </w:tcPr>
          <w:p>
            <w:pPr>
              <w:jc w:val="center"/>
              <w:ind w:right="137"/>
              <w:spacing w:after="0"/>
              <w:rPr>
                <w:sz w:val="20"/>
                <w:szCs w:val="20"/>
                <w:color w:val="auto"/>
              </w:rPr>
            </w:pPr>
            <w:r>
              <w:rPr>
                <w:rFonts w:ascii="Arial" w:cs="Arial" w:eastAsia="Arial" w:hAnsi="Arial"/>
                <w:sz w:val="15"/>
                <w:szCs w:val="15"/>
                <w:b w:val="1"/>
                <w:bCs w:val="1"/>
                <w:color w:val="auto"/>
                <w:w w:val="80"/>
              </w:rPr>
              <w:t>(Losses)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580" w:type="dxa"/>
            <w:vAlign w:val="bottom"/>
            <w:gridSpan w:val="3"/>
          </w:tcPr>
          <w:p>
            <w:pPr>
              <w:spacing w:after="0"/>
              <w:rPr>
                <w:sz w:val="20"/>
                <w:szCs w:val="20"/>
                <w:color w:val="auto"/>
              </w:rPr>
            </w:pPr>
            <w:r>
              <w:rPr>
                <w:rFonts w:ascii="Arial" w:cs="Arial" w:eastAsia="Arial" w:hAnsi="Arial"/>
                <w:sz w:val="18"/>
                <w:szCs w:val="18"/>
                <w:color w:val="auto"/>
              </w:rPr>
              <w:t>Political subdivisions of States,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8,053,449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199,028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8,205,888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152,439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2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w w:val="88"/>
              </w:rPr>
              <w:t>53,728,395</w:t>
            </w:r>
          </w:p>
        </w:tc>
        <w:tc>
          <w:tcPr>
            <w:tcW w:w="2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600,519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(638,113)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88"/>
              </w:rPr>
              <w:t>53,685,189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Residential mortgage backed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88"/>
              </w:rPr>
              <w:t>18,814,784</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70,682</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(309,273)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18,537,751</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fixed-maturity securities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88"/>
              </w:rPr>
              <w:t>80,596,628</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870,229</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(993,975)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(44,054)</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88"/>
              </w:rPr>
              <w:t>80,428,828</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5,986,588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10,317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5,685,001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Common stocks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exchange traded mutual funds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3,722,797</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691,324</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(13,968)</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(97,468)</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4,302,685</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579,888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9,709,385</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701,641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(168,039)</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9,987,686</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278,301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88"/>
              </w:rPr>
              <w:t>90,306,013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1,571,870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(1,249,276)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90,416,514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110,501</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the Company’s investments in available-for-sale fixed-maturity securities by contractual maturity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is shown below:</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5"/>
                <w:szCs w:val="15"/>
                <w:b w:val="1"/>
                <w:bCs w:val="1"/>
                <w:color w:val="auto"/>
              </w:rPr>
              <w:t>December 31, 2017</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December 31, 2016</w:t>
            </w:r>
          </w:p>
        </w:tc>
        <w:tc>
          <w:tcPr>
            <w:tcW w:w="0" w:type="dxa"/>
            <w:vAlign w:val="bottom"/>
          </w:tcPr>
          <w:p>
            <w:pPr>
              <w:spacing w:after="0"/>
              <w:rPr>
                <w:sz w:val="1"/>
                <w:szCs w:val="1"/>
                <w:color w:val="auto"/>
              </w:rPr>
            </w:pPr>
          </w:p>
        </w:tc>
      </w:tr>
      <w:tr>
        <w:trPr>
          <w:trHeight w:val="233"/>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Remaining Time to Maturity</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7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Pr>
          <w:p>
            <w:pPr>
              <w:spacing w:after="0"/>
              <w:rPr>
                <w:sz w:val="17"/>
                <w:szCs w:val="17"/>
                <w:color w:val="auto"/>
              </w:rPr>
            </w:pPr>
          </w:p>
        </w:tc>
        <w:tc>
          <w:tcPr>
            <w:tcW w:w="1080" w:type="dxa"/>
            <w:vAlign w:val="bottom"/>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Pr>
          <w:p>
            <w:pPr>
              <w:spacing w:after="0"/>
              <w:rPr>
                <w:sz w:val="17"/>
                <w:szCs w:val="17"/>
                <w:color w:val="auto"/>
              </w:rPr>
            </w:pPr>
          </w:p>
        </w:tc>
        <w:tc>
          <w:tcPr>
            <w:tcW w:w="1080" w:type="dxa"/>
            <w:vAlign w:val="bottom"/>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2,585,479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2,595,938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1,752,501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1,765,795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One to five years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31,716,345</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32,065,197</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29,541,568</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29,913,308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62,702,945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63,129,543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30,487,775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30,211,974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More than ten years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1,653,984</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1,666,230</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20,463,353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20,531,348</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18,814,784</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18,537,751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1"/>
              </w:rPr>
              <w:t>119,122,106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1"/>
              </w:rPr>
              <w:t>119,988,256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80,596,628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80,428,828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F-17</w:t>
            </w: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investments in held-to-maturity fixed-maturity securities as of December 31, 2017 and 2016 are summarized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center"/>
              <w:ind w:right="215"/>
              <w:spacing w:after="0"/>
              <w:rPr>
                <w:sz w:val="20"/>
                <w:szCs w:val="20"/>
                <w:color w:val="auto"/>
              </w:rPr>
            </w:pPr>
            <w:r>
              <w:rPr>
                <w:rFonts w:ascii="Arial" w:cs="Arial" w:eastAsia="Arial" w:hAnsi="Arial"/>
                <w:sz w:val="15"/>
                <w:szCs w:val="15"/>
                <w:b w:val="1"/>
                <w:bCs w:val="1"/>
                <w:color w:val="auto"/>
                <w:w w:val="88"/>
              </w:rPr>
              <w:t>December 31, 2017</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91"/>
              </w:rPr>
              <w:t>Cost or</w:t>
            </w:r>
          </w:p>
        </w:tc>
        <w:tc>
          <w:tcPr>
            <w:tcW w:w="200" w:type="dxa"/>
            <w:vAlign w:val="bottom"/>
          </w:tcPr>
          <w:p>
            <w:pPr>
              <w:spacing w:after="0"/>
              <w:rPr>
                <w:sz w:val="24"/>
                <w:szCs w:val="24"/>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95"/>
              <w:spacing w:after="0"/>
              <w:rPr>
                <w:sz w:val="20"/>
                <w:szCs w:val="20"/>
                <w:color w:val="auto"/>
              </w:rPr>
            </w:pPr>
            <w:r>
              <w:rPr>
                <w:rFonts w:ascii="Arial" w:cs="Arial" w:eastAsia="Arial" w:hAnsi="Arial"/>
                <w:sz w:val="15"/>
                <w:szCs w:val="15"/>
                <w:b w:val="1"/>
                <w:bCs w:val="1"/>
                <w:color w:val="auto"/>
                <w:w w:val="85"/>
              </w:rPr>
              <w:t>Gross Unrealized Losses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38"/>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233"/>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Category</w:t>
            </w:r>
          </w:p>
        </w:tc>
        <w:tc>
          <w:tcPr>
            <w:tcW w:w="220" w:type="dxa"/>
            <w:vAlign w:val="bottom"/>
          </w:tcPr>
          <w:p>
            <w:pPr>
              <w:spacing w:after="0"/>
              <w:rPr>
                <w:sz w:val="20"/>
                <w:szCs w:val="20"/>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20"/>
                <w:szCs w:val="20"/>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Less than 12</w:t>
            </w:r>
          </w:p>
        </w:tc>
        <w:tc>
          <w:tcPr>
            <w:tcW w:w="11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More than 12</w:t>
            </w:r>
          </w:p>
        </w:tc>
        <w:tc>
          <w:tcPr>
            <w:tcW w:w="260" w:type="dxa"/>
            <w:vAlign w:val="bottom"/>
          </w:tcPr>
          <w:p>
            <w:pPr>
              <w:spacing w:after="0"/>
              <w:rPr>
                <w:sz w:val="20"/>
                <w:szCs w:val="20"/>
                <w:color w:val="auto"/>
              </w:rPr>
            </w:pPr>
          </w:p>
        </w:tc>
        <w:tc>
          <w:tcPr>
            <w:tcW w:w="860" w:type="dxa"/>
            <w:vAlign w:val="bottom"/>
          </w:tcPr>
          <w:p>
            <w:pPr>
              <w:jc w:val="center"/>
              <w:ind w:right="177"/>
              <w:spacing w:after="0"/>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20"/>
                <w:szCs w:val="20"/>
                <w:color w:val="auto"/>
              </w:rPr>
            </w:pPr>
          </w:p>
        </w:tc>
        <w:tc>
          <w:tcPr>
            <w:tcW w:w="920" w:type="dxa"/>
            <w:vAlign w:val="bottom"/>
          </w:tcPr>
          <w:p>
            <w:pPr>
              <w:jc w:val="center"/>
              <w:ind w:right="138"/>
              <w:spacing w:after="0"/>
              <w:rPr>
                <w:sz w:val="20"/>
                <w:szCs w:val="20"/>
                <w:color w:val="auto"/>
              </w:rPr>
            </w:pPr>
            <w:r>
              <w:rPr>
                <w:rFonts w:ascii="Arial" w:cs="Arial" w:eastAsia="Arial" w:hAnsi="Arial"/>
                <w:sz w:val="15"/>
                <w:szCs w:val="15"/>
                <w:b w:val="1"/>
                <w:bCs w:val="1"/>
                <w:color w:val="auto"/>
                <w:w w:val="92"/>
              </w:rPr>
              <w:t>Unrealized</w:t>
            </w:r>
          </w:p>
        </w:tc>
        <w:tc>
          <w:tcPr>
            <w:tcW w:w="0" w:type="dxa"/>
            <w:vAlign w:val="bottom"/>
          </w:tcPr>
          <w:p>
            <w:pPr>
              <w:spacing w:after="0"/>
              <w:rPr>
                <w:sz w:val="1"/>
                <w:szCs w:val="1"/>
                <w:color w:val="auto"/>
              </w:rPr>
            </w:pPr>
          </w:p>
        </w:tc>
      </w:tr>
      <w:tr>
        <w:trPr>
          <w:trHeight w:val="206"/>
        </w:trPr>
        <w:tc>
          <w:tcPr>
            <w:tcW w:w="4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83"/>
              </w:rPr>
              <w:t>Cost</w:t>
            </w:r>
          </w:p>
        </w:tc>
        <w:tc>
          <w:tcPr>
            <w:tcW w:w="200" w:type="dxa"/>
            <w:vAlign w:val="bottom"/>
          </w:tcPr>
          <w:p>
            <w:pPr>
              <w:spacing w:after="0"/>
              <w:rPr>
                <w:sz w:val="17"/>
                <w:szCs w:val="17"/>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7"/>
                <w:szCs w:val="17"/>
                <w:color w:val="auto"/>
              </w:rPr>
            </w:pPr>
          </w:p>
        </w:tc>
        <w:tc>
          <w:tcPr>
            <w:tcW w:w="900" w:type="dxa"/>
            <w:vAlign w:val="bottom"/>
          </w:tcPr>
          <w:p>
            <w:pPr>
              <w:jc w:val="center"/>
              <w:ind w:right="198"/>
              <w:spacing w:after="0"/>
              <w:rPr>
                <w:sz w:val="20"/>
                <w:szCs w:val="20"/>
                <w:color w:val="auto"/>
              </w:rPr>
            </w:pPr>
            <w:r>
              <w:rPr>
                <w:rFonts w:ascii="Arial" w:cs="Arial" w:eastAsia="Arial" w:hAnsi="Arial"/>
                <w:sz w:val="15"/>
                <w:szCs w:val="15"/>
                <w:b w:val="1"/>
                <w:bCs w:val="1"/>
                <w:color w:val="auto"/>
                <w:w w:val="93"/>
              </w:rPr>
              <w:t>Months</w:t>
            </w:r>
          </w:p>
        </w:tc>
        <w:tc>
          <w:tcPr>
            <w:tcW w:w="240" w:type="dxa"/>
            <w:vAlign w:val="bottom"/>
          </w:tcPr>
          <w:p>
            <w:pPr>
              <w:spacing w:after="0"/>
              <w:rPr>
                <w:sz w:val="17"/>
                <w:szCs w:val="17"/>
                <w:color w:val="auto"/>
              </w:rPr>
            </w:pPr>
          </w:p>
        </w:tc>
        <w:tc>
          <w:tcPr>
            <w:tcW w:w="880" w:type="dxa"/>
            <w:vAlign w:val="bottom"/>
          </w:tcPr>
          <w:p>
            <w:pPr>
              <w:jc w:val="center"/>
              <w:ind w:right="195"/>
              <w:spacing w:after="0"/>
              <w:rPr>
                <w:sz w:val="20"/>
                <w:szCs w:val="20"/>
                <w:color w:val="auto"/>
              </w:rPr>
            </w:pPr>
            <w:r>
              <w:rPr>
                <w:rFonts w:ascii="Arial" w:cs="Arial" w:eastAsia="Arial" w:hAnsi="Arial"/>
                <w:sz w:val="15"/>
                <w:szCs w:val="15"/>
                <w:b w:val="1"/>
                <w:bCs w:val="1"/>
                <w:color w:val="auto"/>
                <w:w w:val="89"/>
              </w:rPr>
              <w:t>Months</w:t>
            </w:r>
          </w:p>
        </w:tc>
        <w:tc>
          <w:tcPr>
            <w:tcW w:w="260" w:type="dxa"/>
            <w:vAlign w:val="bottom"/>
          </w:tcPr>
          <w:p>
            <w:pPr>
              <w:spacing w:after="0"/>
              <w:rPr>
                <w:sz w:val="17"/>
                <w:szCs w:val="17"/>
                <w:color w:val="auto"/>
              </w:rPr>
            </w:pPr>
          </w:p>
        </w:tc>
        <w:tc>
          <w:tcPr>
            <w:tcW w:w="860" w:type="dxa"/>
            <w:vAlign w:val="bottom"/>
          </w:tcPr>
          <w:p>
            <w:pPr>
              <w:jc w:val="center"/>
              <w:ind w:right="17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Pr>
          <w:p>
            <w:pPr>
              <w:spacing w:after="0"/>
              <w:rPr>
                <w:sz w:val="17"/>
                <w:szCs w:val="17"/>
                <w:color w:val="auto"/>
              </w:rPr>
            </w:pPr>
          </w:p>
        </w:tc>
        <w:tc>
          <w:tcPr>
            <w:tcW w:w="920" w:type="dxa"/>
            <w:vAlign w:val="bottom"/>
          </w:tcPr>
          <w:p>
            <w:pPr>
              <w:jc w:val="center"/>
              <w:ind w:right="138"/>
              <w:spacing w:after="0"/>
              <w:rPr>
                <w:sz w:val="20"/>
                <w:szCs w:val="20"/>
                <w:color w:val="auto"/>
              </w:rPr>
            </w:pPr>
            <w:r>
              <w:rPr>
                <w:rFonts w:ascii="Arial" w:cs="Arial" w:eastAsia="Arial" w:hAnsi="Arial"/>
                <w:sz w:val="15"/>
                <w:szCs w:val="15"/>
                <w:b w:val="1"/>
                <w:bCs w:val="1"/>
                <w:color w:val="auto"/>
                <w:w w:val="91"/>
              </w:rPr>
              <w:t>Gains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729,466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147,573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875,310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145,844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998,984</w:t>
            </w:r>
          </w:p>
        </w:tc>
        <w:tc>
          <w:tcPr>
            <w:tcW w:w="20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50,366</w:t>
            </w:r>
          </w:p>
        </w:tc>
        <w:tc>
          <w:tcPr>
            <w:tcW w:w="260" w:type="dxa"/>
            <w:vAlign w:val="bottom"/>
          </w:tcPr>
          <w:p>
            <w:pPr>
              <w:spacing w:after="0"/>
              <w:rPr>
                <w:sz w:val="18"/>
                <w:szCs w:val="18"/>
                <w:color w:val="auto"/>
              </w:rPr>
            </w:pP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w w:val="92"/>
              </w:rPr>
              <w:t>1,049,350</w:t>
            </w:r>
          </w:p>
        </w:tc>
        <w:tc>
          <w:tcPr>
            <w:tcW w:w="2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50,366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9"/>
              </w:rPr>
              <w:t>3,141,358</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90,358</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2"/>
              </w:rPr>
              <w:t>3,225,416</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99"/>
              </w:rPr>
              <w:t>4,869,808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288,297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2"/>
              </w:rPr>
              <w:t>5,150,076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280,268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215"/>
              <w:spacing w:after="0"/>
              <w:rPr>
                <w:sz w:val="20"/>
                <w:szCs w:val="20"/>
                <w:color w:val="auto"/>
              </w:rPr>
            </w:pPr>
            <w:r>
              <w:rPr>
                <w:rFonts w:ascii="Arial" w:cs="Arial" w:eastAsia="Arial" w:hAnsi="Arial"/>
                <w:sz w:val="15"/>
                <w:szCs w:val="15"/>
                <w:b w:val="1"/>
                <w:bCs w:val="1"/>
                <w:color w:val="auto"/>
                <w:w w:val="88"/>
              </w:rPr>
              <w:t>December 31, 2016</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91"/>
              </w:rPr>
              <w:t>Cost or</w:t>
            </w:r>
          </w:p>
        </w:tc>
        <w:tc>
          <w:tcPr>
            <w:tcW w:w="200" w:type="dxa"/>
            <w:vAlign w:val="bottom"/>
          </w:tcPr>
          <w:p>
            <w:pPr>
              <w:spacing w:after="0"/>
              <w:rPr>
                <w:sz w:val="24"/>
                <w:szCs w:val="24"/>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95"/>
              <w:spacing w:after="0"/>
              <w:rPr>
                <w:sz w:val="20"/>
                <w:szCs w:val="20"/>
                <w:color w:val="auto"/>
              </w:rPr>
            </w:pPr>
            <w:r>
              <w:rPr>
                <w:rFonts w:ascii="Arial" w:cs="Arial" w:eastAsia="Arial" w:hAnsi="Arial"/>
                <w:sz w:val="15"/>
                <w:szCs w:val="15"/>
                <w:b w:val="1"/>
                <w:bCs w:val="1"/>
                <w:color w:val="auto"/>
                <w:w w:val="85"/>
              </w:rPr>
              <w:t>Gross Unrealized Losses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38"/>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233"/>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Category</w:t>
            </w:r>
          </w:p>
        </w:tc>
        <w:tc>
          <w:tcPr>
            <w:tcW w:w="220" w:type="dxa"/>
            <w:vAlign w:val="bottom"/>
          </w:tcPr>
          <w:p>
            <w:pPr>
              <w:spacing w:after="0"/>
              <w:rPr>
                <w:sz w:val="20"/>
                <w:szCs w:val="20"/>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20"/>
                <w:szCs w:val="20"/>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Less than 12</w:t>
            </w:r>
          </w:p>
        </w:tc>
        <w:tc>
          <w:tcPr>
            <w:tcW w:w="11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More than 12</w:t>
            </w:r>
          </w:p>
        </w:tc>
        <w:tc>
          <w:tcPr>
            <w:tcW w:w="260" w:type="dxa"/>
            <w:vAlign w:val="bottom"/>
          </w:tcPr>
          <w:p>
            <w:pPr>
              <w:spacing w:after="0"/>
              <w:rPr>
                <w:sz w:val="20"/>
                <w:szCs w:val="20"/>
                <w:color w:val="auto"/>
              </w:rPr>
            </w:pPr>
          </w:p>
        </w:tc>
        <w:tc>
          <w:tcPr>
            <w:tcW w:w="860" w:type="dxa"/>
            <w:vAlign w:val="bottom"/>
          </w:tcPr>
          <w:p>
            <w:pPr>
              <w:jc w:val="center"/>
              <w:ind w:right="177"/>
              <w:spacing w:after="0"/>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20"/>
                <w:szCs w:val="20"/>
                <w:color w:val="auto"/>
              </w:rPr>
            </w:pPr>
          </w:p>
        </w:tc>
        <w:tc>
          <w:tcPr>
            <w:tcW w:w="920" w:type="dxa"/>
            <w:vAlign w:val="bottom"/>
          </w:tcPr>
          <w:p>
            <w:pPr>
              <w:jc w:val="center"/>
              <w:ind w:right="138"/>
              <w:spacing w:after="0"/>
              <w:rPr>
                <w:sz w:val="20"/>
                <w:szCs w:val="20"/>
                <w:color w:val="auto"/>
              </w:rPr>
            </w:pPr>
            <w:r>
              <w:rPr>
                <w:rFonts w:ascii="Arial" w:cs="Arial" w:eastAsia="Arial" w:hAnsi="Arial"/>
                <w:sz w:val="15"/>
                <w:szCs w:val="15"/>
                <w:b w:val="1"/>
                <w:bCs w:val="1"/>
                <w:color w:val="auto"/>
                <w:w w:val="92"/>
              </w:rPr>
              <w:t>Unrealized</w:t>
            </w:r>
          </w:p>
        </w:tc>
        <w:tc>
          <w:tcPr>
            <w:tcW w:w="0" w:type="dxa"/>
            <w:vAlign w:val="bottom"/>
          </w:tcPr>
          <w:p>
            <w:pPr>
              <w:spacing w:after="0"/>
              <w:rPr>
                <w:sz w:val="1"/>
                <w:szCs w:val="1"/>
                <w:color w:val="auto"/>
              </w:rPr>
            </w:pPr>
          </w:p>
        </w:tc>
      </w:tr>
      <w:tr>
        <w:trPr>
          <w:trHeight w:val="206"/>
        </w:trPr>
        <w:tc>
          <w:tcPr>
            <w:tcW w:w="4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83"/>
              </w:rPr>
              <w:t>Cost</w:t>
            </w:r>
          </w:p>
        </w:tc>
        <w:tc>
          <w:tcPr>
            <w:tcW w:w="200" w:type="dxa"/>
            <w:vAlign w:val="bottom"/>
          </w:tcPr>
          <w:p>
            <w:pPr>
              <w:spacing w:after="0"/>
              <w:rPr>
                <w:sz w:val="17"/>
                <w:szCs w:val="17"/>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7"/>
                <w:szCs w:val="17"/>
                <w:color w:val="auto"/>
              </w:rPr>
            </w:pPr>
          </w:p>
        </w:tc>
        <w:tc>
          <w:tcPr>
            <w:tcW w:w="900" w:type="dxa"/>
            <w:vAlign w:val="bottom"/>
          </w:tcPr>
          <w:p>
            <w:pPr>
              <w:jc w:val="center"/>
              <w:ind w:right="198"/>
              <w:spacing w:after="0"/>
              <w:rPr>
                <w:sz w:val="20"/>
                <w:szCs w:val="20"/>
                <w:color w:val="auto"/>
              </w:rPr>
            </w:pPr>
            <w:r>
              <w:rPr>
                <w:rFonts w:ascii="Arial" w:cs="Arial" w:eastAsia="Arial" w:hAnsi="Arial"/>
                <w:sz w:val="15"/>
                <w:szCs w:val="15"/>
                <w:b w:val="1"/>
                <w:bCs w:val="1"/>
                <w:color w:val="auto"/>
                <w:w w:val="93"/>
              </w:rPr>
              <w:t>Months</w:t>
            </w:r>
          </w:p>
        </w:tc>
        <w:tc>
          <w:tcPr>
            <w:tcW w:w="240" w:type="dxa"/>
            <w:vAlign w:val="bottom"/>
          </w:tcPr>
          <w:p>
            <w:pPr>
              <w:spacing w:after="0"/>
              <w:rPr>
                <w:sz w:val="17"/>
                <w:szCs w:val="17"/>
                <w:color w:val="auto"/>
              </w:rPr>
            </w:pPr>
          </w:p>
        </w:tc>
        <w:tc>
          <w:tcPr>
            <w:tcW w:w="880" w:type="dxa"/>
            <w:vAlign w:val="bottom"/>
          </w:tcPr>
          <w:p>
            <w:pPr>
              <w:jc w:val="center"/>
              <w:ind w:right="195"/>
              <w:spacing w:after="0"/>
              <w:rPr>
                <w:sz w:val="20"/>
                <w:szCs w:val="20"/>
                <w:color w:val="auto"/>
              </w:rPr>
            </w:pPr>
            <w:r>
              <w:rPr>
                <w:rFonts w:ascii="Arial" w:cs="Arial" w:eastAsia="Arial" w:hAnsi="Arial"/>
                <w:sz w:val="15"/>
                <w:szCs w:val="15"/>
                <w:b w:val="1"/>
                <w:bCs w:val="1"/>
                <w:color w:val="auto"/>
                <w:w w:val="89"/>
              </w:rPr>
              <w:t>Months</w:t>
            </w:r>
          </w:p>
        </w:tc>
        <w:tc>
          <w:tcPr>
            <w:tcW w:w="260" w:type="dxa"/>
            <w:vAlign w:val="bottom"/>
          </w:tcPr>
          <w:p>
            <w:pPr>
              <w:spacing w:after="0"/>
              <w:rPr>
                <w:sz w:val="17"/>
                <w:szCs w:val="17"/>
                <w:color w:val="auto"/>
              </w:rPr>
            </w:pPr>
          </w:p>
        </w:tc>
        <w:tc>
          <w:tcPr>
            <w:tcW w:w="860" w:type="dxa"/>
            <w:vAlign w:val="bottom"/>
          </w:tcPr>
          <w:p>
            <w:pPr>
              <w:jc w:val="center"/>
              <w:ind w:right="17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Pr>
          <w:p>
            <w:pPr>
              <w:spacing w:after="0"/>
              <w:rPr>
                <w:sz w:val="17"/>
                <w:szCs w:val="17"/>
                <w:color w:val="auto"/>
              </w:rPr>
            </w:pPr>
          </w:p>
        </w:tc>
        <w:tc>
          <w:tcPr>
            <w:tcW w:w="920" w:type="dxa"/>
            <w:vAlign w:val="bottom"/>
          </w:tcPr>
          <w:p>
            <w:pPr>
              <w:jc w:val="center"/>
              <w:ind w:right="138"/>
              <w:spacing w:after="0"/>
              <w:rPr>
                <w:sz w:val="20"/>
                <w:szCs w:val="20"/>
                <w:color w:val="auto"/>
              </w:rPr>
            </w:pPr>
            <w:r>
              <w:rPr>
                <w:rFonts w:ascii="Arial" w:cs="Arial" w:eastAsia="Arial" w:hAnsi="Arial"/>
                <w:sz w:val="15"/>
                <w:szCs w:val="15"/>
                <w:b w:val="1"/>
                <w:bCs w:val="1"/>
                <w:color w:val="auto"/>
                <w:w w:val="91"/>
              </w:rPr>
              <w:t>Gains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606,427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147,612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754,039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147,612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w w:val="99"/>
              </w:rPr>
              <w:t>1,349,916</w:t>
            </w:r>
          </w:p>
        </w:tc>
        <w:tc>
          <w:tcPr>
            <w:tcW w:w="20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37,321</w:t>
            </w:r>
          </w:p>
        </w:tc>
        <w:tc>
          <w:tcPr>
            <w:tcW w:w="260" w:type="dxa"/>
            <w:vAlign w:val="bottom"/>
          </w:tcPr>
          <w:p>
            <w:pPr>
              <w:spacing w:after="0"/>
              <w:rPr>
                <w:sz w:val="18"/>
                <w:szCs w:val="18"/>
                <w:color w:val="auto"/>
              </w:rPr>
            </w:pP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w w:val="92"/>
              </w:rPr>
              <w:t>1,387,237</w:t>
            </w:r>
          </w:p>
        </w:tc>
        <w:tc>
          <w:tcPr>
            <w:tcW w:w="2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37,321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9"/>
              </w:rPr>
              <w:t>3,138,559</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72,784</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2"/>
              </w:rPr>
              <w:t>3,156,843</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99"/>
              </w:rPr>
              <w:t>5,094,902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257,717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2"/>
              </w:rPr>
              <w:t>5,298,119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203,217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-1285875</wp:posOffset>
            </wp:positionV>
            <wp:extent cx="290703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2907030" cy="13716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summary of the amortized cost and fair value of the Company’s investments in held-to-maturity securities by contractual maturity as of December 31, 2017 and 2016 is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5"/>
                <w:szCs w:val="15"/>
                <w:b w:val="1"/>
                <w:bCs w:val="1"/>
                <w:color w:val="auto"/>
              </w:rPr>
              <w:t>December 31, 2017</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5"/>
                <w:szCs w:val="15"/>
                <w:b w:val="1"/>
                <w:bCs w:val="1"/>
                <w:color w:val="auto"/>
                <w:w w:val="88"/>
              </w:rPr>
              <w:t>December 31, 2016</w:t>
            </w:r>
          </w:p>
        </w:tc>
        <w:tc>
          <w:tcPr>
            <w:tcW w:w="0" w:type="dxa"/>
            <w:vAlign w:val="bottom"/>
          </w:tcPr>
          <w:p>
            <w:pPr>
              <w:spacing w:after="0"/>
              <w:rPr>
                <w:sz w:val="1"/>
                <w:szCs w:val="1"/>
                <w:color w:val="auto"/>
              </w:rPr>
            </w:pPr>
          </w:p>
        </w:tc>
      </w:tr>
      <w:tr>
        <w:trPr>
          <w:trHeight w:val="233"/>
        </w:trPr>
        <w:tc>
          <w:tcPr>
            <w:tcW w:w="6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Remaining Time to Maturity</w:t>
            </w:r>
          </w:p>
        </w:tc>
        <w:tc>
          <w:tcPr>
            <w:tcW w:w="160" w:type="dxa"/>
            <w:vAlign w:val="bottom"/>
          </w:tcPr>
          <w:p>
            <w:pPr>
              <w:spacing w:after="0"/>
              <w:rPr>
                <w:sz w:val="20"/>
                <w:szCs w:val="20"/>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8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Pr>
          <w:p>
            <w:pPr>
              <w:spacing w:after="0"/>
              <w:rPr>
                <w:sz w:val="17"/>
                <w:szCs w:val="17"/>
                <w:color w:val="auto"/>
              </w:rPr>
            </w:pPr>
          </w:p>
        </w:tc>
        <w:tc>
          <w:tcPr>
            <w:tcW w:w="1080" w:type="dxa"/>
            <w:vAlign w:val="bottom"/>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Pr>
          <w:p>
            <w:pPr>
              <w:spacing w:after="0"/>
              <w:rPr>
                <w:sz w:val="17"/>
                <w:szCs w:val="17"/>
                <w:color w:val="auto"/>
              </w:rPr>
            </w:pPr>
          </w:p>
        </w:tc>
        <w:tc>
          <w:tcPr>
            <w:tcW w:w="1080" w:type="dxa"/>
            <w:vAlign w:val="bottom"/>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4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Less than one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One to five years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2,546,459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2,601,898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650,000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Five to ten years</w:t>
            </w:r>
          </w:p>
        </w:tc>
        <w:tc>
          <w:tcPr>
            <w:tcW w:w="1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1,716,884</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1,794,139</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3,838,475</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3,901,625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More than ten years</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606,465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754,039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606,427</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4,869,808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5,150,076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5,094,902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5,298,119</w:t>
            </w:r>
          </w:p>
        </w:tc>
        <w:tc>
          <w:tcPr>
            <w:tcW w:w="0" w:type="dxa"/>
            <w:vAlign w:val="bottom"/>
          </w:tcPr>
          <w:p>
            <w:pPr>
              <w:spacing w:after="0"/>
              <w:rPr>
                <w:sz w:val="1"/>
                <w:szCs w:val="1"/>
                <w:color w:val="auto"/>
              </w:rPr>
            </w:pPr>
          </w:p>
        </w:tc>
      </w:tr>
      <w:tr>
        <w:trPr>
          <w:trHeight w:val="21"/>
        </w:trPr>
        <w:tc>
          <w:tcPr>
            <w:tcW w:w="136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Investment Income</w:t>
            </w:r>
          </w:p>
        </w:tc>
        <w:tc>
          <w:tcPr>
            <w:tcW w:w="47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080" w:type="dxa"/>
            <w:vAlign w:val="bottom"/>
            <w:gridSpan w:val="4"/>
          </w:tcPr>
          <w:p>
            <w:pPr>
              <w:spacing w:after="0"/>
              <w:rPr>
                <w:sz w:val="20"/>
                <w:szCs w:val="20"/>
                <w:color w:val="auto"/>
              </w:rPr>
            </w:pPr>
            <w:r>
              <w:rPr>
                <w:rFonts w:ascii="Arial" w:cs="Arial" w:eastAsia="Arial" w:hAnsi="Arial"/>
                <w:sz w:val="18"/>
                <w:szCs w:val="18"/>
                <w:color w:val="auto"/>
                <w:w w:val="88"/>
              </w:rPr>
              <w:t>Major categories of the Company’s net investment income are summarized as follows: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3"/>
          </w:tcPr>
          <w:p>
            <w:pPr>
              <w:jc w:val="center"/>
              <w:ind w:right="194"/>
              <w:spacing w:after="0"/>
              <w:rPr>
                <w:sz w:val="20"/>
                <w:szCs w:val="20"/>
                <w:color w:val="auto"/>
              </w:rPr>
            </w:pPr>
            <w:r>
              <w:rPr>
                <w:rFonts w:ascii="Arial" w:cs="Arial" w:eastAsia="Arial" w:hAnsi="Arial"/>
                <w:sz w:val="15"/>
                <w:szCs w:val="15"/>
                <w:b w:val="1"/>
                <w:bCs w:val="1"/>
                <w:color w:val="auto"/>
                <w:w w:val="88"/>
              </w:rPr>
              <w:t>Year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center"/>
              <w:ind w:right="214"/>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Fixed-maturity securities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3,664,577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2,668,148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564,071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56,075</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19,047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4,284,723</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3,245,908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Investment expenses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152,137</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130,325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4,132,586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3,115,583</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Proceeds from the sale and redemption of fixed-maturity securities held-to-maturity for the year ended December 31, 2017 includes one redemption of $200,000 and one sale of $47,500. The sale was to dispose of a bond issued by the Commonwealth of Puerto Rico that was deemed to have a permanent credit impairment by the Company (see Impairment Review Below). There were no proceeds from the sale and redemption of fixed-maturity securities held-to-maturity for the year ended December 31, 2016.</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Proceeds from the sale and maturity of fixed-maturity securities available-for-sale were $11,132,000 and $17,752,130 for the years ended December 31, 2017 and 2016, respectively.</w:t>
      </w:r>
    </w:p>
    <w:p>
      <w:pPr>
        <w:spacing w:after="0" w:line="186"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Proceeds from the sale of equity securities available-for-sale were $3,862,127 and $7,073,773 for the years ended December 31, 2017 and 2016, respectively.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Company’s net realized gains on sales of investments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2466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Fixed-maturity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Gross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Other-than-temporary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Fixed-maturity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Year ended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7322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2016</w:t>
            </w:r>
          </w:p>
        </w:tc>
      </w:tr>
      <w:tr>
        <w:trPr>
          <w:trHeight w:val="451"/>
        </w:trPr>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70,478</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354,071</w:t>
            </w:r>
          </w:p>
        </w:tc>
      </w:tr>
      <w:tr>
        <w:trPr>
          <w:trHeight w:val="231"/>
        </w:trPr>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(309,247)</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(302,087)</w:t>
            </w:r>
          </w:p>
        </w:tc>
      </w:tr>
      <w:tr>
        <w:trPr>
          <w:trHeight w:val="223"/>
        </w:trPr>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(238,769)</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51,984</w:t>
            </w:r>
          </w:p>
        </w:tc>
      </w:tr>
      <w:tr>
        <w:trPr>
          <w:trHeight w:val="640"/>
        </w:trPr>
        <w:tc>
          <w:tcPr>
            <w:tcW w:w="380" w:type="dxa"/>
            <w:vAlign w:val="bottom"/>
          </w:tcPr>
          <w:p>
            <w:pPr>
              <w:spacing w:after="0"/>
              <w:rPr>
                <w:sz w:val="24"/>
                <w:szCs w:val="24"/>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636,880</w:t>
            </w:r>
          </w:p>
        </w:tc>
        <w:tc>
          <w:tcPr>
            <w:tcW w:w="360" w:type="dxa"/>
            <w:vAlign w:val="bottom"/>
          </w:tcPr>
          <w:p>
            <w:pPr>
              <w:spacing w:after="0"/>
              <w:rPr>
                <w:sz w:val="24"/>
                <w:szCs w:val="24"/>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637,249</w:t>
            </w:r>
          </w:p>
        </w:tc>
      </w:tr>
      <w:tr>
        <w:trPr>
          <w:trHeight w:val="231"/>
        </w:trPr>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(263,798)</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(89,874)</w:t>
            </w:r>
          </w:p>
        </w:tc>
      </w:tr>
      <w:tr>
        <w:trPr>
          <w:trHeight w:val="223"/>
        </w:trPr>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373,082</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547,375</w:t>
            </w:r>
          </w:p>
        </w:tc>
      </w:tr>
      <w:tr>
        <w:trPr>
          <w:trHeight w:val="655"/>
        </w:trPr>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(50,000)</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(69,911)</w:t>
            </w:r>
          </w:p>
        </w:tc>
      </w:tr>
      <w:tr>
        <w:trPr>
          <w:trHeight w:val="223"/>
        </w:trPr>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(50,000)</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(69,911)</w:t>
            </w:r>
          </w:p>
        </w:tc>
      </w:tr>
      <w:tr>
        <w:trPr>
          <w:trHeight w:val="431"/>
        </w:trPr>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84,313</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529,448</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720"/>
          </w:cols>
          <w:pgMar w:left="240" w:top="130" w:right="239" w:bottom="1440" w:gutter="0" w:footer="0" w:header="0"/>
        </w:sectPr>
      </w:pPr>
    </w:p>
    <w:p>
      <w:pPr>
        <w:spacing w:after="0" w:line="35" w:lineRule="exact"/>
        <w:rPr>
          <w:sz w:val="20"/>
          <w:szCs w:val="20"/>
          <w:color w:val="auto"/>
        </w:rPr>
      </w:pPr>
    </w:p>
    <w:p>
      <w:pPr>
        <w:ind w:left="340" w:hanging="332"/>
        <w:spacing w:after="0" w:line="33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Gross realized losses for the year ended December 31, 2017 includes $59,916 loss from the sale of a fixed-maturity security held-to-maturity issued by the Commonwealth of Puerto Rico (see impairment review below) and $747 of loss from the redemption of a fixed-maturity security held-to-maturity.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Review</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2" w:name="page103"/>
    <w:bookmarkEnd w:id="10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OTTI losses are recorded in the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December 31, 2017 and 2016, there were 75 and 85 securities, respectively, that accounted for the gross unrealized loss. In December 2017, the Company disposed of one of its held-to-maturity debt securities that was previously included in OTTI, the bond was issued by the Commonwealth of Puerto Rico (“PR”). In July 2016, PR defaulted on its interest payment to bondholders. Due to the credit deterioration of PR, the Company recorded its first credit loss component of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PR and, as a result, the Company recorded an additional credit loss component of OTTI on this investment for the amount of $50,000 during the quarter ended September 30, 2017. The total of the two OTTI write-downs of this investment through December 31, 2017 was $119,911. The Company determined that none of the other unrealized losses were deemed to be OTTI for its portfolio of fixed-maturity investments and equity securities for the years ended December 31, 2017 and 2016.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2017 and 2016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5"/>
                <w:szCs w:val="15"/>
                <w:b w:val="1"/>
                <w:bCs w:val="1"/>
                <w:color w:val="auto"/>
              </w:rPr>
              <w:t>December 31, 2017</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Arial" w:cs="Arial" w:eastAsia="Arial" w:hAnsi="Arial"/>
                <w:sz w:val="15"/>
                <w:szCs w:val="15"/>
                <w:b w:val="1"/>
                <w:bCs w:val="1"/>
                <w:color w:val="auto"/>
                <w:w w:val="89"/>
              </w:rPr>
              <w:t>No. of</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5"/>
                <w:szCs w:val="15"/>
                <w:b w:val="1"/>
                <w:bCs w:val="1"/>
                <w:color w:val="auto"/>
                <w:w w:val="89"/>
              </w:rPr>
              <w:t>No. of</w:t>
            </w: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5"/>
                <w:szCs w:val="15"/>
                <w:b w:val="1"/>
                <w:bCs w:val="1"/>
                <w:color w:val="auto"/>
                <w:w w:val="86"/>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120" w:type="dxa"/>
            <w:vAlign w:val="bottom"/>
          </w:tcPr>
          <w:p>
            <w:pPr>
              <w:jc w:val="center"/>
              <w:ind w:right="29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60" w:type="dxa"/>
            <w:vAlign w:val="bottom"/>
          </w:tcPr>
          <w:p>
            <w:pPr>
              <w:jc w:val="center"/>
              <w:ind w:right="96"/>
              <w:spacing w:after="0" w:line="162" w:lineRule="exact"/>
              <w:rPr>
                <w:sz w:val="20"/>
                <w:szCs w:val="20"/>
                <w:color w:val="auto"/>
              </w:rPr>
            </w:pPr>
            <w:r>
              <w:rPr>
                <w:rFonts w:ascii="Arial" w:cs="Arial" w:eastAsia="Arial" w:hAnsi="Arial"/>
                <w:sz w:val="15"/>
                <w:szCs w:val="15"/>
                <w:b w:val="1"/>
                <w:bCs w:val="1"/>
                <w:color w:val="auto"/>
                <w:w w:val="85"/>
              </w:rPr>
              <w:t>Positions</w:t>
            </w:r>
          </w:p>
        </w:tc>
        <w:tc>
          <w:tcPr>
            <w:tcW w:w="220" w:type="dxa"/>
            <w:vAlign w:val="bottom"/>
          </w:tcPr>
          <w:p>
            <w:pPr>
              <w:spacing w:after="0"/>
              <w:rPr>
                <w:sz w:val="14"/>
                <w:szCs w:val="14"/>
                <w:color w:val="auto"/>
              </w:rPr>
            </w:pPr>
          </w:p>
        </w:tc>
        <w:tc>
          <w:tcPr>
            <w:tcW w:w="84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9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80" w:type="dxa"/>
            <w:vAlign w:val="bottom"/>
          </w:tcPr>
          <w:p>
            <w:pPr>
              <w:jc w:val="center"/>
              <w:ind w:right="96"/>
              <w:spacing w:after="0" w:line="162" w:lineRule="exact"/>
              <w:rPr>
                <w:sz w:val="20"/>
                <w:szCs w:val="20"/>
                <w:color w:val="auto"/>
              </w:rPr>
            </w:pPr>
            <w:r>
              <w:rPr>
                <w:rFonts w:ascii="Arial" w:cs="Arial" w:eastAsia="Arial" w:hAnsi="Arial"/>
                <w:sz w:val="15"/>
                <w:szCs w:val="15"/>
                <w:b w:val="1"/>
                <w:bCs w:val="1"/>
                <w:color w:val="auto"/>
                <w:w w:val="82"/>
              </w:rPr>
              <w:t>Positions</w:t>
            </w:r>
          </w:p>
        </w:tc>
        <w:tc>
          <w:tcPr>
            <w:tcW w:w="200" w:type="dxa"/>
            <w:vAlign w:val="bottom"/>
          </w:tcPr>
          <w:p>
            <w:pPr>
              <w:spacing w:after="0"/>
              <w:rPr>
                <w:sz w:val="14"/>
                <w:szCs w:val="14"/>
                <w:color w:val="auto"/>
              </w:rPr>
            </w:pPr>
          </w:p>
        </w:tc>
        <w:tc>
          <w:tcPr>
            <w:tcW w:w="920" w:type="dxa"/>
            <w:vAlign w:val="bottom"/>
          </w:tcPr>
          <w:p>
            <w:pPr>
              <w:jc w:val="center"/>
              <w:ind w:right="117"/>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35"/>
              <w:spacing w:after="0" w:line="162" w:lineRule="exact"/>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5"/>
                <w:szCs w:val="15"/>
                <w:b w:val="1"/>
                <w:bCs w:val="1"/>
                <w:color w:val="auto"/>
              </w:rPr>
              <w:t>Category</w:t>
            </w:r>
          </w:p>
        </w:tc>
        <w:tc>
          <w:tcPr>
            <w:tcW w:w="220" w:type="dxa"/>
            <w:vAlign w:val="bottom"/>
          </w:tcPr>
          <w:p>
            <w:pPr>
              <w:spacing w:after="0"/>
              <w:rPr>
                <w:sz w:val="15"/>
                <w:szCs w:val="15"/>
                <w:color w:val="auto"/>
              </w:rPr>
            </w:pPr>
          </w:p>
        </w:tc>
        <w:tc>
          <w:tcPr>
            <w:tcW w:w="840" w:type="dxa"/>
            <w:vAlign w:val="bottom"/>
          </w:tcPr>
          <w:p>
            <w:pPr>
              <w:jc w:val="right"/>
              <w:ind w:right="215"/>
              <w:spacing w:after="0"/>
              <w:rPr>
                <w:sz w:val="20"/>
                <w:szCs w:val="20"/>
                <w:color w:val="auto"/>
              </w:rPr>
            </w:pPr>
            <w:r>
              <w:rPr>
                <w:rFonts w:ascii="Arial" w:cs="Arial" w:eastAsia="Arial" w:hAnsi="Arial"/>
                <w:sz w:val="15"/>
                <w:szCs w:val="15"/>
                <w:b w:val="1"/>
                <w:bCs w:val="1"/>
                <w:color w:val="auto"/>
              </w:rPr>
              <w:t>Value</w:t>
            </w:r>
          </w:p>
        </w:tc>
        <w:tc>
          <w:tcPr>
            <w:tcW w:w="300" w:type="dxa"/>
            <w:vAlign w:val="bottom"/>
          </w:tcPr>
          <w:p>
            <w:pPr>
              <w:spacing w:after="0"/>
              <w:rPr>
                <w:sz w:val="15"/>
                <w:szCs w:val="15"/>
                <w:color w:val="auto"/>
              </w:rPr>
            </w:pPr>
          </w:p>
        </w:tc>
        <w:tc>
          <w:tcPr>
            <w:tcW w:w="1120" w:type="dxa"/>
            <w:vAlign w:val="bottom"/>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960" w:type="dxa"/>
            <w:vAlign w:val="bottom"/>
          </w:tcPr>
          <w:p>
            <w:pPr>
              <w:jc w:val="center"/>
              <w:ind w:right="96"/>
              <w:spacing w:after="0"/>
              <w:rPr>
                <w:sz w:val="20"/>
                <w:szCs w:val="20"/>
                <w:color w:val="auto"/>
              </w:rPr>
            </w:pPr>
            <w:r>
              <w:rPr>
                <w:rFonts w:ascii="Arial" w:cs="Arial" w:eastAsia="Arial" w:hAnsi="Arial"/>
                <w:sz w:val="15"/>
                <w:szCs w:val="15"/>
                <w:b w:val="1"/>
                <w:bCs w:val="1"/>
                <w:color w:val="auto"/>
                <w:w w:val="92"/>
              </w:rPr>
              <w:t>Held</w:t>
            </w:r>
          </w:p>
        </w:tc>
        <w:tc>
          <w:tcPr>
            <w:tcW w:w="220" w:type="dxa"/>
            <w:vAlign w:val="bottom"/>
          </w:tcPr>
          <w:p>
            <w:pPr>
              <w:spacing w:after="0"/>
              <w:rPr>
                <w:sz w:val="15"/>
                <w:szCs w:val="15"/>
                <w:color w:val="auto"/>
              </w:rPr>
            </w:pPr>
          </w:p>
        </w:tc>
        <w:tc>
          <w:tcPr>
            <w:tcW w:w="840" w:type="dxa"/>
            <w:vAlign w:val="bottom"/>
          </w:tcPr>
          <w:p>
            <w:pPr>
              <w:jc w:val="right"/>
              <w:ind w:right="216"/>
              <w:spacing w:after="0"/>
              <w:rPr>
                <w:sz w:val="20"/>
                <w:szCs w:val="20"/>
                <w:color w:val="auto"/>
              </w:rPr>
            </w:pPr>
            <w:r>
              <w:rPr>
                <w:rFonts w:ascii="Arial" w:cs="Arial" w:eastAsia="Arial" w:hAnsi="Arial"/>
                <w:sz w:val="15"/>
                <w:szCs w:val="15"/>
                <w:b w:val="1"/>
                <w:bCs w:val="1"/>
                <w:color w:val="auto"/>
              </w:rPr>
              <w:t>Value</w:t>
            </w:r>
          </w:p>
        </w:tc>
        <w:tc>
          <w:tcPr>
            <w:tcW w:w="300" w:type="dxa"/>
            <w:vAlign w:val="bottom"/>
          </w:tcPr>
          <w:p>
            <w:pPr>
              <w:spacing w:after="0"/>
              <w:rPr>
                <w:sz w:val="15"/>
                <w:szCs w:val="15"/>
                <w:color w:val="auto"/>
              </w:rPr>
            </w:pPr>
          </w:p>
        </w:tc>
        <w:tc>
          <w:tcPr>
            <w:tcW w:w="1080" w:type="dxa"/>
            <w:vAlign w:val="bottom"/>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980" w:type="dxa"/>
            <w:vAlign w:val="bottom"/>
          </w:tcPr>
          <w:p>
            <w:pPr>
              <w:jc w:val="center"/>
              <w:ind w:right="76"/>
              <w:spacing w:after="0"/>
              <w:rPr>
                <w:sz w:val="20"/>
                <w:szCs w:val="20"/>
                <w:color w:val="auto"/>
              </w:rPr>
            </w:pPr>
            <w:r>
              <w:rPr>
                <w:rFonts w:ascii="Arial" w:cs="Arial" w:eastAsia="Arial" w:hAnsi="Arial"/>
                <w:sz w:val="15"/>
                <w:szCs w:val="15"/>
                <w:b w:val="1"/>
                <w:bCs w:val="1"/>
                <w:color w:val="auto"/>
                <w:w w:val="92"/>
              </w:rPr>
              <w:t>Held</w:t>
            </w:r>
          </w:p>
        </w:tc>
        <w:tc>
          <w:tcPr>
            <w:tcW w:w="20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Pr>
          <w:p>
            <w:pPr>
              <w:spacing w:after="0"/>
              <w:rPr>
                <w:sz w:val="15"/>
                <w:szCs w:val="15"/>
                <w:color w:val="auto"/>
              </w:rPr>
            </w:pPr>
          </w:p>
        </w:tc>
        <w:tc>
          <w:tcPr>
            <w:tcW w:w="920" w:type="dxa"/>
            <w:vAlign w:val="bottom"/>
          </w:tcPr>
          <w:p>
            <w:pPr>
              <w:jc w:val="right"/>
              <w:ind w:right="275"/>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Political subdivisions of</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Possessions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1,549,839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(30,814)</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1,549,839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miscellaneous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15,036,462</w:t>
            </w:r>
          </w:p>
        </w:tc>
        <w:tc>
          <w:tcPr>
            <w:tcW w:w="300" w:type="dxa"/>
            <w:vAlign w:val="bottom"/>
          </w:tcPr>
          <w:p>
            <w:pPr>
              <w:spacing w:after="0"/>
              <w:rPr>
                <w:sz w:val="18"/>
                <w:szCs w:val="18"/>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(269,857)</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9,113,924</w:t>
            </w:r>
          </w:p>
        </w:tc>
        <w:tc>
          <w:tcPr>
            <w:tcW w:w="30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(340,516)</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88"/>
              </w:rPr>
              <w:t>24,150,386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89"/>
              </w:rPr>
              <w:t>Residential mortgage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6,956,371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(48,482)</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7,867,572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(189,022)</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14,823,943</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23,542,672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(349,153)</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16,981,496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(529,538)</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88"/>
              </w:rPr>
              <w:t>40,524,168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1,605,217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(20,313)</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1,776,675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(120,712)</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3,381,892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Common stocks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6"/>
              </w:rPr>
              <w:t>exchange traded mutual funds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1,446,375</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(222,205)</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124,900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(14,530)</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1,571,275</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3,051,592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(242,518)</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1,901,575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(135,242)</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4,953,167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26,594,264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(591,671)</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18,883,071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(664,780)</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45,477,335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(1,256,451)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F-22</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4" w:name="page105"/>
    <w:bookmarkEnd w:id="10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5"/>
                <w:szCs w:val="15"/>
                <w:b w:val="1"/>
                <w:bCs w:val="1"/>
                <w:color w:val="auto"/>
              </w:rPr>
              <w:t>December 31, 2016</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Arial" w:cs="Arial" w:eastAsia="Arial" w:hAnsi="Arial"/>
                <w:sz w:val="15"/>
                <w:szCs w:val="15"/>
                <w:b w:val="1"/>
                <w:bCs w:val="1"/>
                <w:color w:val="auto"/>
                <w:w w:val="89"/>
              </w:rPr>
              <w:t>No. of</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5"/>
                <w:szCs w:val="15"/>
                <w:b w:val="1"/>
                <w:bCs w:val="1"/>
                <w:color w:val="auto"/>
                <w:w w:val="89"/>
              </w:rPr>
              <w:t>No. of</w:t>
            </w: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5"/>
                <w:szCs w:val="15"/>
                <w:b w:val="1"/>
                <w:bCs w:val="1"/>
                <w:color w:val="auto"/>
                <w:w w:val="86"/>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120" w:type="dxa"/>
            <w:vAlign w:val="bottom"/>
          </w:tcPr>
          <w:p>
            <w:pPr>
              <w:jc w:val="center"/>
              <w:ind w:right="29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60" w:type="dxa"/>
            <w:vAlign w:val="bottom"/>
          </w:tcPr>
          <w:p>
            <w:pPr>
              <w:jc w:val="center"/>
              <w:ind w:right="96"/>
              <w:spacing w:after="0" w:line="162" w:lineRule="exact"/>
              <w:rPr>
                <w:sz w:val="20"/>
                <w:szCs w:val="20"/>
                <w:color w:val="auto"/>
              </w:rPr>
            </w:pPr>
            <w:r>
              <w:rPr>
                <w:rFonts w:ascii="Arial" w:cs="Arial" w:eastAsia="Arial" w:hAnsi="Arial"/>
                <w:sz w:val="15"/>
                <w:szCs w:val="15"/>
                <w:b w:val="1"/>
                <w:bCs w:val="1"/>
                <w:color w:val="auto"/>
                <w:w w:val="85"/>
              </w:rPr>
              <w:t>Positions</w:t>
            </w:r>
          </w:p>
        </w:tc>
        <w:tc>
          <w:tcPr>
            <w:tcW w:w="260" w:type="dxa"/>
            <w:vAlign w:val="bottom"/>
          </w:tcPr>
          <w:p>
            <w:pPr>
              <w:spacing w:after="0"/>
              <w:rPr>
                <w:sz w:val="14"/>
                <w:szCs w:val="14"/>
                <w:color w:val="auto"/>
              </w:rPr>
            </w:pPr>
          </w:p>
        </w:tc>
        <w:tc>
          <w:tcPr>
            <w:tcW w:w="80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9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80" w:type="dxa"/>
            <w:vAlign w:val="bottom"/>
          </w:tcPr>
          <w:p>
            <w:pPr>
              <w:jc w:val="center"/>
              <w:ind w:right="96"/>
              <w:spacing w:after="0" w:line="162" w:lineRule="exact"/>
              <w:rPr>
                <w:sz w:val="20"/>
                <w:szCs w:val="20"/>
                <w:color w:val="auto"/>
              </w:rPr>
            </w:pPr>
            <w:r>
              <w:rPr>
                <w:rFonts w:ascii="Arial" w:cs="Arial" w:eastAsia="Arial" w:hAnsi="Arial"/>
                <w:sz w:val="15"/>
                <w:szCs w:val="15"/>
                <w:b w:val="1"/>
                <w:bCs w:val="1"/>
                <w:color w:val="auto"/>
                <w:w w:val="82"/>
              </w:rPr>
              <w:t>Positions</w:t>
            </w:r>
          </w:p>
        </w:tc>
        <w:tc>
          <w:tcPr>
            <w:tcW w:w="200" w:type="dxa"/>
            <w:vAlign w:val="bottom"/>
          </w:tcPr>
          <w:p>
            <w:pPr>
              <w:spacing w:after="0"/>
              <w:rPr>
                <w:sz w:val="14"/>
                <w:szCs w:val="14"/>
                <w:color w:val="auto"/>
              </w:rPr>
            </w:pPr>
          </w:p>
        </w:tc>
        <w:tc>
          <w:tcPr>
            <w:tcW w:w="920" w:type="dxa"/>
            <w:vAlign w:val="bottom"/>
          </w:tcPr>
          <w:p>
            <w:pPr>
              <w:jc w:val="center"/>
              <w:ind w:right="117"/>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35"/>
              <w:spacing w:after="0" w:line="162" w:lineRule="exact"/>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5"/>
                <w:szCs w:val="15"/>
                <w:b w:val="1"/>
                <w:bCs w:val="1"/>
                <w:color w:val="auto"/>
              </w:rPr>
              <w:t>Category</w:t>
            </w:r>
          </w:p>
        </w:tc>
        <w:tc>
          <w:tcPr>
            <w:tcW w:w="220" w:type="dxa"/>
            <w:vAlign w:val="bottom"/>
          </w:tcPr>
          <w:p>
            <w:pPr>
              <w:spacing w:after="0"/>
              <w:rPr>
                <w:sz w:val="15"/>
                <w:szCs w:val="15"/>
                <w:color w:val="auto"/>
              </w:rPr>
            </w:pPr>
          </w:p>
        </w:tc>
        <w:tc>
          <w:tcPr>
            <w:tcW w:w="840" w:type="dxa"/>
            <w:vAlign w:val="bottom"/>
          </w:tcPr>
          <w:p>
            <w:pPr>
              <w:jc w:val="right"/>
              <w:ind w:right="215"/>
              <w:spacing w:after="0"/>
              <w:rPr>
                <w:sz w:val="20"/>
                <w:szCs w:val="20"/>
                <w:color w:val="auto"/>
              </w:rPr>
            </w:pPr>
            <w:r>
              <w:rPr>
                <w:rFonts w:ascii="Arial" w:cs="Arial" w:eastAsia="Arial" w:hAnsi="Arial"/>
                <w:sz w:val="15"/>
                <w:szCs w:val="15"/>
                <w:b w:val="1"/>
                <w:bCs w:val="1"/>
                <w:color w:val="auto"/>
              </w:rPr>
              <w:t>Value</w:t>
            </w:r>
          </w:p>
        </w:tc>
        <w:tc>
          <w:tcPr>
            <w:tcW w:w="300" w:type="dxa"/>
            <w:vAlign w:val="bottom"/>
          </w:tcPr>
          <w:p>
            <w:pPr>
              <w:spacing w:after="0"/>
              <w:rPr>
                <w:sz w:val="15"/>
                <w:szCs w:val="15"/>
                <w:color w:val="auto"/>
              </w:rPr>
            </w:pPr>
          </w:p>
        </w:tc>
        <w:tc>
          <w:tcPr>
            <w:tcW w:w="1120" w:type="dxa"/>
            <w:vAlign w:val="bottom"/>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960" w:type="dxa"/>
            <w:vAlign w:val="bottom"/>
          </w:tcPr>
          <w:p>
            <w:pPr>
              <w:jc w:val="center"/>
              <w:ind w:right="96"/>
              <w:spacing w:after="0"/>
              <w:rPr>
                <w:sz w:val="20"/>
                <w:szCs w:val="20"/>
                <w:color w:val="auto"/>
              </w:rPr>
            </w:pPr>
            <w:r>
              <w:rPr>
                <w:rFonts w:ascii="Arial" w:cs="Arial" w:eastAsia="Arial" w:hAnsi="Arial"/>
                <w:sz w:val="15"/>
                <w:szCs w:val="15"/>
                <w:b w:val="1"/>
                <w:bCs w:val="1"/>
                <w:color w:val="auto"/>
                <w:w w:val="92"/>
              </w:rPr>
              <w:t>Held</w:t>
            </w:r>
          </w:p>
        </w:tc>
        <w:tc>
          <w:tcPr>
            <w:tcW w:w="26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5"/>
                <w:szCs w:val="15"/>
                <w:b w:val="1"/>
                <w:bCs w:val="1"/>
                <w:color w:val="auto"/>
              </w:rPr>
              <w:t>Value</w:t>
            </w:r>
          </w:p>
        </w:tc>
        <w:tc>
          <w:tcPr>
            <w:tcW w:w="300" w:type="dxa"/>
            <w:vAlign w:val="bottom"/>
          </w:tcPr>
          <w:p>
            <w:pPr>
              <w:spacing w:after="0"/>
              <w:rPr>
                <w:sz w:val="15"/>
                <w:szCs w:val="15"/>
                <w:color w:val="auto"/>
              </w:rPr>
            </w:pPr>
          </w:p>
        </w:tc>
        <w:tc>
          <w:tcPr>
            <w:tcW w:w="1080" w:type="dxa"/>
            <w:vAlign w:val="bottom"/>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980" w:type="dxa"/>
            <w:vAlign w:val="bottom"/>
          </w:tcPr>
          <w:p>
            <w:pPr>
              <w:jc w:val="center"/>
              <w:ind w:right="76"/>
              <w:spacing w:after="0"/>
              <w:rPr>
                <w:sz w:val="20"/>
                <w:szCs w:val="20"/>
                <w:color w:val="auto"/>
              </w:rPr>
            </w:pPr>
            <w:r>
              <w:rPr>
                <w:rFonts w:ascii="Arial" w:cs="Arial" w:eastAsia="Arial" w:hAnsi="Arial"/>
                <w:sz w:val="15"/>
                <w:szCs w:val="15"/>
                <w:b w:val="1"/>
                <w:bCs w:val="1"/>
                <w:color w:val="auto"/>
                <w:w w:val="92"/>
              </w:rPr>
              <w:t>Held</w:t>
            </w:r>
          </w:p>
        </w:tc>
        <w:tc>
          <w:tcPr>
            <w:tcW w:w="20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Pr>
          <w:p>
            <w:pPr>
              <w:spacing w:after="0"/>
              <w:rPr>
                <w:sz w:val="15"/>
                <w:szCs w:val="15"/>
                <w:color w:val="auto"/>
              </w:rPr>
            </w:pPr>
          </w:p>
        </w:tc>
        <w:tc>
          <w:tcPr>
            <w:tcW w:w="920" w:type="dxa"/>
            <w:vAlign w:val="bottom"/>
          </w:tcPr>
          <w:p>
            <w:pPr>
              <w:jc w:val="right"/>
              <w:ind w:right="275"/>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Political subdivisions of</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Possessions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1,067,574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(46,589)</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1,067,574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miscellaneous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19,859,293</w:t>
            </w:r>
          </w:p>
        </w:tc>
        <w:tc>
          <w:tcPr>
            <w:tcW w:w="300" w:type="dxa"/>
            <w:vAlign w:val="bottom"/>
          </w:tcPr>
          <w:p>
            <w:pPr>
              <w:spacing w:after="0"/>
              <w:rPr>
                <w:sz w:val="18"/>
                <w:szCs w:val="18"/>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(638,113)</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239,970</w:t>
            </w:r>
          </w:p>
        </w:tc>
        <w:tc>
          <w:tcPr>
            <w:tcW w:w="30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(5,612)</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88"/>
              </w:rPr>
              <w:t>20,099,263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(643,725)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15,918,090</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(309,273)</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675,316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(38,442)</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16,593,406</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36,844,957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(993,975)</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915,286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(44,054)</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88"/>
              </w:rPr>
              <w:t>37,760,243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(1,038,029)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3,759,850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(241,333)</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(70,571)</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4,420,600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Common stocks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6"/>
              </w:rPr>
              <w:t>exchange traded mutual funds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288,075</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(13,968)</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424,550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(97,468)</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712,625</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4,047,925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(255,301)</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1,085,300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(168,039)</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5,133,225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40,892,882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3"/>
              </w:rPr>
              <w:t>(1,249,276)</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2,000,586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(212,093)</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42,893,468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(1,461,369)</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F-23</w:t>
            </w: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to the valuation methodology are quoted prices (unadjusted) for identical assets or liabilities traded in active markets. Included are those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to the valuation methodology include quoted prices for similar assets or liabilities in active markets,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to the valuation methodology are unobservable for the asset or liability and are significant to the fair value measurement. Material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investments measured at fair value on a recurring basis are allocated among pricing input levels at December 31, 2017 and 2016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5"/>
                <w:szCs w:val="15"/>
                <w:b w:val="1"/>
                <w:bCs w:val="1"/>
                <w:color w:val="auto"/>
              </w:rPr>
              <w:t>December 31, 2017</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380" w:type="dxa"/>
            <w:vAlign w:val="bottom"/>
            <w:gridSpan w:val="2"/>
          </w:tcPr>
          <w:p>
            <w:pPr>
              <w:spacing w:after="0"/>
              <w:rPr>
                <w:sz w:val="20"/>
                <w:szCs w:val="20"/>
                <w:color w:val="auto"/>
              </w:rPr>
            </w:pPr>
            <w:r>
              <w:rPr>
                <w:rFonts w:ascii="Arial" w:cs="Arial" w:eastAsia="Arial" w:hAnsi="Arial"/>
                <w:sz w:val="18"/>
                <w:szCs w:val="18"/>
                <w:color w:val="auto"/>
              </w:rPr>
              <w:t>Political subdivisions of</w:t>
            </w: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Possessions</w:t>
            </w:r>
          </w:p>
        </w:tc>
        <w:tc>
          <w:tcPr>
            <w:tcW w:w="1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w w:val="97"/>
              </w:rPr>
              <w:t>11,315,443</w:t>
            </w:r>
          </w:p>
        </w:tc>
        <w:tc>
          <w:tcPr>
            <w:tcW w:w="104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11,315,443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 and other</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miscellaneous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83,597,300</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4,544,165</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88,141,465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Residential mortgage backed securities</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20,531,348</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20,531,348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83,597,300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36,390,956</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1"/>
              </w:rPr>
              <w:t>119,988,256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14,286,198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14,286,198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97,883,498</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36,390,956</w:t>
            </w:r>
          </w:p>
        </w:tc>
        <w:tc>
          <w:tcPr>
            <w:tcW w:w="10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1"/>
              </w:rPr>
              <w:t>134,274,454</w:t>
            </w: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2"/>
          </w:tcPr>
          <w:p>
            <w:pPr>
              <w:jc w:val="right"/>
              <w:ind w:right="377"/>
              <w:spacing w:after="0"/>
              <w:rPr>
                <w:sz w:val="20"/>
                <w:szCs w:val="20"/>
                <w:color w:val="auto"/>
              </w:rPr>
            </w:pPr>
            <w:r>
              <w:rPr>
                <w:rFonts w:ascii="Arial" w:cs="Arial" w:eastAsia="Arial" w:hAnsi="Arial"/>
                <w:sz w:val="15"/>
                <w:szCs w:val="15"/>
                <w:b w:val="1"/>
                <w:bCs w:val="1"/>
                <w:color w:val="auto"/>
              </w:rPr>
              <w:t>December 31, 2016</w:t>
            </w:r>
          </w:p>
        </w:tc>
        <w:tc>
          <w:tcPr>
            <w:tcW w:w="3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5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380" w:type="dxa"/>
            <w:vAlign w:val="bottom"/>
            <w:gridSpan w:val="2"/>
          </w:tcPr>
          <w:p>
            <w:pPr>
              <w:spacing w:after="0"/>
              <w:rPr>
                <w:sz w:val="20"/>
                <w:szCs w:val="20"/>
                <w:color w:val="auto"/>
              </w:rPr>
            </w:pPr>
            <w:r>
              <w:rPr>
                <w:rFonts w:ascii="Arial" w:cs="Arial" w:eastAsia="Arial" w:hAnsi="Arial"/>
                <w:sz w:val="18"/>
                <w:szCs w:val="18"/>
                <w:color w:val="auto"/>
              </w:rPr>
              <w:t>Political subdivisions of</w:t>
            </w: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Possessions</w:t>
            </w:r>
          </w:p>
        </w:tc>
        <w:tc>
          <w:tcPr>
            <w:tcW w:w="1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8,205,888</w:t>
            </w:r>
          </w:p>
        </w:tc>
        <w:tc>
          <w:tcPr>
            <w:tcW w:w="104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8,205,888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 and other</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miscellaneous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48,356,317</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5,328,872</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53,685,189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Residential mortgage backed securities</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18,537,751</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18,537,751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48,356,317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32,072,511</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80,428,828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9,987,686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9,987,686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58,344,003</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32,072,511</w:t>
            </w:r>
          </w:p>
        </w:tc>
        <w:tc>
          <w:tcPr>
            <w:tcW w:w="10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90,416,514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F-25</w:t>
            </w: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and assumptions in estimating the 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Equity securities and fixed income securities available-for-sale: </w:t>
      </w:r>
      <w:r>
        <w:rPr>
          <w:rFonts w:ascii="Arial" w:cs="Arial" w:eastAsia="Arial" w:hAnsi="Arial"/>
          <w:sz w:val="16"/>
          <w:szCs w:val="16"/>
          <w:color w:val="auto"/>
        </w:rPr>
        <w:t>Fair value disclosures for these investments are included in “Note 3 -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6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 xml:space="preserve">Premiums receivable, reinsurance receivables, and investment subscription receivable: </w:t>
      </w:r>
      <w:r>
        <w:rPr>
          <w:rFonts w:ascii="Arial" w:cs="Arial" w:eastAsia="Arial" w:hAnsi="Arial"/>
          <w:sz w:val="16"/>
          <w:szCs w:val="16"/>
          <w:color w:val="auto"/>
        </w:rPr>
        <w:t>The carrying values reported in the accompanying consolidated balance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sheets for these financial instruments approximate their fair values due to the short-term nature of the assets.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Real estate: </w:t>
      </w:r>
      <w:r>
        <w:rPr>
          <w:rFonts w:ascii="Arial" w:cs="Arial" w:eastAsia="Arial" w:hAnsi="Arial"/>
          <w:sz w:val="18"/>
          <w:szCs w:val="18"/>
          <w:color w:val="auto"/>
        </w:rPr>
        <w:t>The fair value of the land and building included in property and equipment, which is used in the Company’s operations, approximates the carrying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The fair value was based on an appraisal prepared using the sales comparison approach, and accordingly the real estate is a Level 3 asset under the fair value hierarchy.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Reinsurance balances payable: </w:t>
      </w:r>
      <w:r>
        <w:rPr>
          <w:rFonts w:ascii="Arial" w:cs="Arial" w:eastAsia="Arial" w:hAnsi="Arial"/>
          <w:sz w:val="16"/>
          <w:szCs w:val="16"/>
          <w:color w:val="auto"/>
        </w:rPr>
        <w:t>The carrying value reported in the consolidated balance sheets for these financial instruments approximates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The carrying value reported in the 2017 consolidated balance sheet for these financial instruments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as of December 31, 2017 and 2016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5"/>
                <w:szCs w:val="15"/>
                <w:b w:val="1"/>
                <w:bCs w:val="1"/>
                <w:color w:val="auto"/>
              </w:rPr>
              <w:t>December 31, 2017</w:t>
            </w: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5"/>
                <w:szCs w:val="15"/>
                <w:b w:val="1"/>
                <w:bCs w:val="1"/>
                <w:color w:val="auto"/>
              </w:rPr>
              <w:t>Carrying Value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13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5"/>
                <w:szCs w:val="15"/>
                <w:b w:val="1"/>
                <w:bCs w:val="1"/>
                <w:color w:val="auto"/>
              </w:rPr>
              <w:t>Carrying Value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19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4,869,808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5,150,076</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5,094,902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5,298,119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48,381,633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48,381,633</w:t>
            </w:r>
          </w:p>
        </w:tc>
        <w:tc>
          <w:tcPr>
            <w:tcW w:w="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12,044,520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12,044,520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 subscription receivable</w:t>
            </w:r>
          </w:p>
        </w:tc>
        <w:tc>
          <w:tcPr>
            <w:tcW w:w="19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2,000,000</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Premiums receivable, net</w:t>
            </w:r>
          </w:p>
        </w:tc>
        <w:tc>
          <w:tcPr>
            <w:tcW w:w="19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13,217,698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13,217,698</w:t>
            </w:r>
          </w:p>
        </w:tc>
        <w:tc>
          <w:tcPr>
            <w:tcW w:w="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11,649,398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11,649,398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receivables, net</w:t>
            </w:r>
          </w:p>
        </w:tc>
        <w:tc>
          <w:tcPr>
            <w:tcW w:w="19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28,519,130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28,519,130</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32,197,765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32,197,765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Real estate, net of accumulated depreciation</w:t>
            </w:r>
          </w:p>
        </w:tc>
        <w:tc>
          <w:tcPr>
            <w:tcW w:w="19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2,261,829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2,705,000</w:t>
            </w:r>
          </w:p>
        </w:tc>
        <w:tc>
          <w:tcPr>
            <w:tcW w:w="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1,659,405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1,925,000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Reinsurance balances payable</w:t>
            </w:r>
          </w:p>
        </w:tc>
        <w:tc>
          <w:tcPr>
            <w:tcW w:w="19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2,563,966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2,563,966</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2,146,017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2,146,017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Long-term debt, net</w:t>
            </w:r>
          </w:p>
        </w:tc>
        <w:tc>
          <w:tcPr>
            <w:tcW w:w="19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29,126,965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29,126,965</w:t>
            </w:r>
          </w:p>
        </w:tc>
        <w:tc>
          <w:tcPr>
            <w:tcW w:w="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8"/>
                <w:szCs w:val="18"/>
                <w:color w:val="auto"/>
              </w:rPr>
              <w:t>F-26</w:t>
            </w: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8" w:name="page109"/>
    <w:bookmarkEnd w:id="10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Intangible assets consist of finite and indefinite life assets. Finite life intangible assets include customer and producer relationships and other identifiable intangibles. The insurance company license is considered an indefinite life intangible asset subject to annual impairment testing. The remaining weighted average amortization period of identified intangible assets of finite useful life is approximately 1.5 years as of December 31, 2017.</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intangible assets and their useful lives, accumulated amortization, and net carrying value as of December 31, 2017 and 2016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0"/>
              </w:rPr>
              <w:t>December 31, 2017</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0"/>
              </w:rPr>
              <w:t>December 31, 2016</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20" w:type="dxa"/>
            <w:vAlign w:val="bottom"/>
          </w:tcPr>
          <w:p>
            <w:pPr>
              <w:jc w:val="center"/>
              <w:ind w:left="266"/>
              <w:spacing w:after="0"/>
              <w:rPr>
                <w:sz w:val="20"/>
                <w:szCs w:val="20"/>
                <w:color w:val="auto"/>
              </w:rPr>
            </w:pPr>
            <w:r>
              <w:rPr>
                <w:rFonts w:ascii="Arial" w:cs="Arial" w:eastAsia="Arial" w:hAnsi="Arial"/>
                <w:sz w:val="15"/>
                <w:szCs w:val="15"/>
                <w:b w:val="1"/>
                <w:bCs w:val="1"/>
                <w:color w:val="auto"/>
                <w:w w:val="87"/>
              </w:rPr>
              <w:t>Useful</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right="78"/>
              <w:spacing w:after="0"/>
              <w:rPr>
                <w:sz w:val="20"/>
                <w:szCs w:val="20"/>
                <w:color w:val="auto"/>
              </w:rPr>
            </w:pPr>
            <w:r>
              <w:rPr>
                <w:rFonts w:ascii="Arial" w:cs="Arial" w:eastAsia="Arial" w:hAnsi="Arial"/>
                <w:sz w:val="15"/>
                <w:szCs w:val="15"/>
                <w:b w:val="1"/>
                <w:bCs w:val="1"/>
                <w:color w:val="auto"/>
                <w:w w:val="82"/>
              </w:rPr>
              <w:t>Gross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158"/>
              <w:spacing w:after="0"/>
              <w:rPr>
                <w:sz w:val="20"/>
                <w:szCs w:val="20"/>
                <w:color w:val="auto"/>
              </w:rPr>
            </w:pPr>
            <w:r>
              <w:rPr>
                <w:rFonts w:ascii="Arial" w:cs="Arial" w:eastAsia="Arial" w:hAnsi="Arial"/>
                <w:sz w:val="15"/>
                <w:szCs w:val="15"/>
                <w:b w:val="1"/>
                <w:bCs w:val="1"/>
                <w:color w:val="auto"/>
                <w:w w:val="90"/>
              </w:rPr>
              <w:t>Net</w:t>
            </w:r>
          </w:p>
        </w:tc>
        <w:tc>
          <w:tcPr>
            <w:tcW w:w="240" w:type="dxa"/>
            <w:vAlign w:val="bottom"/>
          </w:tcPr>
          <w:p>
            <w:pPr>
              <w:spacing w:after="0"/>
              <w:rPr>
                <w:sz w:val="20"/>
                <w:szCs w:val="20"/>
                <w:color w:val="auto"/>
              </w:rPr>
            </w:pPr>
          </w:p>
        </w:tc>
        <w:tc>
          <w:tcPr>
            <w:tcW w:w="820" w:type="dxa"/>
            <w:vAlign w:val="bottom"/>
          </w:tcPr>
          <w:p>
            <w:pPr>
              <w:jc w:val="center"/>
              <w:ind w:right="98"/>
              <w:spacing w:after="0"/>
              <w:rPr>
                <w:sz w:val="20"/>
                <w:szCs w:val="20"/>
                <w:color w:val="auto"/>
              </w:rPr>
            </w:pPr>
            <w:r>
              <w:rPr>
                <w:rFonts w:ascii="Arial" w:cs="Arial" w:eastAsia="Arial" w:hAnsi="Arial"/>
                <w:sz w:val="15"/>
                <w:szCs w:val="15"/>
                <w:b w:val="1"/>
                <w:bCs w:val="1"/>
                <w:color w:val="auto"/>
                <w:w w:val="82"/>
              </w:rPr>
              <w:t>Gross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158"/>
              <w:spacing w:after="0"/>
              <w:rPr>
                <w:sz w:val="20"/>
                <w:szCs w:val="20"/>
                <w:color w:val="auto"/>
              </w:rPr>
            </w:pPr>
            <w:r>
              <w:rPr>
                <w:rFonts w:ascii="Arial" w:cs="Arial" w:eastAsia="Arial" w:hAnsi="Arial"/>
                <w:sz w:val="15"/>
                <w:szCs w:val="15"/>
                <w:b w:val="1"/>
                <w:bCs w:val="1"/>
                <w:color w:val="auto"/>
                <w:w w:val="90"/>
              </w:rPr>
              <w:t>Net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20" w:type="dxa"/>
            <w:vAlign w:val="bottom"/>
          </w:tcPr>
          <w:p>
            <w:pPr>
              <w:jc w:val="center"/>
              <w:ind w:left="246"/>
              <w:spacing w:after="0"/>
              <w:rPr>
                <w:sz w:val="20"/>
                <w:szCs w:val="20"/>
                <w:color w:val="auto"/>
              </w:rPr>
            </w:pPr>
            <w:r>
              <w:rPr>
                <w:rFonts w:ascii="Arial" w:cs="Arial" w:eastAsia="Arial" w:hAnsi="Arial"/>
                <w:sz w:val="15"/>
                <w:szCs w:val="15"/>
                <w:b w:val="1"/>
                <w:bCs w:val="1"/>
                <w:color w:val="auto"/>
                <w:w w:val="97"/>
              </w:rPr>
              <w:t>Life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right="78"/>
              <w:spacing w:after="0"/>
              <w:rPr>
                <w:sz w:val="20"/>
                <w:szCs w:val="20"/>
                <w:color w:val="auto"/>
              </w:rPr>
            </w:pPr>
            <w:r>
              <w:rPr>
                <w:rFonts w:ascii="Arial" w:cs="Arial" w:eastAsia="Arial" w:hAnsi="Arial"/>
                <w:sz w:val="15"/>
                <w:szCs w:val="15"/>
                <w:b w:val="1"/>
                <w:bCs w:val="1"/>
                <w:color w:val="auto"/>
                <w:w w:val="97"/>
              </w:rPr>
              <w:t>Carrying</w:t>
            </w:r>
          </w:p>
        </w:tc>
        <w:tc>
          <w:tcPr>
            <w:tcW w:w="1280" w:type="dxa"/>
            <w:vAlign w:val="bottom"/>
            <w:gridSpan w:val="2"/>
          </w:tcPr>
          <w:p>
            <w:pPr>
              <w:jc w:val="right"/>
              <w:ind w:right="132"/>
              <w:spacing w:after="0"/>
              <w:rPr>
                <w:sz w:val="20"/>
                <w:szCs w:val="20"/>
                <w:color w:val="auto"/>
              </w:rPr>
            </w:pPr>
            <w:r>
              <w:rPr>
                <w:rFonts w:ascii="Arial" w:cs="Arial" w:eastAsia="Arial" w:hAnsi="Arial"/>
                <w:sz w:val="15"/>
                <w:szCs w:val="15"/>
                <w:b w:val="1"/>
                <w:bCs w:val="1"/>
                <w:color w:val="auto"/>
              </w:rPr>
              <w:t>Accumulated</w:t>
            </w:r>
          </w:p>
        </w:tc>
        <w:tc>
          <w:tcPr>
            <w:tcW w:w="180" w:type="dxa"/>
            <w:vAlign w:val="bottom"/>
          </w:tcPr>
          <w:p>
            <w:pPr>
              <w:spacing w:after="0"/>
              <w:rPr>
                <w:sz w:val="18"/>
                <w:szCs w:val="18"/>
                <w:color w:val="auto"/>
              </w:rPr>
            </w:pPr>
          </w:p>
        </w:tc>
        <w:tc>
          <w:tcPr>
            <w:tcW w:w="900" w:type="dxa"/>
            <w:vAlign w:val="bottom"/>
          </w:tcPr>
          <w:p>
            <w:pPr>
              <w:jc w:val="center"/>
              <w:ind w:right="158"/>
              <w:spacing w:after="0"/>
              <w:rPr>
                <w:sz w:val="20"/>
                <w:szCs w:val="20"/>
                <w:color w:val="auto"/>
              </w:rPr>
            </w:pPr>
            <w:r>
              <w:rPr>
                <w:rFonts w:ascii="Arial" w:cs="Arial" w:eastAsia="Arial" w:hAnsi="Arial"/>
                <w:sz w:val="15"/>
                <w:szCs w:val="15"/>
                <w:b w:val="1"/>
                <w:bCs w:val="1"/>
                <w:color w:val="auto"/>
                <w:w w:val="93"/>
              </w:rPr>
              <w:t>Carrying</w:t>
            </w:r>
          </w:p>
        </w:tc>
        <w:tc>
          <w:tcPr>
            <w:tcW w:w="240" w:type="dxa"/>
            <w:vAlign w:val="bottom"/>
          </w:tcPr>
          <w:p>
            <w:pPr>
              <w:spacing w:after="0"/>
              <w:rPr>
                <w:sz w:val="18"/>
                <w:szCs w:val="18"/>
                <w:color w:val="auto"/>
              </w:rPr>
            </w:pPr>
          </w:p>
        </w:tc>
        <w:tc>
          <w:tcPr>
            <w:tcW w:w="820" w:type="dxa"/>
            <w:vAlign w:val="bottom"/>
          </w:tcPr>
          <w:p>
            <w:pPr>
              <w:jc w:val="center"/>
              <w:ind w:right="78"/>
              <w:spacing w:after="0"/>
              <w:rPr>
                <w:sz w:val="20"/>
                <w:szCs w:val="20"/>
                <w:color w:val="auto"/>
              </w:rPr>
            </w:pPr>
            <w:r>
              <w:rPr>
                <w:rFonts w:ascii="Arial" w:cs="Arial" w:eastAsia="Arial" w:hAnsi="Arial"/>
                <w:sz w:val="15"/>
                <w:szCs w:val="15"/>
                <w:b w:val="1"/>
                <w:bCs w:val="1"/>
                <w:color w:val="auto"/>
                <w:w w:val="93"/>
              </w:rPr>
              <w:t>Carrying</w:t>
            </w:r>
          </w:p>
        </w:tc>
        <w:tc>
          <w:tcPr>
            <w:tcW w:w="1280" w:type="dxa"/>
            <w:vAlign w:val="bottom"/>
            <w:gridSpan w:val="2"/>
          </w:tcPr>
          <w:p>
            <w:pPr>
              <w:jc w:val="right"/>
              <w:ind w:right="132"/>
              <w:spacing w:after="0"/>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8"/>
                <w:szCs w:val="18"/>
                <w:color w:val="auto"/>
              </w:rPr>
            </w:pPr>
          </w:p>
        </w:tc>
        <w:tc>
          <w:tcPr>
            <w:tcW w:w="900" w:type="dxa"/>
            <w:vAlign w:val="bottom"/>
          </w:tcPr>
          <w:p>
            <w:pPr>
              <w:jc w:val="center"/>
              <w:ind w:right="158"/>
              <w:spacing w:after="0"/>
              <w:rPr>
                <w:sz w:val="20"/>
                <w:szCs w:val="20"/>
                <w:color w:val="auto"/>
              </w:rPr>
            </w:pPr>
            <w:r>
              <w:rPr>
                <w:rFonts w:ascii="Arial" w:cs="Arial" w:eastAsia="Arial" w:hAnsi="Arial"/>
                <w:sz w:val="15"/>
                <w:szCs w:val="15"/>
                <w:b w:val="1"/>
                <w:bCs w:val="1"/>
                <w:color w:val="auto"/>
                <w:w w:val="93"/>
              </w:rPr>
              <w:t>Carrying</w:t>
            </w:r>
          </w:p>
        </w:tc>
      </w:tr>
      <w:tr>
        <w:trPr>
          <w:trHeight w:val="206"/>
        </w:trPr>
        <w:tc>
          <w:tcPr>
            <w:tcW w:w="2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246"/>
              <w:spacing w:after="0"/>
              <w:rPr>
                <w:sz w:val="20"/>
                <w:szCs w:val="20"/>
                <w:color w:val="auto"/>
              </w:rPr>
            </w:pPr>
            <w:r>
              <w:rPr>
                <w:rFonts w:ascii="Arial" w:cs="Arial" w:eastAsia="Arial" w:hAnsi="Arial"/>
                <w:sz w:val="15"/>
                <w:szCs w:val="15"/>
                <w:b w:val="1"/>
                <w:bCs w:val="1"/>
                <w:color w:val="auto"/>
                <w:w w:val="91"/>
              </w:rPr>
              <w:t>(in yrs)</w:t>
            </w: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w w:val="89"/>
              </w:rPr>
              <w:t>Value</w:t>
            </w:r>
          </w:p>
        </w:tc>
        <w:tc>
          <w:tcPr>
            <w:tcW w:w="12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5"/>
                <w:szCs w:val="15"/>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91"/>
              </w:rPr>
              <w:t>Amount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89"/>
              </w:rPr>
              <w:t>Value</w:t>
            </w:r>
          </w:p>
        </w:tc>
        <w:tc>
          <w:tcPr>
            <w:tcW w:w="12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5"/>
                <w:szCs w:val="15"/>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38"/>
              <w:spacing w:after="0"/>
              <w:rPr>
                <w:sz w:val="20"/>
                <w:szCs w:val="20"/>
                <w:color w:val="auto"/>
              </w:rPr>
            </w:pPr>
            <w:r>
              <w:rPr>
                <w:rFonts w:ascii="Arial" w:cs="Arial" w:eastAsia="Arial" w:hAnsi="Arial"/>
                <w:sz w:val="15"/>
                <w:szCs w:val="15"/>
                <w:b w:val="1"/>
                <w:bCs w:val="1"/>
                <w:color w:val="auto"/>
                <w:w w:val="91"/>
              </w:rPr>
              <w:t>Amount</w:t>
            </w: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license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w w:val="99"/>
              </w:rPr>
              <w:t>10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3,400,000</w:t>
            </w:r>
          </w:p>
        </w:tc>
        <w:tc>
          <w:tcPr>
            <w:tcW w:w="3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w w:val="92"/>
              </w:rPr>
              <w:t>2,890,000</w:t>
            </w:r>
          </w:p>
        </w:tc>
        <w:tc>
          <w:tcPr>
            <w:tcW w:w="18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510,000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3,400,000</w:t>
            </w:r>
          </w:p>
        </w:tc>
        <w:tc>
          <w:tcPr>
            <w:tcW w:w="3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w w:val="92"/>
              </w:rPr>
              <w:t>2,550,000</w:t>
            </w:r>
          </w:p>
        </w:tc>
        <w:tc>
          <w:tcPr>
            <w:tcW w:w="16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850,000</w:t>
            </w: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identifiable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intangibles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950,000</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950,000</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4,850,000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2"/>
              </w:rPr>
              <w:t>3,840,000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4"/>
              </w:rPr>
              <w:t>1,010,000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4,850,000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2"/>
              </w:rPr>
              <w:t>3,500,000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4"/>
              </w:rPr>
              <w:t>1,350,000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 impairment testing and amortization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performs an analysis annually as of December 31, or sooner if there are indicators that the asset may be impaired, to identify potential impairment of intangible assets with both finite and indefinite lives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in the years ended December 31, 2017 and 2016.</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amortization expense related to intangibles of $340,000 and $407,816, respectively, for the years ended December 31, 2017 and 2016.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the remaining life of finite life intangibles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CEEFF"/>
          </w:tcPr>
          <w:p>
            <w:pPr>
              <w:jc w:val="right"/>
              <w:ind w:right="2512"/>
              <w:spacing w:after="0"/>
              <w:rPr>
                <w:sz w:val="20"/>
                <w:szCs w:val="20"/>
                <w:color w:val="auto"/>
              </w:rPr>
            </w:pPr>
            <w:r>
              <w:rPr>
                <w:rFonts w:ascii="Arial" w:cs="Arial" w:eastAsia="Arial" w:hAnsi="Arial"/>
                <w:sz w:val="18"/>
                <w:szCs w:val="18"/>
                <w:color w:val="auto"/>
                <w:w w:val="84"/>
              </w:rPr>
              <w:t>2018</w:t>
            </w:r>
          </w:p>
        </w:tc>
        <w:tc>
          <w:tcPr>
            <w:tcW w:w="75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340,000</w:t>
            </w:r>
          </w:p>
        </w:tc>
      </w:tr>
      <w:tr>
        <w:trPr>
          <w:trHeight w:val="223"/>
        </w:trPr>
        <w:tc>
          <w:tcPr>
            <w:tcW w:w="2960" w:type="dxa"/>
            <w:vAlign w:val="bottom"/>
          </w:tcPr>
          <w:p>
            <w:pPr>
              <w:jc w:val="right"/>
              <w:ind w:right="2512"/>
              <w:spacing w:after="0"/>
              <w:rPr>
                <w:sz w:val="20"/>
                <w:szCs w:val="20"/>
                <w:color w:val="auto"/>
              </w:rPr>
            </w:pPr>
            <w:r>
              <w:rPr>
                <w:rFonts w:ascii="Arial" w:cs="Arial" w:eastAsia="Arial" w:hAnsi="Arial"/>
                <w:sz w:val="18"/>
                <w:szCs w:val="18"/>
                <w:color w:val="auto"/>
                <w:w w:val="84"/>
              </w:rPr>
              <w:t>2019</w:t>
            </w:r>
          </w:p>
        </w:tc>
        <w:tc>
          <w:tcPr>
            <w:tcW w:w="7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170,000</w:t>
            </w:r>
          </w:p>
        </w:tc>
      </w:tr>
      <w:tr>
        <w:trPr>
          <w:trHeight w:val="257"/>
        </w:trPr>
        <w:tc>
          <w:tcPr>
            <w:tcW w:w="296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510,000</w:t>
            </w:r>
          </w:p>
        </w:tc>
      </w:tr>
      <w:tr>
        <w:trPr>
          <w:trHeight w:val="425"/>
        </w:trPr>
        <w:tc>
          <w:tcPr>
            <w:tcW w:w="296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gridSpan w:val="2"/>
          </w:tcPr>
          <w:p>
            <w:pPr>
              <w:jc w:val="right"/>
              <w:ind w:right="4532"/>
              <w:spacing w:after="0"/>
              <w:rPr>
                <w:sz w:val="20"/>
                <w:szCs w:val="20"/>
                <w:color w:val="auto"/>
              </w:rPr>
            </w:pPr>
            <w:r>
              <w:rPr>
                <w:rFonts w:ascii="Arial" w:cs="Arial" w:eastAsia="Arial" w:hAnsi="Arial"/>
                <w:sz w:val="18"/>
                <w:szCs w:val="18"/>
                <w:color w:val="auto"/>
              </w:rPr>
              <w:t>F-27</w:t>
            </w: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Reinsurance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quota share reinsurance treaties are on a July 1 through June 30 fiscal year basis; therefore, for year to date fiscal periods after June 30, two separate treaties will be included in such periods.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quota share reinsurance treaties in effect for the year ended December 31, 2017 for its personal lines business, which primarily consists of homeowners’ policies, were covered under the July 1, 2016/June 30, 2017 treaty year (“2016/2017 Treaty”) and July 1, 2017/June 30, 2018 treaty year (“2017/2019 Treaty”) (two year treaty as described below). The Company’s quota share reinsurance treaties in effect for the year ended December 31, 2016 were covered under the July 1, 2015/June 30, 2016 treaty year (“2015/2016 Treaty”) and the 2016/2017 Treaty.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the Company bound its personal lines quota share reinsurance treaty effective July 1, 2017. The treaty provides for a reduction in the quota share ceding rate to 20%, from 40% in the 2016/2017 Treaty, and an increase in the provisional ceding commission rate to 53%, from 52% in the 2016/2017 Treaty. The 2017/2019 Treaty covers a two year period from July 1, 2017 through June 30,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2015/2016 Treaty, 2016/2017 Treaty, and 2017/2019 Treaty provide for the following material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34"/>
              <w:spacing w:after="0"/>
              <w:rPr>
                <w:sz w:val="20"/>
                <w:szCs w:val="20"/>
                <w:color w:val="auto"/>
              </w:rPr>
            </w:pPr>
            <w:r>
              <w:rPr>
                <w:rFonts w:ascii="Arial" w:cs="Arial" w:eastAsia="Arial" w:hAnsi="Arial"/>
                <w:sz w:val="15"/>
                <w:szCs w:val="15"/>
                <w:b w:val="1"/>
                <w:bCs w:val="1"/>
                <w:color w:val="auto"/>
                <w:w w:val="90"/>
              </w:rPr>
              <w:t>Treaty Year</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center"/>
              <w:ind w:right="313"/>
              <w:spacing w:after="0"/>
              <w:rPr>
                <w:sz w:val="20"/>
                <w:szCs w:val="20"/>
                <w:color w:val="auto"/>
              </w:rPr>
            </w:pPr>
            <w:r>
              <w:rPr>
                <w:rFonts w:ascii="Arial" w:cs="Arial" w:eastAsia="Arial" w:hAnsi="Arial"/>
                <w:sz w:val="15"/>
                <w:szCs w:val="15"/>
                <w:b w:val="1"/>
                <w:bCs w:val="1"/>
                <w:color w:val="auto"/>
                <w:w w:val="90"/>
              </w:rPr>
              <w:t>July 1, 2017</w:t>
            </w:r>
          </w:p>
        </w:tc>
        <w:tc>
          <w:tcPr>
            <w:tcW w:w="240" w:type="dxa"/>
            <w:vAlign w:val="bottom"/>
          </w:tcPr>
          <w:p>
            <w:pPr>
              <w:spacing w:after="0"/>
              <w:rPr>
                <w:sz w:val="20"/>
                <w:szCs w:val="20"/>
                <w:color w:val="auto"/>
              </w:rPr>
            </w:pPr>
          </w:p>
        </w:tc>
        <w:tc>
          <w:tcPr>
            <w:tcW w:w="1480" w:type="dxa"/>
            <w:vAlign w:val="bottom"/>
          </w:tcPr>
          <w:p>
            <w:pPr>
              <w:jc w:val="center"/>
              <w:ind w:right="314"/>
              <w:spacing w:after="0"/>
              <w:rPr>
                <w:sz w:val="20"/>
                <w:szCs w:val="20"/>
                <w:color w:val="auto"/>
              </w:rPr>
            </w:pPr>
            <w:r>
              <w:rPr>
                <w:rFonts w:ascii="Arial" w:cs="Arial" w:eastAsia="Arial" w:hAnsi="Arial"/>
                <w:sz w:val="15"/>
                <w:szCs w:val="15"/>
                <w:b w:val="1"/>
                <w:bCs w:val="1"/>
                <w:color w:val="auto"/>
                <w:w w:val="90"/>
              </w:rPr>
              <w:t>July 1, 2016</w:t>
            </w:r>
          </w:p>
        </w:tc>
        <w:tc>
          <w:tcPr>
            <w:tcW w:w="220" w:type="dxa"/>
            <w:vAlign w:val="bottom"/>
          </w:tcPr>
          <w:p>
            <w:pPr>
              <w:spacing w:after="0"/>
              <w:rPr>
                <w:sz w:val="20"/>
                <w:szCs w:val="20"/>
                <w:color w:val="auto"/>
              </w:rPr>
            </w:pPr>
          </w:p>
        </w:tc>
        <w:tc>
          <w:tcPr>
            <w:tcW w:w="1400" w:type="dxa"/>
            <w:vAlign w:val="bottom"/>
          </w:tcPr>
          <w:p>
            <w:pPr>
              <w:jc w:val="center"/>
              <w:ind w:right="213"/>
              <w:spacing w:after="0"/>
              <w:rPr>
                <w:sz w:val="20"/>
                <w:szCs w:val="20"/>
                <w:color w:val="auto"/>
              </w:rPr>
            </w:pPr>
            <w:r>
              <w:rPr>
                <w:rFonts w:ascii="Arial" w:cs="Arial" w:eastAsia="Arial" w:hAnsi="Arial"/>
                <w:sz w:val="15"/>
                <w:szCs w:val="15"/>
                <w:b w:val="1"/>
                <w:bCs w:val="1"/>
                <w:color w:val="auto"/>
                <w:w w:val="87"/>
              </w:rPr>
              <w:t>July 1, 2015</w:t>
            </w:r>
          </w:p>
        </w:tc>
        <w:tc>
          <w:tcPr>
            <w:tcW w:w="0" w:type="dxa"/>
            <w:vAlign w:val="bottom"/>
          </w:tcPr>
          <w:p>
            <w:pPr>
              <w:spacing w:after="0"/>
              <w:rPr>
                <w:sz w:val="1"/>
                <w:szCs w:val="1"/>
                <w:color w:val="auto"/>
              </w:rPr>
            </w:pPr>
          </w:p>
        </w:tc>
      </w:tr>
      <w:tr>
        <w:trPr>
          <w:trHeight w:val="216"/>
        </w:trPr>
        <w:tc>
          <w:tcPr>
            <w:tcW w:w="62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Line of Business</w:t>
            </w:r>
          </w:p>
        </w:tc>
        <w:tc>
          <w:tcPr>
            <w:tcW w:w="320" w:type="dxa"/>
            <w:vAlign w:val="bottom"/>
          </w:tcPr>
          <w:p>
            <w:pPr>
              <w:spacing w:after="0"/>
              <w:rPr>
                <w:sz w:val="18"/>
                <w:szCs w:val="18"/>
                <w:color w:val="auto"/>
              </w:rPr>
            </w:pPr>
          </w:p>
        </w:tc>
        <w:tc>
          <w:tcPr>
            <w:tcW w:w="1480" w:type="dxa"/>
            <w:vAlign w:val="bottom"/>
          </w:tcPr>
          <w:p>
            <w:pPr>
              <w:jc w:val="center"/>
              <w:ind w:right="313"/>
              <w:spacing w:after="0"/>
              <w:rPr>
                <w:sz w:val="20"/>
                <w:szCs w:val="20"/>
                <w:color w:val="auto"/>
              </w:rPr>
            </w:pPr>
            <w:r>
              <w:rPr>
                <w:rFonts w:ascii="Arial" w:cs="Arial" w:eastAsia="Arial" w:hAnsi="Arial"/>
                <w:sz w:val="15"/>
                <w:szCs w:val="15"/>
                <w:b w:val="1"/>
                <w:bCs w:val="1"/>
                <w:color w:val="auto"/>
                <w:w w:val="84"/>
              </w:rPr>
              <w:t>to</w:t>
            </w:r>
          </w:p>
        </w:tc>
        <w:tc>
          <w:tcPr>
            <w:tcW w:w="240" w:type="dxa"/>
            <w:vAlign w:val="bottom"/>
          </w:tcPr>
          <w:p>
            <w:pPr>
              <w:spacing w:after="0"/>
              <w:rPr>
                <w:sz w:val="18"/>
                <w:szCs w:val="18"/>
                <w:color w:val="auto"/>
              </w:rPr>
            </w:pPr>
          </w:p>
        </w:tc>
        <w:tc>
          <w:tcPr>
            <w:tcW w:w="1480" w:type="dxa"/>
            <w:vAlign w:val="bottom"/>
          </w:tcPr>
          <w:p>
            <w:pPr>
              <w:jc w:val="center"/>
              <w:ind w:right="314"/>
              <w:spacing w:after="0"/>
              <w:rPr>
                <w:sz w:val="20"/>
                <w:szCs w:val="20"/>
                <w:color w:val="auto"/>
              </w:rPr>
            </w:pPr>
            <w:r>
              <w:rPr>
                <w:rFonts w:ascii="Arial" w:cs="Arial" w:eastAsia="Arial" w:hAnsi="Arial"/>
                <w:sz w:val="15"/>
                <w:szCs w:val="15"/>
                <w:b w:val="1"/>
                <w:bCs w:val="1"/>
                <w:color w:val="auto"/>
                <w:w w:val="84"/>
              </w:rPr>
              <w:t>to</w:t>
            </w:r>
          </w:p>
        </w:tc>
        <w:tc>
          <w:tcPr>
            <w:tcW w:w="220" w:type="dxa"/>
            <w:vAlign w:val="bottom"/>
          </w:tcPr>
          <w:p>
            <w:pPr>
              <w:spacing w:after="0"/>
              <w:rPr>
                <w:sz w:val="18"/>
                <w:szCs w:val="18"/>
                <w:color w:val="auto"/>
              </w:rPr>
            </w:pPr>
          </w:p>
        </w:tc>
        <w:tc>
          <w:tcPr>
            <w:tcW w:w="1400" w:type="dxa"/>
            <w:vAlign w:val="bottom"/>
          </w:tcPr>
          <w:p>
            <w:pPr>
              <w:jc w:val="center"/>
              <w:ind w:right="213"/>
              <w:spacing w:after="0"/>
              <w:rPr>
                <w:sz w:val="20"/>
                <w:szCs w:val="20"/>
                <w:color w:val="auto"/>
              </w:rPr>
            </w:pPr>
            <w:r>
              <w:rPr>
                <w:rFonts w:ascii="Arial" w:cs="Arial" w:eastAsia="Arial" w:hAnsi="Arial"/>
                <w:sz w:val="15"/>
                <w:szCs w:val="15"/>
                <w:b w:val="1"/>
                <w:bCs w:val="1"/>
                <w:color w:val="auto"/>
                <w:w w:val="98"/>
              </w:rPr>
              <w:t>to</w:t>
            </w:r>
          </w:p>
        </w:tc>
        <w:tc>
          <w:tcPr>
            <w:tcW w:w="0" w:type="dxa"/>
            <w:vAlign w:val="bottom"/>
          </w:tcPr>
          <w:p>
            <w:pPr>
              <w:spacing w:after="0"/>
              <w:rPr>
                <w:sz w:val="1"/>
                <w:szCs w:val="1"/>
                <w:color w:val="auto"/>
              </w:rPr>
            </w:pPr>
          </w:p>
        </w:tc>
      </w:tr>
      <w:tr>
        <w:trPr>
          <w:trHeight w:val="206"/>
        </w:trPr>
        <w:tc>
          <w:tcPr>
            <w:tcW w:w="6280" w:type="dxa"/>
            <w:vAlign w:val="bottom"/>
            <w:gridSpan w:val="6"/>
            <w:vMerge w:val="continue"/>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293"/>
              <w:spacing w:after="0"/>
              <w:rPr>
                <w:sz w:val="20"/>
                <w:szCs w:val="20"/>
                <w:color w:val="auto"/>
              </w:rPr>
            </w:pPr>
            <w:r>
              <w:rPr>
                <w:rFonts w:ascii="Arial" w:cs="Arial" w:eastAsia="Arial" w:hAnsi="Arial"/>
                <w:sz w:val="15"/>
                <w:szCs w:val="15"/>
                <w:b w:val="1"/>
                <w:bCs w:val="1"/>
                <w:color w:val="auto"/>
                <w:w w:val="88"/>
              </w:rPr>
              <w:t>June 30, 2018</w:t>
            </w:r>
          </w:p>
        </w:tc>
        <w:tc>
          <w:tcPr>
            <w:tcW w:w="240" w:type="dxa"/>
            <w:vAlign w:val="bottom"/>
          </w:tcPr>
          <w:p>
            <w:pPr>
              <w:spacing w:after="0"/>
              <w:rPr>
                <w:sz w:val="17"/>
                <w:szCs w:val="17"/>
                <w:color w:val="auto"/>
              </w:rPr>
            </w:pPr>
          </w:p>
        </w:tc>
        <w:tc>
          <w:tcPr>
            <w:tcW w:w="1480" w:type="dxa"/>
            <w:vAlign w:val="bottom"/>
          </w:tcPr>
          <w:p>
            <w:pPr>
              <w:jc w:val="center"/>
              <w:ind w:right="314"/>
              <w:spacing w:after="0"/>
              <w:rPr>
                <w:sz w:val="20"/>
                <w:szCs w:val="20"/>
                <w:color w:val="auto"/>
              </w:rPr>
            </w:pPr>
            <w:r>
              <w:rPr>
                <w:rFonts w:ascii="Arial" w:cs="Arial" w:eastAsia="Arial" w:hAnsi="Arial"/>
                <w:sz w:val="15"/>
                <w:szCs w:val="15"/>
                <w:b w:val="1"/>
                <w:bCs w:val="1"/>
                <w:color w:val="auto"/>
                <w:w w:val="90"/>
              </w:rPr>
              <w:t>June 30, 2017</w:t>
            </w:r>
          </w:p>
        </w:tc>
        <w:tc>
          <w:tcPr>
            <w:tcW w:w="220" w:type="dxa"/>
            <w:vAlign w:val="bottom"/>
          </w:tcPr>
          <w:p>
            <w:pPr>
              <w:spacing w:after="0"/>
              <w:rPr>
                <w:sz w:val="17"/>
                <w:szCs w:val="17"/>
                <w:color w:val="auto"/>
              </w:rPr>
            </w:pPr>
          </w:p>
        </w:tc>
        <w:tc>
          <w:tcPr>
            <w:tcW w:w="1400" w:type="dxa"/>
            <w:vAlign w:val="bottom"/>
          </w:tcPr>
          <w:p>
            <w:pPr>
              <w:jc w:val="center"/>
              <w:ind w:right="213"/>
              <w:spacing w:after="0"/>
              <w:rPr>
                <w:sz w:val="20"/>
                <w:szCs w:val="20"/>
                <w:color w:val="auto"/>
              </w:rPr>
            </w:pPr>
            <w:r>
              <w:rPr>
                <w:rFonts w:ascii="Arial" w:cs="Arial" w:eastAsia="Arial" w:hAnsi="Arial"/>
                <w:sz w:val="15"/>
                <w:szCs w:val="15"/>
                <w:b w:val="1"/>
                <w:bCs w:val="1"/>
                <w:color w:val="auto"/>
                <w:w w:val="88"/>
              </w:rPr>
              <w:t>June 30,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top w:val="single" w:sz="8" w:color="auto"/>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Personal Lines:</w:t>
            </w:r>
          </w:p>
        </w:tc>
        <w:tc>
          <w:tcPr>
            <w:tcW w:w="3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80" w:type="dxa"/>
            <w:vAlign w:val="bottom"/>
            <w:gridSpan w:val="6"/>
          </w:tcPr>
          <w:p>
            <w:pPr>
              <w:spacing w:after="0"/>
              <w:rPr>
                <w:sz w:val="20"/>
                <w:szCs w:val="20"/>
                <w:color w:val="auto"/>
              </w:rPr>
            </w:pPr>
            <w:r>
              <w:rPr>
                <w:rFonts w:ascii="Arial" w:cs="Arial" w:eastAsia="Arial" w:hAnsi="Arial"/>
                <w:sz w:val="18"/>
                <w:szCs w:val="18"/>
                <w:color w:val="auto"/>
              </w:rPr>
              <w:t>Homeowners, dwelling fire and canine legal liability</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Percent ceded</w:t>
            </w:r>
          </w:p>
        </w:tc>
        <w:tc>
          <w:tcPr>
            <w:tcW w:w="320" w:type="dxa"/>
            <w:vAlign w:val="bottom"/>
          </w:tcPr>
          <w:p>
            <w:pPr>
              <w:spacing w:after="0"/>
              <w:rPr>
                <w:sz w:val="18"/>
                <w:szCs w:val="18"/>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rPr>
              <w:t>Risk retained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833,333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6"/>
              </w:rPr>
              <w:t>Excess of loss coverage and facultative facility above quota share coverage (1)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3,666,667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center"/>
              <w:ind w:right="333"/>
              <w:spacing w:after="0"/>
              <w:rPr>
                <w:sz w:val="20"/>
                <w:szCs w:val="20"/>
                <w:color w:val="auto"/>
              </w:rPr>
            </w:pPr>
            <w:r>
              <w:rPr>
                <w:rFonts w:ascii="Arial" w:cs="Arial" w:eastAsia="Arial" w:hAnsi="Arial"/>
                <w:sz w:val="18"/>
                <w:szCs w:val="18"/>
                <w:color w:val="auto"/>
                <w:w w:val="86"/>
              </w:rPr>
              <w:t>in excess of</w:t>
            </w:r>
          </w:p>
        </w:tc>
        <w:tc>
          <w:tcPr>
            <w:tcW w:w="240" w:type="dxa"/>
            <w:vAlign w:val="bottom"/>
          </w:tcPr>
          <w:p>
            <w:pPr>
              <w:spacing w:after="0"/>
              <w:rPr>
                <w:sz w:val="21"/>
                <w:szCs w:val="21"/>
                <w:color w:val="auto"/>
              </w:rPr>
            </w:pPr>
          </w:p>
        </w:tc>
        <w:tc>
          <w:tcPr>
            <w:tcW w:w="1480" w:type="dxa"/>
            <w:vAlign w:val="bottom"/>
          </w:tcPr>
          <w:p>
            <w:pPr>
              <w:jc w:val="center"/>
              <w:ind w:right="314"/>
              <w:spacing w:after="0"/>
              <w:rPr>
                <w:sz w:val="20"/>
                <w:szCs w:val="20"/>
                <w:color w:val="auto"/>
              </w:rPr>
            </w:pPr>
            <w:r>
              <w:rPr>
                <w:rFonts w:ascii="Arial" w:cs="Arial" w:eastAsia="Arial" w:hAnsi="Arial"/>
                <w:sz w:val="18"/>
                <w:szCs w:val="18"/>
                <w:color w:val="auto"/>
                <w:w w:val="88"/>
              </w:rPr>
              <w:t>in excess of</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6"/>
              </w:rPr>
              <w:t>in excess of</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833,333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9,200,000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4,000,000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Losses per occurrence subject to reinsurance coverage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Expiration date</w:t>
            </w: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5"/>
              </w:rPr>
              <w:t>June 30, 2019</w:t>
            </w:r>
          </w:p>
        </w:tc>
        <w:tc>
          <w:tcPr>
            <w:tcW w:w="240" w:type="dxa"/>
            <w:vAlign w:val="bottom"/>
          </w:tcPr>
          <w:p>
            <w:pPr>
              <w:spacing w:after="0"/>
              <w:rPr>
                <w:sz w:val="21"/>
                <w:szCs w:val="21"/>
                <w:color w:val="auto"/>
              </w:rPr>
            </w:pPr>
          </w:p>
        </w:tc>
        <w:tc>
          <w:tcPr>
            <w:tcW w:w="1480" w:type="dxa"/>
            <w:vAlign w:val="bottom"/>
          </w:tcPr>
          <w:p>
            <w:pPr>
              <w:jc w:val="center"/>
              <w:ind w:right="294"/>
              <w:spacing w:after="0"/>
              <w:rPr>
                <w:sz w:val="20"/>
                <w:szCs w:val="20"/>
                <w:color w:val="auto"/>
              </w:rPr>
            </w:pPr>
            <w:r>
              <w:rPr>
                <w:rFonts w:ascii="Arial" w:cs="Arial" w:eastAsia="Arial" w:hAnsi="Arial"/>
                <w:sz w:val="18"/>
                <w:szCs w:val="18"/>
                <w:color w:val="auto"/>
                <w:w w:val="85"/>
              </w:rPr>
              <w:t>June 30, 2017</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5"/>
              </w:rPr>
              <w:t>June 30, 2016</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5"/>
          </w:tcPr>
          <w:p>
            <w:pPr>
              <w:spacing w:after="0"/>
              <w:rPr>
                <w:sz w:val="20"/>
                <w:szCs w:val="20"/>
                <w:color w:val="auto"/>
              </w:rPr>
            </w:pPr>
            <w:r>
              <w:rPr>
                <w:rFonts w:ascii="Arial" w:cs="Arial" w:eastAsia="Arial" w:hAnsi="Arial"/>
                <w:sz w:val="18"/>
                <w:szCs w:val="18"/>
                <w:color w:val="auto"/>
              </w:rPr>
              <w:t>Personal Umbrella</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Percent ceded - first $1,000,000 of coverage</w:t>
            </w:r>
          </w:p>
        </w:tc>
        <w:tc>
          <w:tcPr>
            <w:tcW w:w="320" w:type="dxa"/>
            <w:vAlign w:val="bottom"/>
          </w:tcPr>
          <w:p>
            <w:pPr>
              <w:spacing w:after="0"/>
              <w:rPr>
                <w:sz w:val="18"/>
                <w:szCs w:val="18"/>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rPr>
              <w:t>Percent ceded - excess of $1,000,000 dollars of coverage</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Risk retained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100,000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rPr>
              <w:t>Total reinsurance coverage per occurrence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4,900,000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Expiration date</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293"/>
              <w:spacing w:after="0"/>
              <w:rPr>
                <w:sz w:val="20"/>
                <w:szCs w:val="20"/>
                <w:color w:val="auto"/>
              </w:rPr>
            </w:pPr>
            <w:r>
              <w:rPr>
                <w:rFonts w:ascii="Arial" w:cs="Arial" w:eastAsia="Arial" w:hAnsi="Arial"/>
                <w:sz w:val="18"/>
                <w:szCs w:val="18"/>
                <w:color w:val="auto"/>
                <w:w w:val="85"/>
              </w:rPr>
              <w:t>June 30, 2018</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85"/>
              </w:rPr>
              <w:t>June 30, 2017</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5"/>
              </w:rPr>
              <w:t>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5"/>
          </w:tcPr>
          <w:p>
            <w:pPr>
              <w:spacing w:after="0"/>
              <w:rPr>
                <w:sz w:val="20"/>
                <w:szCs w:val="20"/>
                <w:color w:val="auto"/>
              </w:rPr>
            </w:pPr>
            <w:r>
              <w:rPr>
                <w:rFonts w:ascii="Arial" w:cs="Arial" w:eastAsia="Arial" w:hAnsi="Arial"/>
                <w:sz w:val="18"/>
                <w:szCs w:val="18"/>
                <w:color w:val="auto"/>
              </w:rPr>
              <w:t>General liability commercial policies, except for commercial auto</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Percent ceded</w:t>
            </w: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21"/>
                <w:szCs w:val="21"/>
                <w:color w:val="auto"/>
              </w:rPr>
            </w:pPr>
          </w:p>
        </w:tc>
        <w:tc>
          <w:tcPr>
            <w:tcW w:w="1480" w:type="dxa"/>
            <w:vAlign w:val="bottom"/>
          </w:tcPr>
          <w:p>
            <w:pPr>
              <w:jc w:val="center"/>
              <w:ind w:right="294"/>
              <w:spacing w:after="0"/>
              <w:rPr>
                <w:sz w:val="20"/>
                <w:szCs w:val="20"/>
                <w:color w:val="auto"/>
              </w:rPr>
            </w:pPr>
            <w:r>
              <w:rPr>
                <w:rFonts w:ascii="Arial" w:cs="Arial" w:eastAsia="Arial" w:hAnsi="Arial"/>
                <w:sz w:val="18"/>
                <w:szCs w:val="18"/>
                <w:color w:val="auto"/>
                <w:w w:val="88"/>
              </w:rPr>
              <w:t>None</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rPr>
              <w:t>Risk retained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21"/>
                <w:szCs w:val="21"/>
                <w:color w:val="auto"/>
              </w:rPr>
            </w:pPr>
          </w:p>
        </w:tc>
        <w:tc>
          <w:tcPr>
            <w:tcW w:w="1480" w:type="dxa"/>
            <w:vAlign w:val="bottom"/>
          </w:tcPr>
          <w:p>
            <w:pPr>
              <w:jc w:val="center"/>
              <w:ind w:right="294"/>
              <w:spacing w:after="0"/>
              <w:rPr>
                <w:sz w:val="20"/>
                <w:szCs w:val="20"/>
                <w:color w:val="auto"/>
              </w:rPr>
            </w:pPr>
            <w:r>
              <w:rPr>
                <w:rFonts w:ascii="Arial" w:cs="Arial" w:eastAsia="Arial" w:hAnsi="Arial"/>
                <w:sz w:val="18"/>
                <w:szCs w:val="18"/>
                <w:color w:val="auto"/>
                <w:w w:val="88"/>
              </w:rPr>
              <w:t>None</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Excess of loss coverage above quota share coverage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6"/>
              </w:rPr>
              <w:t>in excess of</w:t>
            </w:r>
          </w:p>
        </w:tc>
        <w:tc>
          <w:tcPr>
            <w:tcW w:w="240" w:type="dxa"/>
            <w:vAlign w:val="bottom"/>
          </w:tcPr>
          <w:p>
            <w:pPr>
              <w:spacing w:after="0"/>
              <w:rPr>
                <w:sz w:val="21"/>
                <w:szCs w:val="21"/>
                <w:color w:val="auto"/>
              </w:rPr>
            </w:pPr>
          </w:p>
        </w:tc>
        <w:tc>
          <w:tcPr>
            <w:tcW w:w="1480" w:type="dxa"/>
            <w:vAlign w:val="bottom"/>
          </w:tcPr>
          <w:p>
            <w:pPr>
              <w:jc w:val="center"/>
              <w:ind w:right="314"/>
              <w:spacing w:after="0"/>
              <w:rPr>
                <w:sz w:val="20"/>
                <w:szCs w:val="20"/>
                <w:color w:val="auto"/>
              </w:rPr>
            </w:pPr>
            <w:r>
              <w:rPr>
                <w:rFonts w:ascii="Arial" w:cs="Arial" w:eastAsia="Arial" w:hAnsi="Arial"/>
                <w:sz w:val="18"/>
                <w:szCs w:val="18"/>
                <w:color w:val="auto"/>
                <w:w w:val="88"/>
              </w:rPr>
              <w:t>in excess of</w:t>
            </w:r>
          </w:p>
        </w:tc>
        <w:tc>
          <w:tcPr>
            <w:tcW w:w="220" w:type="dxa"/>
            <w:vAlign w:val="bottom"/>
          </w:tcPr>
          <w:p>
            <w:pPr>
              <w:spacing w:after="0"/>
              <w:rPr>
                <w:sz w:val="21"/>
                <w:szCs w:val="21"/>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6"/>
              </w:rPr>
              <w:t>in excess of</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3,750,000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4,000,000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Losses per occurrence subject to reinsurance coverage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4,500,000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Quota share treaty:</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rPr>
              <w:t>Percent ceded - first $1,000,000 of coverage</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Percent ceded - excess of $1,000,000 of coverage</w:t>
            </w:r>
          </w:p>
        </w:tc>
        <w:tc>
          <w:tcPr>
            <w:tcW w:w="320" w:type="dxa"/>
            <w:vAlign w:val="bottom"/>
          </w:tcPr>
          <w:p>
            <w:pPr>
              <w:spacing w:after="0"/>
              <w:rPr>
                <w:sz w:val="18"/>
                <w:szCs w:val="18"/>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rPr>
              <w:t>Risk retained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480"/>
              <w:spacing w:after="0"/>
              <w:rPr>
                <w:sz w:val="20"/>
                <w:szCs w:val="20"/>
                <w:color w:val="auto"/>
              </w:rPr>
            </w:pPr>
            <w:r>
              <w:rPr>
                <w:rFonts w:ascii="Arial" w:cs="Arial" w:eastAsia="Arial" w:hAnsi="Arial"/>
                <w:sz w:val="18"/>
                <w:szCs w:val="18"/>
                <w:color w:val="auto"/>
              </w:rPr>
              <w:t>Total reinsurance coverage per occurrence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4,900,000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4,900,000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Expiration date</w:t>
            </w:r>
          </w:p>
        </w:tc>
        <w:tc>
          <w:tcPr>
            <w:tcW w:w="320" w:type="dxa"/>
            <w:vAlign w:val="bottom"/>
          </w:tcPr>
          <w:p>
            <w:pPr>
              <w:spacing w:after="0"/>
              <w:rPr>
                <w:sz w:val="21"/>
                <w:szCs w:val="21"/>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5"/>
              </w:rPr>
              <w:t>June 30, 2018</w:t>
            </w:r>
          </w:p>
        </w:tc>
        <w:tc>
          <w:tcPr>
            <w:tcW w:w="240" w:type="dxa"/>
            <w:vAlign w:val="bottom"/>
          </w:tcPr>
          <w:p>
            <w:pPr>
              <w:spacing w:after="0"/>
              <w:rPr>
                <w:sz w:val="21"/>
                <w:szCs w:val="21"/>
                <w:color w:val="auto"/>
              </w:rPr>
            </w:pPr>
          </w:p>
        </w:tc>
        <w:tc>
          <w:tcPr>
            <w:tcW w:w="1480" w:type="dxa"/>
            <w:vAlign w:val="bottom"/>
          </w:tcPr>
          <w:p>
            <w:pPr>
              <w:jc w:val="center"/>
              <w:ind w:right="294"/>
              <w:spacing w:after="0"/>
              <w:rPr>
                <w:sz w:val="20"/>
                <w:szCs w:val="20"/>
                <w:color w:val="auto"/>
              </w:rPr>
            </w:pPr>
            <w:r>
              <w:rPr>
                <w:rFonts w:ascii="Arial" w:cs="Arial" w:eastAsia="Arial" w:hAnsi="Arial"/>
                <w:sz w:val="18"/>
                <w:szCs w:val="18"/>
                <w:color w:val="auto"/>
                <w:w w:val="85"/>
              </w:rPr>
              <w:t>June 30, 2017</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60" w:type="dxa"/>
            <w:vAlign w:val="bottom"/>
            <w:gridSpan w:val="5"/>
          </w:tcPr>
          <w:p>
            <w:pPr>
              <w:spacing w:after="0" w:line="176" w:lineRule="exact"/>
              <w:rPr>
                <w:sz w:val="20"/>
                <w:szCs w:val="20"/>
                <w:color w:val="auto"/>
              </w:rPr>
            </w:pPr>
            <w:r>
              <w:rPr>
                <w:rFonts w:ascii="Arial" w:cs="Arial" w:eastAsia="Arial" w:hAnsi="Arial"/>
                <w:sz w:val="18"/>
                <w:szCs w:val="18"/>
                <w:color w:val="auto"/>
              </w:rPr>
              <w:t>Commercial Auto:</w:t>
            </w: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Risk retained</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Excess of loss coverage in excess of risk retained</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6"/>
              </w:rPr>
              <w:t>in excess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Catastrophe Reinsurance:</w:t>
            </w: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Initial loss subject to personal lines quota share treaty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Risk retained per catastrophe occurrence (2)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Catastrophe loss coverage in excess of quota share coverage (3) (4)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315,000,000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247,000,000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176,000,000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Severe winter weather aggregate (4)</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No</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314"/>
              <w:spacing w:after="0"/>
              <w:rPr>
                <w:sz w:val="20"/>
                <w:szCs w:val="20"/>
                <w:color w:val="auto"/>
              </w:rPr>
            </w:pPr>
            <w:r>
              <w:rPr>
                <w:rFonts w:ascii="Arial" w:cs="Arial" w:eastAsia="Arial" w:hAnsi="Arial"/>
                <w:sz w:val="18"/>
                <w:szCs w:val="18"/>
                <w:color w:val="auto"/>
                <w:w w:val="86"/>
              </w:rPr>
              <w:t>No</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gridSpan w:val="5"/>
          </w:tcPr>
          <w:p>
            <w:pPr>
              <w:ind w:left="160"/>
              <w:spacing w:after="0"/>
              <w:rPr>
                <w:sz w:val="20"/>
                <w:szCs w:val="20"/>
                <w:color w:val="auto"/>
              </w:rPr>
            </w:pPr>
            <w:r>
              <w:rPr>
                <w:rFonts w:ascii="Arial" w:cs="Arial" w:eastAsia="Arial" w:hAnsi="Arial"/>
                <w:sz w:val="18"/>
                <w:szCs w:val="18"/>
                <w:color w:val="auto"/>
              </w:rPr>
              <w:t>Reinstatement premium protection (5)</w:t>
            </w:r>
          </w:p>
        </w:tc>
        <w:tc>
          <w:tcPr>
            <w:tcW w:w="320" w:type="dxa"/>
            <w:vAlign w:val="bottom"/>
          </w:tcPr>
          <w:p>
            <w:pPr>
              <w:spacing w:after="0"/>
              <w:rPr>
                <w:sz w:val="20"/>
                <w:szCs w:val="20"/>
                <w:color w:val="auto"/>
              </w:rPr>
            </w:pPr>
          </w:p>
        </w:tc>
        <w:tc>
          <w:tcPr>
            <w:tcW w:w="1480" w:type="dxa"/>
            <w:vAlign w:val="bottom"/>
          </w:tcPr>
          <w:p>
            <w:pPr>
              <w:jc w:val="center"/>
              <w:ind w:right="293"/>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20"/>
                <w:szCs w:val="20"/>
                <w:color w:val="auto"/>
              </w:rPr>
            </w:pPr>
          </w:p>
        </w:tc>
        <w:tc>
          <w:tcPr>
            <w:tcW w:w="1480" w:type="dxa"/>
            <w:vAlign w:val="bottom"/>
          </w:tcPr>
          <w:p>
            <w:pPr>
              <w:jc w:val="center"/>
              <w:ind w:right="314"/>
              <w:spacing w:after="0"/>
              <w:rPr>
                <w:sz w:val="20"/>
                <w:szCs w:val="20"/>
                <w:color w:val="auto"/>
              </w:rPr>
            </w:pPr>
            <w:r>
              <w:rPr>
                <w:rFonts w:ascii="Arial" w:cs="Arial" w:eastAsia="Arial" w:hAnsi="Arial"/>
                <w:sz w:val="18"/>
                <w:szCs w:val="18"/>
                <w:color w:val="auto"/>
                <w:w w:val="77"/>
              </w:rPr>
              <w:t>Yes</w:t>
            </w:r>
          </w:p>
        </w:tc>
        <w:tc>
          <w:tcPr>
            <w:tcW w:w="220" w:type="dxa"/>
            <w:vAlign w:val="bottom"/>
          </w:tcPr>
          <w:p>
            <w:pPr>
              <w:spacing w:after="0"/>
              <w:rPr>
                <w:sz w:val="20"/>
                <w:szCs w:val="20"/>
                <w:color w:val="auto"/>
              </w:rPr>
            </w:pPr>
          </w:p>
        </w:tc>
        <w:tc>
          <w:tcPr>
            <w:tcW w:w="1400" w:type="dxa"/>
            <w:vAlign w:val="bottom"/>
          </w:tcPr>
          <w:p>
            <w:pPr>
              <w:jc w:val="center"/>
              <w:ind w:right="213"/>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F-29</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11" w:name="page112"/>
    <w:bookmarkEnd w:id="11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ind w:left="340" w:hanging="332"/>
        <w:spacing w:after="0" w:line="25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9"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From July 1, 2015 through June 30, 2016, the catastrophe treaty also covered losses caused by severe winter weather during any consecutive 28 day period.</w:t>
      </w:r>
    </w:p>
    <w:p>
      <w:pPr>
        <w:spacing w:after="0" w:line="43" w:lineRule="exact"/>
        <w:rPr>
          <w:rFonts w:ascii="Arial" w:cs="Arial" w:eastAsia="Arial" w:hAnsi="Arial"/>
          <w:sz w:val="15"/>
          <w:szCs w:val="15"/>
          <w:color w:val="auto"/>
        </w:rPr>
      </w:pPr>
    </w:p>
    <w:p>
      <w:pPr>
        <w:ind w:left="340" w:hanging="332"/>
        <w:spacing w:after="0" w:line="261"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2017, reinstatement premium protection for $145,000,000 of catastrophe coverage in excess of $5,000,000.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single maximum risks per occurrence to which the Company is subject under the new treaties effective July 1, 2017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860" w:type="dxa"/>
            <w:vAlign w:val="bottom"/>
            <w:vMerge w:val="restart"/>
          </w:tcPr>
          <w:p>
            <w:pPr>
              <w:ind w:left="1220"/>
              <w:spacing w:after="0"/>
              <w:rPr>
                <w:sz w:val="20"/>
                <w:szCs w:val="20"/>
                <w:color w:val="auto"/>
              </w:rPr>
            </w:pPr>
            <w:r>
              <w:rPr>
                <w:rFonts w:ascii="Arial" w:cs="Arial" w:eastAsia="Arial" w:hAnsi="Arial"/>
                <w:sz w:val="15"/>
                <w:szCs w:val="15"/>
                <w:b w:val="1"/>
                <w:bCs w:val="1"/>
                <w:color w:val="auto"/>
              </w:rPr>
              <w:t>Treaty</w:t>
            </w:r>
          </w:p>
        </w:tc>
        <w:tc>
          <w:tcPr>
            <w:tcW w:w="560" w:type="dxa"/>
            <w:vAlign w:val="bottom"/>
            <w:vMerge w:val="restart"/>
          </w:tcPr>
          <w:p>
            <w:pPr>
              <w:spacing w:after="0"/>
              <w:rPr>
                <w:sz w:val="15"/>
                <w:szCs w:val="15"/>
                <w:color w:val="auto"/>
              </w:rPr>
            </w:pPr>
          </w:p>
        </w:tc>
        <w:tc>
          <w:tcPr>
            <w:tcW w:w="2940" w:type="dxa"/>
            <w:vAlign w:val="bottom"/>
          </w:tcPr>
          <w:p>
            <w:pPr>
              <w:spacing w:after="0"/>
              <w:rPr>
                <w:sz w:val="15"/>
                <w:szCs w:val="15"/>
                <w:color w:val="auto"/>
              </w:rPr>
            </w:pPr>
          </w:p>
        </w:tc>
        <w:tc>
          <w:tcPr>
            <w:tcW w:w="5060" w:type="dxa"/>
            <w:vAlign w:val="bottom"/>
            <w:gridSpan w:val="4"/>
          </w:tcPr>
          <w:p>
            <w:pPr>
              <w:ind w:left="180"/>
              <w:spacing w:after="0"/>
              <w:rPr>
                <w:sz w:val="20"/>
                <w:szCs w:val="20"/>
                <w:color w:val="auto"/>
              </w:rPr>
            </w:pPr>
            <w:r>
              <w:rPr>
                <w:rFonts w:ascii="Arial" w:cs="Arial" w:eastAsia="Arial" w:hAnsi="Arial"/>
                <w:sz w:val="15"/>
                <w:szCs w:val="15"/>
                <w:b w:val="1"/>
                <w:bCs w:val="1"/>
                <w:color w:val="auto"/>
              </w:rPr>
              <w:t>July 1, 2017 - June 30, 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940" w:type="dxa"/>
            <w:vAlign w:val="bottom"/>
            <w:tcBorders>
              <w:top w:val="single" w:sz="8" w:color="auto"/>
              <w:bottom w:val="single" w:sz="8" w:color="auto"/>
            </w:tcBorders>
          </w:tcPr>
          <w:p>
            <w:pPr>
              <w:ind w:left="1860"/>
              <w:spacing w:after="0" w:line="162" w:lineRule="exact"/>
              <w:rPr>
                <w:sz w:val="20"/>
                <w:szCs w:val="20"/>
                <w:color w:val="auto"/>
              </w:rPr>
            </w:pPr>
            <w:r>
              <w:rPr>
                <w:rFonts w:ascii="Arial" w:cs="Arial" w:eastAsia="Arial" w:hAnsi="Arial"/>
                <w:sz w:val="15"/>
                <w:szCs w:val="15"/>
                <w:b w:val="1"/>
                <w:bCs w:val="1"/>
                <w:color w:val="auto"/>
              </w:rPr>
              <w:t>Range of Loss</w:t>
            </w:r>
          </w:p>
        </w:tc>
        <w:tc>
          <w:tcPr>
            <w:tcW w:w="16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840" w:type="dxa"/>
            <w:vAlign w:val="bottom"/>
            <w:tcBorders>
              <w:top w:val="single" w:sz="8" w:color="auto"/>
              <w:bottom w:val="single" w:sz="8" w:color="auto"/>
            </w:tcBorders>
          </w:tcPr>
          <w:p>
            <w:pPr>
              <w:jc w:val="right"/>
              <w:ind w:right="874"/>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 (1)</w:t>
            </w: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$1,000,000 - $10,000,000</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None(2)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$10,000,000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$750,000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$750,000 - $4,500,000</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(4)</w:t>
            </w: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$5,000,000 - $320,000,000</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$320,000,000</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Two year treaty with expiration date of June 30, 2019.</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Covered by excess of loss treaties up to $3,500,000 and by facultative facility from $3,500,000 to $10,000,000.</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single maximum risks per occurrence to which the Company is subject under the treaties that expired on June 30, 2017 and 2016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Borders>
              <w:bottom w:val="single" w:sz="8" w:color="auto"/>
            </w:tcBorders>
            <w:gridSpan w:val="3"/>
          </w:tcPr>
          <w:p>
            <w:pPr>
              <w:ind w:left="1360"/>
              <w:spacing w:after="0"/>
              <w:rPr>
                <w:sz w:val="20"/>
                <w:szCs w:val="20"/>
                <w:color w:val="auto"/>
              </w:rPr>
            </w:pPr>
            <w:r>
              <w:rPr>
                <w:rFonts w:ascii="Arial" w:cs="Arial" w:eastAsia="Arial" w:hAnsi="Arial"/>
                <w:sz w:val="15"/>
                <w:szCs w:val="15"/>
                <w:b w:val="1"/>
                <w:bCs w:val="1"/>
                <w:color w:val="auto"/>
                <w:w w:val="95"/>
              </w:rPr>
              <w:t>July 1, 2016 - June 30, 2017</w:t>
            </w: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3"/>
          </w:tcPr>
          <w:p>
            <w:pPr>
              <w:ind w:left="1400"/>
              <w:spacing w:after="0"/>
              <w:rPr>
                <w:sz w:val="20"/>
                <w:szCs w:val="20"/>
                <w:color w:val="auto"/>
              </w:rPr>
            </w:pPr>
            <w:r>
              <w:rPr>
                <w:rFonts w:ascii="Arial" w:cs="Arial" w:eastAsia="Arial" w:hAnsi="Arial"/>
                <w:sz w:val="15"/>
                <w:szCs w:val="15"/>
                <w:b w:val="1"/>
                <w:bCs w:val="1"/>
                <w:color w:val="auto"/>
                <w:w w:val="93"/>
              </w:rPr>
              <w:t>July 1, 2015 - June 30, 2016</w:t>
            </w: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Treaty</w:t>
            </w:r>
          </w:p>
        </w:tc>
        <w:tc>
          <w:tcPr>
            <w:tcW w:w="220" w:type="dxa"/>
            <w:vAlign w:val="bottom"/>
          </w:tcPr>
          <w:p>
            <w:pPr>
              <w:spacing w:after="0"/>
              <w:rPr>
                <w:sz w:val="17"/>
                <w:szCs w:val="17"/>
                <w:color w:val="auto"/>
              </w:rPr>
            </w:pPr>
          </w:p>
        </w:tc>
        <w:tc>
          <w:tcPr>
            <w:tcW w:w="2980" w:type="dxa"/>
            <w:vAlign w:val="bottom"/>
            <w:tcBorders>
              <w:bottom w:val="single" w:sz="8" w:color="auto"/>
            </w:tcBorders>
          </w:tcPr>
          <w:p>
            <w:pPr>
              <w:ind w:left="1060"/>
              <w:spacing w:after="0"/>
              <w:rPr>
                <w:sz w:val="20"/>
                <w:szCs w:val="20"/>
                <w:color w:val="auto"/>
              </w:rPr>
            </w:pPr>
            <w:r>
              <w:rPr>
                <w:rFonts w:ascii="Arial" w:cs="Arial" w:eastAsia="Arial" w:hAnsi="Arial"/>
                <w:sz w:val="15"/>
                <w:szCs w:val="15"/>
                <w:b w:val="1"/>
                <w:bCs w:val="1"/>
                <w:color w:val="auto"/>
              </w:rPr>
              <w:t>Range of Loss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5"/>
                <w:szCs w:val="15"/>
                <w:b w:val="1"/>
                <w:bCs w:val="1"/>
                <w:color w:val="auto"/>
              </w:rPr>
              <w:t>Risk Retained</w:t>
            </w:r>
          </w:p>
        </w:tc>
        <w:tc>
          <w:tcPr>
            <w:tcW w:w="220" w:type="dxa"/>
            <w:vAlign w:val="bottom"/>
          </w:tcPr>
          <w:p>
            <w:pPr>
              <w:spacing w:after="0"/>
              <w:rPr>
                <w:sz w:val="17"/>
                <w:szCs w:val="17"/>
                <w:color w:val="auto"/>
              </w:rPr>
            </w:pPr>
          </w:p>
        </w:tc>
        <w:tc>
          <w:tcPr>
            <w:tcW w:w="2960" w:type="dxa"/>
            <w:vAlign w:val="bottom"/>
            <w:tcBorders>
              <w:bottom w:val="single" w:sz="8" w:color="auto"/>
            </w:tcBorders>
          </w:tcPr>
          <w:p>
            <w:pPr>
              <w:ind w:left="1060"/>
              <w:spacing w:after="0"/>
              <w:rPr>
                <w:sz w:val="20"/>
                <w:szCs w:val="20"/>
                <w:color w:val="auto"/>
              </w:rPr>
            </w:pPr>
            <w:r>
              <w:rPr>
                <w:rFonts w:ascii="Arial" w:cs="Arial" w:eastAsia="Arial" w:hAnsi="Arial"/>
                <w:sz w:val="15"/>
                <w:szCs w:val="15"/>
                <w:b w:val="1"/>
                <w:bCs w:val="1"/>
                <w:color w:val="auto"/>
              </w:rPr>
              <w:t>Range of Loss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5"/>
                <w:szCs w:val="15"/>
                <w:b w:val="1"/>
                <w:bCs w:val="1"/>
                <w:color w:val="auto"/>
                <w:w w:val="96"/>
              </w:rPr>
              <w:t>Risk Retained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$833,333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$750,000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$833,333 - $4,500,000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None(1)</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$750,000 - $4,500,000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None(1)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$1,000,000 - $3,000,000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$3,000,000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$500,000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$425,000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$500,000 - $4,500,000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None(1)</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$425,000 - $4,500,000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None(1)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(2)</w:t>
            </w: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$5,000,000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$5,000,000 - $252,000,000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$4,000,000 - $180,000,000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$252,000,000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$180,000,000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3" w:name="page114"/>
    <w:bookmarkEnd w:id="11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Approximate reinsurance recoverables on unpaid and paid losses by reinsurer at December 31, 2017 and 2016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5"/>
                <w:szCs w:val="15"/>
                <w:b w:val="1"/>
                <w:bCs w:val="1"/>
                <w:color w:val="auto"/>
              </w:rPr>
              <w:t>Unpaid</w:t>
            </w:r>
          </w:p>
        </w:tc>
        <w:tc>
          <w:tcPr>
            <w:tcW w:w="340" w:type="dxa"/>
            <w:vAlign w:val="bottom"/>
          </w:tcPr>
          <w:p>
            <w:pPr>
              <w:spacing w:after="0"/>
              <w:rPr>
                <w:sz w:val="14"/>
                <w:szCs w:val="14"/>
                <w:color w:val="auto"/>
              </w:rPr>
            </w:pPr>
          </w:p>
        </w:tc>
        <w:tc>
          <w:tcPr>
            <w:tcW w:w="1020" w:type="dxa"/>
            <w:vAlign w:val="bottom"/>
          </w:tcPr>
          <w:p>
            <w:pPr>
              <w:jc w:val="right"/>
              <w:ind w:right="454"/>
              <w:spacing w:after="0"/>
              <w:rPr>
                <w:sz w:val="20"/>
                <w:szCs w:val="20"/>
                <w:color w:val="auto"/>
              </w:rPr>
            </w:pPr>
            <w:r>
              <w:rPr>
                <w:rFonts w:ascii="Arial" w:cs="Arial" w:eastAsia="Arial" w:hAnsi="Arial"/>
                <w:sz w:val="15"/>
                <w:szCs w:val="15"/>
                <w:b w:val="1"/>
                <w:bCs w:val="1"/>
                <w:color w:val="auto"/>
              </w:rPr>
              <w:t>Paid</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Arial" w:cs="Arial" w:eastAsia="Arial" w:hAnsi="Arial"/>
                <w:sz w:val="15"/>
                <w:szCs w:val="15"/>
                <w:b w:val="1"/>
                <w:bCs w:val="1"/>
                <w:color w:val="auto"/>
              </w:rPr>
              <w:t>($ in thousands)</w:t>
            </w:r>
          </w:p>
        </w:tc>
        <w:tc>
          <w:tcPr>
            <w:tcW w:w="340" w:type="dxa"/>
            <w:vAlign w:val="bottom"/>
          </w:tcPr>
          <w:p>
            <w:pPr>
              <w:spacing w:after="0"/>
              <w:rPr>
                <w:sz w:val="15"/>
                <w:szCs w:val="15"/>
                <w:color w:val="auto"/>
              </w:rPr>
            </w:pPr>
          </w:p>
        </w:tc>
        <w:tc>
          <w:tcPr>
            <w:tcW w:w="1020" w:type="dxa"/>
            <w:vAlign w:val="bottom"/>
          </w:tcPr>
          <w:p>
            <w:pPr>
              <w:jc w:val="right"/>
              <w:ind w:right="394"/>
              <w:spacing w:after="0"/>
              <w:rPr>
                <w:sz w:val="20"/>
                <w:szCs w:val="20"/>
                <w:color w:val="auto"/>
              </w:rPr>
            </w:pPr>
            <w:r>
              <w:rPr>
                <w:rFonts w:ascii="Arial" w:cs="Arial" w:eastAsia="Arial" w:hAnsi="Arial"/>
                <w:sz w:val="15"/>
                <w:szCs w:val="15"/>
                <w:b w:val="1"/>
                <w:bCs w:val="1"/>
                <w:color w:val="auto"/>
              </w:rPr>
              <w:t>Losses</w:t>
            </w:r>
          </w:p>
        </w:tc>
        <w:tc>
          <w:tcPr>
            <w:tcW w:w="340" w:type="dxa"/>
            <w:vAlign w:val="bottom"/>
          </w:tcPr>
          <w:p>
            <w:pPr>
              <w:spacing w:after="0"/>
              <w:rPr>
                <w:sz w:val="15"/>
                <w:szCs w:val="15"/>
                <w:color w:val="auto"/>
              </w:rPr>
            </w:pPr>
          </w:p>
        </w:tc>
        <w:tc>
          <w:tcPr>
            <w:tcW w:w="1020" w:type="dxa"/>
            <w:vAlign w:val="bottom"/>
          </w:tcPr>
          <w:p>
            <w:pPr>
              <w:jc w:val="right"/>
              <w:ind w:right="394"/>
              <w:spacing w:after="0"/>
              <w:rPr>
                <w:sz w:val="20"/>
                <w:szCs w:val="20"/>
                <w:color w:val="auto"/>
              </w:rPr>
            </w:pPr>
            <w:r>
              <w:rPr>
                <w:rFonts w:ascii="Arial" w:cs="Arial" w:eastAsia="Arial" w:hAnsi="Arial"/>
                <w:sz w:val="15"/>
                <w:szCs w:val="15"/>
                <w:b w:val="1"/>
                <w:bCs w:val="1"/>
                <w:color w:val="auto"/>
              </w:rPr>
              <w:t>Losses</w:t>
            </w:r>
          </w:p>
        </w:tc>
        <w:tc>
          <w:tcPr>
            <w:tcW w:w="380" w:type="dxa"/>
            <w:vAlign w:val="bottom"/>
          </w:tcPr>
          <w:p>
            <w:pPr>
              <w:spacing w:after="0"/>
              <w:rPr>
                <w:sz w:val="15"/>
                <w:szCs w:val="15"/>
                <w:color w:val="auto"/>
              </w:rPr>
            </w:pPr>
          </w:p>
        </w:tc>
        <w:tc>
          <w:tcPr>
            <w:tcW w:w="980" w:type="dxa"/>
            <w:vAlign w:val="bottom"/>
          </w:tcPr>
          <w:p>
            <w:pPr>
              <w:jc w:val="right"/>
              <w:ind w:right="433"/>
              <w:spacing w:after="0"/>
              <w:rPr>
                <w:sz w:val="20"/>
                <w:szCs w:val="20"/>
                <w:color w:val="auto"/>
              </w:rPr>
            </w:pPr>
            <w:r>
              <w:rPr>
                <w:rFonts w:ascii="Arial" w:cs="Arial" w:eastAsia="Arial" w:hAnsi="Arial"/>
                <w:sz w:val="15"/>
                <w:szCs w:val="15"/>
                <w:b w:val="1"/>
                <w:bCs w:val="1"/>
                <w:color w:val="auto"/>
              </w:rPr>
              <w:t>Total</w:t>
            </w:r>
          </w:p>
        </w:tc>
        <w:tc>
          <w:tcPr>
            <w:tcW w:w="360" w:type="dxa"/>
            <w:vAlign w:val="bottom"/>
          </w:tcPr>
          <w:p>
            <w:pPr>
              <w:spacing w:after="0"/>
              <w:rPr>
                <w:sz w:val="15"/>
                <w:szCs w:val="15"/>
                <w:color w:val="auto"/>
              </w:rPr>
            </w:pPr>
          </w:p>
        </w:tc>
        <w:tc>
          <w:tcPr>
            <w:tcW w:w="960" w:type="dxa"/>
            <w:vAlign w:val="bottom"/>
          </w:tcPr>
          <w:p>
            <w:pPr>
              <w:jc w:val="right"/>
              <w:ind w:right="213"/>
              <w:spacing w:after="0"/>
              <w:rPr>
                <w:sz w:val="20"/>
                <w:szCs w:val="20"/>
                <w:color w:val="auto"/>
              </w:rPr>
            </w:pPr>
            <w:r>
              <w:rPr>
                <w:rFonts w:ascii="Arial" w:cs="Arial" w:eastAsia="Arial" w:hAnsi="Arial"/>
                <w:sz w:val="15"/>
                <w:szCs w:val="15"/>
                <w:b w:val="1"/>
                <w:bCs w:val="1"/>
                <w:color w:val="auto"/>
              </w:rPr>
              <w:t>Security</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Maiden Reinsurace Company</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8,160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968</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9,128</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Reinsurance America Corporation</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4,299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4,899</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SCOR Reinsurance Company</w:t>
            </w:r>
          </w:p>
        </w:tc>
        <w:tc>
          <w:tcPr>
            <w:tcW w:w="3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851</w:t>
            </w:r>
          </w:p>
        </w:tc>
        <w:tc>
          <w:tcPr>
            <w:tcW w:w="3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1,060</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Allied World Assurance Company</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1,649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1,837</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Others</w:t>
            </w:r>
          </w:p>
        </w:tc>
        <w:tc>
          <w:tcPr>
            <w:tcW w:w="34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1,789</w:t>
            </w:r>
          </w:p>
        </w:tc>
        <w:tc>
          <w:tcPr>
            <w:tcW w:w="34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568</w:t>
            </w:r>
          </w:p>
        </w:tc>
        <w:tc>
          <w:tcPr>
            <w:tcW w:w="3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2,357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16,748</w:t>
            </w:r>
          </w:p>
        </w:tc>
        <w:tc>
          <w:tcPr>
            <w:tcW w:w="3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2,533</w:t>
            </w:r>
          </w:p>
        </w:tc>
        <w:tc>
          <w:tcPr>
            <w:tcW w:w="3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19,281</w:t>
            </w:r>
          </w:p>
        </w:tc>
        <w:tc>
          <w:tcPr>
            <w:tcW w:w="3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Maiden Reinsurace Company</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7,640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985</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8,625</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Reinsurance America Corporation</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4,310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4,981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SCOR Reinsurance Company</w:t>
            </w:r>
          </w:p>
        </w:tc>
        <w:tc>
          <w:tcPr>
            <w:tcW w:w="3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1,440</w:t>
            </w:r>
          </w:p>
        </w:tc>
        <w:tc>
          <w:tcPr>
            <w:tcW w:w="3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1,592</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Allied World Assurance Company</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Others</w:t>
            </w:r>
          </w:p>
        </w:tc>
        <w:tc>
          <w:tcPr>
            <w:tcW w:w="34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1,995</w:t>
            </w:r>
          </w:p>
        </w:tc>
        <w:tc>
          <w:tcPr>
            <w:tcW w:w="34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2,206</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15,777</w:t>
            </w:r>
          </w:p>
        </w:tc>
        <w:tc>
          <w:tcPr>
            <w:tcW w:w="3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2,319</w:t>
            </w:r>
          </w:p>
        </w:tc>
        <w:tc>
          <w:tcPr>
            <w:tcW w:w="3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18,096</w:t>
            </w:r>
          </w:p>
        </w:tc>
        <w:tc>
          <w:tcPr>
            <w:tcW w:w="3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Secured pursuant to collateralized trust agreements.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$202,000 secured pursuant to collateralized trust agreement and $3,000 guaranteed by an irrevocable letter of credit.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$161,000 secured pursuant to collateralized trust agreement and $3,000 guaranteed by an irrevocable letter of credit</w:t>
      </w:r>
    </w:p>
    <w:p>
      <w:pPr>
        <w:spacing w:after="0" w:line="15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Assets held in the trusts referred to in footnotes (1) to (3) in the table above are not included in the Company’s invested assets and investment income earned on these assets is credited to the two reinsurers respectively. In addition to reinsurance recoverables on unpaid and paid losses, reinsurance receivables in the accompanying consolidated balance sheets as of December 31, 2017 and 2016 include unearned ceded premiums of $9,237,180 and $14,101,745,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Company’s estimated ultimate treaty year loss ratios (“Loss Ratio(s)”) for treaties in effect for the year ended December 31, 2017 are attributable to contracts for the 2017/2019 Treaty and the 2016/2017 Treaty. The Company’s estimated ultimate treaty year Loss Ratios for treaties in effect for the year ended December 31, 2016 are attributable to contracts for the 2016/2017 Treaty and the 2015/2016 Treaty.</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30" w:right="199" w:bottom="1440" w:gutter="0" w:footer="0" w:header="0"/>
        </w:sectPr>
      </w:pPr>
    </w:p>
    <w:bookmarkStart w:id="114" w:name="page115"/>
    <w:bookmarkEnd w:id="11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Treaties in effect for the year ended December 31, 2017</w:t>
      </w:r>
    </w:p>
    <w:p>
      <w:pPr>
        <w:spacing w:after="0" w:line="22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Under the 2017/2019 Treaty, the Company receives, and under the 2016/2017 Treaty, the Company received, an upfront fixed provisional rate that is subject to a sliding scale contingent adjustment based upon Loss Ratio. Under this arrangement, the Company earns and earned provisional ceding commissions that are subject to later adjustment dependent on changes to the estimated Loss Ratio for the 2017/2019 Treaty and 2016/2017 Treaty. The Company’s Loss Ratios for the period July 1, 2017 through December 31, 2017 attributable to the 2017/2019 Treaty, and from July 1, 2016 through December 31, 2017 attributable to the 2016/2017 Treaty, were consistent with the contractual Loss Ratio at which the provisional ceding commissions were earned and therefore no additional contingent commission was recorded for the year ended December 31, 2017 with respect to these treaties.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Treaties in effect for the year ended December 31, 2016</w:t>
      </w:r>
    </w:p>
    <w:p>
      <w:pPr>
        <w:spacing w:after="0" w:line="22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Under the 2016/2017 Treaty and the 2015/2016 Treaty, the Company received an upfront fixed provisional rate that was subject to a sliding scale contingent rate adjustment based on Loss Ratio. Under this arrangement, the Company earned provisional ceding commissions that were subject to later adjustment dependent on changes to the estimated Loss Ratio for the 2016/2017 Treaty and 2015/2016 Treaty. The Company’s Loss Ratio for the period July 1, 2016 through December 31, 2016 attributable to the 2016/2017 Treaty, were consistent with the contractual Loss Ratio at which provisional ceding commissions were earned and therefore no additional contingent commission was recorded for the year ended December 31, 2016 with respect to this treaty. The Company’s Loss Ratio for the period July 1, 2015 through December 31, 2016 attributable to the 2015/2016 Treaty were higher than the contractual Loss Ratio at which provisional ceding commissions were earned. Accordingly, for the year ended December 31, 2016, the Company’s contingent ceding commission earned was reduced as a result of the estimated Loss Ratio for the 2015/2016 Treaty.</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to the treaties that were in effect for the years ended December 31, 2017 and 2016, the Loss Ratios from prior years’ treaties are subject to change as loss reserves from those periods increase or decrease, resulting in an increase or decrease in the commission rate and contingent ceding commissions earned.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commissions earned consists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5"/>
                <w:szCs w:val="15"/>
                <w:b w:val="1"/>
                <w:bCs w:val="1"/>
                <w:color w:val="auto"/>
              </w:rPr>
              <w:t>Years ended</w:t>
            </w:r>
          </w:p>
        </w:tc>
        <w:tc>
          <w:tcPr>
            <w:tcW w:w="9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7"/>
              </w:rPr>
              <w:t>10,677,214</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4"/>
              </w:rPr>
              <w:t>12,769,404</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(744,081)</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(1,501,163)</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9,933,133</w:t>
            </w:r>
          </w:p>
        </w:tc>
        <w:tc>
          <w:tcPr>
            <w:tcW w:w="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84"/>
              </w:rPr>
              <w:t>11,268,241</w:t>
            </w:r>
          </w:p>
        </w:tc>
      </w:tr>
    </w:tbl>
    <w:p>
      <w:pPr>
        <w:spacing w:after="0" w:line="20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December 31, 2017 and 2016, net contingent ceding commissions payable to reinsurers under all treaties was approximately $1,850,000 and $773,000,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Deferred Policy Acquisition Costs and Deferred Ceding Commission Revenue</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Deferred policy acquisition costs incurred and policy-related ceding commission revenue are deferred and amortized to income on property and casualty insurance business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5"/>
                <w:szCs w:val="15"/>
                <w:b w:val="1"/>
                <w:bCs w:val="1"/>
                <w:color w:val="auto"/>
              </w:rPr>
              <w:t>Year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Arial" w:cs="Arial" w:eastAsia="Arial" w:hAnsi="Arial"/>
                <w:sz w:val="18"/>
                <w:szCs w:val="18"/>
                <w:color w:val="auto"/>
              </w:rPr>
              <w:t>Net deferred policy acquisition costs, net of ceding</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commission revenue, beginning of year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5,387,940</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4,400,238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incurred and deferred: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brokerage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23,093,880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19,566,982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underwriting and policy acquisition costs</w:t>
            </w:r>
          </w:p>
        </w:tc>
        <w:tc>
          <w:tcPr>
            <w:tcW w:w="30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6,669,904</w:t>
            </w:r>
          </w:p>
        </w:tc>
        <w:tc>
          <w:tcPr>
            <w:tcW w:w="34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5,470,285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Ceding commission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(8,091,785)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(13,186,177)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deferred policy acquisition costs</w:t>
            </w:r>
          </w:p>
        </w:tc>
        <w:tc>
          <w:tcPr>
            <w:tcW w:w="30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w w:val="99"/>
              </w:rPr>
              <w:t>21,671,999</w:t>
            </w:r>
          </w:p>
        </w:tc>
        <w:tc>
          <w:tcPr>
            <w:tcW w:w="34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3"/>
              </w:rPr>
              <w:t>11,851,090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Return of deferred ceding commission revenue due to reduction of quota share</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(3,648,859)</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4"/>
              </w:rPr>
              <w:t>(12,830,256)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(10,863,388)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5,192,884</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987,702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policy acquisition costs, net of ceding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commission revenue, end of year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10,580,824</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5,387,940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Ending balances for deferred policy acquisition costs and deferred ceding commission revenue as of December 31, 2017 and 2016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920" w:type="dxa"/>
            <w:vAlign w:val="bottom"/>
            <w:tcBorders>
              <w:bottom w:val="single" w:sz="8" w:color="auto"/>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7"/>
              </w:rPr>
              <w:t>14,847,236</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4"/>
              </w:rPr>
              <w:t>12,239,781</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ceding commission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(4,266,412)</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(6,851,841)</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7"/>
              </w:rPr>
              <w:t>10,580,824</w:t>
            </w:r>
          </w:p>
        </w:tc>
        <w:tc>
          <w:tcPr>
            <w:tcW w:w="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4"/>
              </w:rPr>
              <w:t>5,387,940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Debt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July 2017, KICO became a member of, and invested in, the Federal Home Loan Bank of New York (“FHLBNY”). The aggregate investment of dividend bearing common stock was $22,500 as of December 31, 2017.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December 31 of the previous year and are due and payable within one year of borrowing. The maximum allowable advance was approximately $9,849,000 as of December 31, 2017. Advances are limited to the amount of available collateral, which was approximately $6,703,000 as of December 31, 2017. There were no borrowings under this facility during the period ended December 31, 2017.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19, 2017, the Company issued $30 million of its 5.50% Senior Unsecured Notes due December 30, 2022 (the “Notes”) in an underwritten public offering. Interest will be payable semi-annually in arrears on June 30 and December 30 of each year, beginning on June 30 2018 at the rate of 5.50% per year from December 19, 2017. The net proceeds of the issuance were $29,121,630, net of discount of $163,200 and transaction costs of $715,170, for an effective yield of 5.67%. The balance of long-term debt as of December 31, 2017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30,000,000</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Discount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(162,209)</w:t>
            </w: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(710,826)</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29,126,965</w:t>
            </w: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2017, the Company used $25,000,000 of the net proceeds from the offering to contribute capital to KICO, to support additional growth. The remainder of the net proceeds will be used for general corporate purposes. A registration statement relating to the debt issued in the offering was filed with the Securities Exchange Commission (the “SEC”) and became effective on November 28,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7" w:name="page118"/>
    <w:bookmarkEnd w:id="11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Property and Equipment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are summarized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5"/>
                <w:szCs w:val="15"/>
                <w:b w:val="1"/>
                <w:bCs w:val="1"/>
                <w:color w:val="auto"/>
              </w:rPr>
              <w:t>Accumulated</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5"/>
                <w:szCs w:val="15"/>
                <w:b w:val="1"/>
                <w:bCs w:val="1"/>
                <w:color w:val="auto"/>
              </w:rPr>
              <w:t>Cost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Depreciation</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Building</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2,146,950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(460,819)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1,686,131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575,698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Furniture office equipment</w:t>
            </w:r>
          </w:p>
        </w:tc>
        <w:tc>
          <w:tcPr>
            <w:tcW w:w="3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707,524</w:t>
            </w:r>
          </w:p>
        </w:tc>
        <w:tc>
          <w:tcPr>
            <w:tcW w:w="2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(493,558)</w:t>
            </w:r>
          </w:p>
        </w:tc>
        <w:tc>
          <w:tcPr>
            <w:tcW w:w="36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4,657,174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(2,360,392)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2,296,782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Automobile</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20,298</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(20,298)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8,107,644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(3,335,067)</w:t>
            </w: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4,772,577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Building</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1,887,347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(381,039)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1,506,308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153,097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Furniture office equipment</w:t>
            </w:r>
          </w:p>
        </w:tc>
        <w:tc>
          <w:tcPr>
            <w:tcW w:w="3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620,440</w:t>
            </w:r>
          </w:p>
        </w:tc>
        <w:tc>
          <w:tcPr>
            <w:tcW w:w="2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(388,853)</w:t>
            </w:r>
          </w:p>
        </w:tc>
        <w:tc>
          <w:tcPr>
            <w:tcW w:w="36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231,587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2,602,330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(1,481,949)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1,120,381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Automobile</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81,394</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(81,394)</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5,344,608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(2,333,235)</w:t>
            </w: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3,011,373</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2017 and 2016 was $1,062,928 and $717,105,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Property and Casualty Insurance Activity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Premiums written, ceded and earned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Direct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4"/>
              </w:rPr>
              <w:t>Assumed</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Ceded</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Premiums written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w w:val="91"/>
              </w:rPr>
              <w:t>121,575,178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22,847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4"/>
              </w:rPr>
              <w:t>(28,729,149)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w w:val="99"/>
              </w:rPr>
              <w:t>92,868,876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5"/>
              </w:rPr>
              <w:t>(10,662,744)</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9,456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(4,864,565)</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(15,517,853)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Premiums earned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1"/>
              </w:rPr>
              <w:t>110,912,434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32,303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(33,593,714)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77,351,023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1"/>
              </w:rPr>
              <w:t>103,191,995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28,522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(37,294,330)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65,926,187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(6,110,225)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6,091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1,585,853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(4,518,281)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97,081,770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34,613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(35,708,477)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61,407,906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December 31, 2017 and 2016 was $1,477,693 and $1,421,560,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8" w:name="page119"/>
    <w:bookmarkEnd w:id="11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liability for loss and LAE expenses and related reinsurance receivables as of December 31, 2017 and 2016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35"/>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Pr>
          <w:p>
            <w:pPr>
              <w:spacing w:after="0"/>
              <w:rPr>
                <w:sz w:val="16"/>
                <w:szCs w:val="16"/>
                <w:color w:val="auto"/>
              </w:rPr>
            </w:pPr>
          </w:p>
        </w:tc>
        <w:tc>
          <w:tcPr>
            <w:tcW w:w="1100" w:type="dxa"/>
            <w:vAlign w:val="bottom"/>
          </w:tcPr>
          <w:p>
            <w:pPr>
              <w:jc w:val="center"/>
              <w:ind w:right="174"/>
              <w:spacing w:after="0"/>
              <w:rPr>
                <w:sz w:val="20"/>
                <w:szCs w:val="20"/>
                <w:color w:val="auto"/>
              </w:rPr>
            </w:pPr>
            <w:r>
              <w:rPr>
                <w:rFonts w:ascii="Arial" w:cs="Arial" w:eastAsia="Arial" w:hAnsi="Arial"/>
                <w:sz w:val="15"/>
                <w:szCs w:val="15"/>
                <w:b w:val="1"/>
                <w:bCs w:val="1"/>
                <w:color w:val="auto"/>
                <w:w w:val="88"/>
              </w:rPr>
              <w:t>Reinsurance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5"/>
              <w:spacing w:after="0"/>
              <w:rPr>
                <w:sz w:val="20"/>
                <w:szCs w:val="20"/>
                <w:color w:val="auto"/>
              </w:rPr>
            </w:pPr>
            <w:r>
              <w:rPr>
                <w:rFonts w:ascii="Arial" w:cs="Arial" w:eastAsia="Arial" w:hAnsi="Arial"/>
                <w:sz w:val="15"/>
                <w:szCs w:val="15"/>
                <w:b w:val="1"/>
                <w:bCs w:val="1"/>
                <w:color w:val="auto"/>
                <w:w w:val="95"/>
              </w:rPr>
              <w:t>Liability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5"/>
                <w:szCs w:val="15"/>
                <w:b w:val="1"/>
                <w:bCs w:val="1"/>
                <w:color w:val="auto"/>
                <w:w w:val="85"/>
              </w:rPr>
              <w:t>Receivables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Case-basis reserves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w w:val="99"/>
              </w:rPr>
              <w:t>30,499,592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11,987,693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adjustment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8,635,199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1,990,506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IBNR reserves</w:t>
            </w:r>
          </w:p>
        </w:tc>
        <w:tc>
          <w:tcPr>
            <w:tcW w:w="30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9,664,831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2,770,709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Recoverable on unpaid losses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16,748,908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Recoverable on paid losses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2,533,042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 and loss adjustment expenses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48,799,622</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19,281,950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Unearned premiums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9,237,180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reinsurance receivables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28,519,130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Case-basis reserves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w w:val="99"/>
              </w:rPr>
              <w:t>25,000,733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10,804,341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adjustment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7,752,617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1,893,094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IBNR reserves</w:t>
            </w:r>
          </w:p>
        </w:tc>
        <w:tc>
          <w:tcPr>
            <w:tcW w:w="30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8,983,369</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3,079,445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Recoverable on unpaid losses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15,776,880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Recoverable on paid losses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2,319,140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 and loss adjustment expenses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41,736,719</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18,096,020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Unearned premiums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14,101,745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reinsurance receivables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32,197,765</w:t>
            </w:r>
          </w:p>
        </w:tc>
        <w:tc>
          <w:tcPr>
            <w:tcW w:w="0" w:type="dxa"/>
            <w:vAlign w:val="bottom"/>
          </w:tcPr>
          <w:p>
            <w:pPr>
              <w:spacing w:after="0"/>
              <w:rPr>
                <w:sz w:val="1"/>
                <w:szCs w:val="1"/>
                <w:color w:val="auto"/>
              </w:rPr>
            </w:pPr>
          </w:p>
        </w:tc>
      </w:tr>
      <w:tr>
        <w:trPr>
          <w:trHeight w:val="424"/>
        </w:trPr>
        <w:tc>
          <w:tcPr>
            <w:tcW w:w="8700" w:type="dxa"/>
            <w:vAlign w:val="bottom"/>
            <w:gridSpan w:val="2"/>
          </w:tcPr>
          <w:p>
            <w:pPr>
              <w:spacing w:after="0"/>
              <w:rPr>
                <w:sz w:val="20"/>
                <w:szCs w:val="20"/>
                <w:color w:val="auto"/>
              </w:rPr>
            </w:pPr>
            <w:r>
              <w:rPr>
                <w:rFonts w:ascii="Arial" w:cs="Arial" w:eastAsia="Arial" w:hAnsi="Arial"/>
                <w:sz w:val="18"/>
                <w:szCs w:val="18"/>
                <w:color w:val="auto"/>
                <w:w w:val="99"/>
              </w:rPr>
              <w:t>The following table provides a reconciliation of the beginning and ending balances for unpaid losses and LAE: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3"/>
          </w:tcPr>
          <w:p>
            <w:pPr>
              <w:jc w:val="right"/>
              <w:ind w:right="894"/>
              <w:spacing w:after="0"/>
              <w:rPr>
                <w:sz w:val="20"/>
                <w:szCs w:val="20"/>
                <w:color w:val="auto"/>
              </w:rPr>
            </w:pPr>
            <w:r>
              <w:rPr>
                <w:rFonts w:ascii="Arial" w:cs="Arial" w:eastAsia="Arial" w:hAnsi="Arial"/>
                <w:sz w:val="15"/>
                <w:szCs w:val="15"/>
                <w:b w:val="1"/>
                <w:bCs w:val="1"/>
                <w:color w:val="auto"/>
              </w:rPr>
              <w:t>Years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35"/>
              <w:spacing w:after="0"/>
              <w:rPr>
                <w:sz w:val="20"/>
                <w:szCs w:val="20"/>
                <w:color w:val="auto"/>
              </w:rPr>
            </w:pPr>
            <w:r>
              <w:rPr>
                <w:rFonts w:ascii="Arial" w:cs="Arial" w:eastAsia="Arial" w:hAnsi="Arial"/>
                <w:sz w:val="15"/>
                <w:szCs w:val="15"/>
                <w:b w:val="1"/>
                <w:bCs w:val="1"/>
                <w:color w:val="auto"/>
                <w:w w:val="89"/>
              </w:rPr>
              <w:t>2017</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5"/>
                <w:szCs w:val="15"/>
                <w:b w:val="1"/>
                <w:bCs w:val="1"/>
                <w:color w:val="auto"/>
                <w:w w:val="89"/>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41,736,719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39,876,500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(15,776,880)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(16,706,364)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25,959,839</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23,170,136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year</w:t>
            </w:r>
          </w:p>
        </w:tc>
        <w:tc>
          <w:tcPr>
            <w:tcW w:w="30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w w:val="99"/>
              </w:rPr>
              <w:t>34,246,081</w:t>
            </w: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27,853,010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incurred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34,185,537</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27,789,661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Paid related to:</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18,194,860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16,496,648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9,899,802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8,503,310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paid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28,094,662</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24,999,958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Net balance at end of period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Add reinsurance recoverables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jc w:val="both"/>
        <w:ind w:left="300"/>
        <w:spacing w:after="0"/>
        <w:tabs>
          <w:tab w:leader="none" w:pos="1660" w:val="left"/>
        </w:tabs>
        <w:rPr>
          <w:sz w:val="20"/>
          <w:szCs w:val="20"/>
          <w:color w:val="auto"/>
        </w:rPr>
      </w:pPr>
      <w:r>
        <w:rPr>
          <w:rFonts w:ascii="Arial" w:cs="Arial" w:eastAsia="Arial" w:hAnsi="Arial"/>
          <w:sz w:val="18"/>
          <w:szCs w:val="18"/>
          <w:color w:val="auto"/>
        </w:rPr>
        <w:t>32,050,714</w:t>
      </w:r>
      <w:r>
        <w:rPr>
          <w:sz w:val="20"/>
          <w:szCs w:val="20"/>
          <w:color w:val="auto"/>
        </w:rPr>
        <w:tab/>
      </w:r>
      <w:r>
        <w:rPr>
          <w:rFonts w:ascii="Arial" w:cs="Arial" w:eastAsia="Arial" w:hAnsi="Arial"/>
          <w:sz w:val="18"/>
          <w:szCs w:val="18"/>
          <w:color w:val="auto"/>
        </w:rPr>
        <w:t>25,959,839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300"/>
        <w:spacing w:after="0"/>
        <w:tabs>
          <w:tab w:leader="none" w:pos="1660" w:val="left"/>
        </w:tabs>
        <w:rPr>
          <w:sz w:val="20"/>
          <w:szCs w:val="20"/>
          <w:color w:val="auto"/>
        </w:rPr>
      </w:pPr>
      <w:r>
        <w:rPr>
          <w:rFonts w:ascii="Arial" w:cs="Arial" w:eastAsia="Arial" w:hAnsi="Arial"/>
          <w:sz w:val="18"/>
          <w:szCs w:val="18"/>
          <w:color w:val="auto"/>
        </w:rPr>
        <w:t>16,748,908</w:t>
      </w:r>
      <w:r>
        <w:rPr>
          <w:sz w:val="20"/>
          <w:szCs w:val="20"/>
          <w:color w:val="auto"/>
        </w:rPr>
        <w:tab/>
      </w:r>
      <w:r>
        <w:rPr>
          <w:rFonts w:ascii="Arial" w:cs="Arial" w:eastAsia="Arial" w:hAnsi="Arial"/>
          <w:sz w:val="18"/>
          <w:szCs w:val="18"/>
          <w:color w:val="auto"/>
        </w:rPr>
        <w:t>15,776,880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spacing w:after="0"/>
        <w:tabs>
          <w:tab w:leader="none" w:pos="280" w:val="left"/>
          <w:tab w:leader="none" w:pos="1360" w:val="left"/>
          <w:tab w:leader="none" w:pos="1660" w:val="left"/>
        </w:tabs>
        <w:rPr>
          <w:sz w:val="20"/>
          <w:szCs w:val="20"/>
          <w:color w:val="auto"/>
        </w:rPr>
      </w:pPr>
      <w:r>
        <w:rPr>
          <w:rFonts w:ascii="Arial" w:cs="Arial" w:eastAsia="Arial" w:hAnsi="Arial"/>
          <w:sz w:val="18"/>
          <w:szCs w:val="18"/>
          <w:color w:val="auto"/>
        </w:rPr>
        <w:t>$</w:t>
        <w:tab/>
        <w:t>48,799,622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41,736,719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130" w:right="239" w:bottom="1440" w:gutter="0" w:footer="0" w:header="0"/>
          <w:type w:val="continuous"/>
        </w:sectPr>
      </w:pPr>
    </w:p>
    <w:p>
      <w:pPr>
        <w:spacing w:after="0" w:line="7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Incurred losses and LAE are net of reinsurance recoveries under reinsurance contracts of $14,067,027 and $11,796,714 for the years ended December 31, 2017 and 2016,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19" w:name="page120"/>
    <w:bookmarkEnd w:id="11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year incurred loss and LAE development results from changes in ultimate loss and LAE estimates by line of business and accident year. Prior year loss and LAE development incurred during the years ended December 31, 2017 and 2016 was favorable $(60,544) and favorable $(63,349), respectively. The Company’s management continually monitors claims activity to assess the appropriateness of carried case and incurred but not reported (“IBNR”) reserves, giving consideration to Company and industry trends.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claims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years. Several methods are used, varying by line of business and accident year, in order to select the estimated year-end loss reserves. These methods include the following:</w:t>
      </w:r>
    </w:p>
    <w:p>
      <w:pPr>
        <w:spacing w:after="0" w:line="170"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86"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67"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also provide a more accurate estimate of IBNR for lines of business with relatively few remaining open claims but for which significant recent settlement activity has occurred.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December 31, 2014 and prior is limited although there remains the possibility of adverse development on reported claims (‘case development’ IBNR).</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is information about incurred and paid claims development as of December 31, 2017, net of reinsurance, as well as the cumulative reported claims by accident year and total IBNR reserves as of December 31, 2017 included in the net incurred loss and allocated expense amounts. The historical information regarding incurred and paid claims development for the years ended December 31, 2008 to December 31, 2016 is presented as supplementary unaudited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1" w:name="page122"/>
    <w:bookmarkEnd w:id="12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Lines of Business</w:t>
      </w:r>
    </w:p>
    <w:p>
      <w:pPr>
        <w:spacing w:after="0" w:line="237" w:lineRule="auto"/>
        <w:rPr>
          <w:sz w:val="20"/>
          <w:szCs w:val="20"/>
          <w:color w:val="auto"/>
        </w:rPr>
      </w:pPr>
      <w:r>
        <w:rPr>
          <w:rFonts w:ascii="Arial" w:cs="Arial" w:eastAsia="Arial" w:hAnsi="Arial"/>
          <w:sz w:val="15"/>
          <w:szCs w:val="15"/>
          <w:b w:val="1"/>
          <w:bCs w:val="1"/>
          <w:i w:val="1"/>
          <w:iCs w:val="1"/>
          <w:color w:val="auto"/>
        </w:rPr>
        <w:t>(in thousands, except reported claims data)</w:t>
      </w: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2"/>
          </w:tcPr>
          <w:p>
            <w:pPr>
              <w:ind w:left="40"/>
              <w:spacing w:after="0" w:line="197" w:lineRule="exact"/>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88"/>
              </w:rPr>
              <w:t>Incurred Loss and Allocated Loss Adjustment Expenses, Net of Reinsurance</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bottom w:val="single" w:sz="8" w:color="auto"/>
            </w:tcBorders>
            <w:gridSpan w:val="3"/>
          </w:tcPr>
          <w:p>
            <w:pPr>
              <w:ind w:left="400"/>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0" w:type="dxa"/>
            <w:vAlign w:val="bottom"/>
            <w:gridSpan w:val="4"/>
          </w:tcPr>
          <w:p>
            <w:pPr>
              <w:jc w:val="right"/>
              <w:ind w:right="454"/>
              <w:spacing w:after="0"/>
              <w:rPr>
                <w:sz w:val="20"/>
                <w:szCs w:val="20"/>
                <w:color w:val="auto"/>
              </w:rPr>
            </w:pPr>
            <w:r>
              <w:rPr>
                <w:rFonts w:ascii="Arial" w:cs="Arial" w:eastAsia="Arial" w:hAnsi="Arial"/>
                <w:sz w:val="15"/>
                <w:szCs w:val="15"/>
                <w:b w:val="1"/>
                <w:bCs w:val="1"/>
                <w:color w:val="auto"/>
              </w:rPr>
              <w:t>For the Years Ended December 31,</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1"/>
              </w:rPr>
              <w:t>Cumulative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3"/>
              </w:rPr>
              <w:t>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Accident</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IBNR</w:t>
            </w: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8"/>
              </w:rPr>
              <w:t>Reported Claims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5"/>
              </w:rPr>
              <w:t>Year</w:t>
            </w:r>
          </w:p>
        </w:tc>
        <w:tc>
          <w:tcPr>
            <w:tcW w:w="940" w:type="dxa"/>
            <w:vAlign w:val="bottom"/>
            <w:gridSpan w:val="2"/>
          </w:tcPr>
          <w:p>
            <w:pPr>
              <w:jc w:val="right"/>
              <w:ind w:right="312"/>
              <w:spacing w:after="0"/>
              <w:rPr>
                <w:sz w:val="20"/>
                <w:szCs w:val="20"/>
                <w:color w:val="auto"/>
              </w:rPr>
            </w:pPr>
            <w:r>
              <w:rPr>
                <w:rFonts w:ascii="Arial" w:cs="Arial" w:eastAsia="Arial" w:hAnsi="Arial"/>
                <w:sz w:val="15"/>
                <w:szCs w:val="15"/>
                <w:b w:val="1"/>
                <w:bCs w:val="1"/>
                <w:color w:val="auto"/>
              </w:rPr>
              <w:t>2008</w:t>
            </w:r>
          </w:p>
        </w:tc>
        <w:tc>
          <w:tcPr>
            <w:tcW w:w="720" w:type="dxa"/>
            <w:vAlign w:val="bottom"/>
          </w:tcPr>
          <w:p>
            <w:pPr>
              <w:jc w:val="right"/>
              <w:ind w:right="258"/>
              <w:spacing w:after="0"/>
              <w:rPr>
                <w:sz w:val="20"/>
                <w:szCs w:val="20"/>
                <w:color w:val="auto"/>
              </w:rPr>
            </w:pPr>
            <w:r>
              <w:rPr>
                <w:rFonts w:ascii="Arial" w:cs="Arial" w:eastAsia="Arial" w:hAnsi="Arial"/>
                <w:sz w:val="15"/>
                <w:szCs w:val="15"/>
                <w:b w:val="1"/>
                <w:bCs w:val="1"/>
                <w:color w:val="auto"/>
              </w:rPr>
              <w:t>2009</w:t>
            </w:r>
          </w:p>
        </w:tc>
        <w:tc>
          <w:tcPr>
            <w:tcW w:w="820" w:type="dxa"/>
            <w:vAlign w:val="bottom"/>
          </w:tcPr>
          <w:p>
            <w:pPr>
              <w:jc w:val="right"/>
              <w:ind w:right="296"/>
              <w:spacing w:after="0"/>
              <w:rPr>
                <w:sz w:val="20"/>
                <w:szCs w:val="20"/>
                <w:color w:val="auto"/>
              </w:rPr>
            </w:pPr>
            <w:r>
              <w:rPr>
                <w:rFonts w:ascii="Arial" w:cs="Arial" w:eastAsia="Arial" w:hAnsi="Arial"/>
                <w:sz w:val="15"/>
                <w:szCs w:val="15"/>
                <w:b w:val="1"/>
                <w:bCs w:val="1"/>
                <w:color w:val="auto"/>
              </w:rPr>
              <w:t>2010</w:t>
            </w:r>
          </w:p>
        </w:tc>
        <w:tc>
          <w:tcPr>
            <w:tcW w:w="820" w:type="dxa"/>
            <w:vAlign w:val="bottom"/>
          </w:tcPr>
          <w:p>
            <w:pPr>
              <w:jc w:val="right"/>
              <w:ind w:right="338"/>
              <w:spacing w:after="0"/>
              <w:rPr>
                <w:sz w:val="20"/>
                <w:szCs w:val="20"/>
                <w:color w:val="auto"/>
              </w:rPr>
            </w:pPr>
            <w:r>
              <w:rPr>
                <w:rFonts w:ascii="Arial" w:cs="Arial" w:eastAsia="Arial" w:hAnsi="Arial"/>
                <w:sz w:val="15"/>
                <w:szCs w:val="15"/>
                <w:b w:val="1"/>
                <w:bCs w:val="1"/>
                <w:color w:val="auto"/>
              </w:rPr>
              <w:t>2011</w:t>
            </w:r>
          </w:p>
        </w:tc>
        <w:tc>
          <w:tcPr>
            <w:tcW w:w="800" w:type="dxa"/>
            <w:vAlign w:val="bottom"/>
          </w:tcPr>
          <w:p>
            <w:pPr>
              <w:jc w:val="right"/>
              <w:ind w:right="354"/>
              <w:spacing w:after="0"/>
              <w:rPr>
                <w:sz w:val="20"/>
                <w:szCs w:val="20"/>
                <w:color w:val="auto"/>
              </w:rPr>
            </w:pPr>
            <w:r>
              <w:rPr>
                <w:rFonts w:ascii="Arial" w:cs="Arial" w:eastAsia="Arial" w:hAnsi="Arial"/>
                <w:sz w:val="15"/>
                <w:szCs w:val="15"/>
                <w:b w:val="1"/>
                <w:bCs w:val="1"/>
                <w:color w:val="auto"/>
              </w:rPr>
              <w:t>2012</w:t>
            </w:r>
          </w:p>
        </w:tc>
        <w:tc>
          <w:tcPr>
            <w:tcW w:w="780" w:type="dxa"/>
            <w:vAlign w:val="bottom"/>
          </w:tcPr>
          <w:p>
            <w:pPr>
              <w:jc w:val="right"/>
              <w:ind w:right="354"/>
              <w:spacing w:after="0"/>
              <w:rPr>
                <w:sz w:val="20"/>
                <w:szCs w:val="20"/>
                <w:color w:val="auto"/>
              </w:rPr>
            </w:pPr>
            <w:r>
              <w:rPr>
                <w:rFonts w:ascii="Arial" w:cs="Arial" w:eastAsia="Arial" w:hAnsi="Arial"/>
                <w:sz w:val="15"/>
                <w:szCs w:val="15"/>
                <w:b w:val="1"/>
                <w:bCs w:val="1"/>
                <w:color w:val="auto"/>
                <w:w w:val="95"/>
              </w:rPr>
              <w:t>2013</w:t>
            </w:r>
          </w:p>
        </w:tc>
        <w:tc>
          <w:tcPr>
            <w:tcW w:w="800" w:type="dxa"/>
            <w:vAlign w:val="bottom"/>
          </w:tcPr>
          <w:p>
            <w:pPr>
              <w:jc w:val="right"/>
              <w:ind w:right="354"/>
              <w:spacing w:after="0"/>
              <w:rPr>
                <w:sz w:val="20"/>
                <w:szCs w:val="20"/>
                <w:color w:val="auto"/>
              </w:rPr>
            </w:pPr>
            <w:r>
              <w:rPr>
                <w:rFonts w:ascii="Arial" w:cs="Arial" w:eastAsia="Arial" w:hAnsi="Arial"/>
                <w:sz w:val="15"/>
                <w:szCs w:val="15"/>
                <w:b w:val="1"/>
                <w:bCs w:val="1"/>
                <w:color w:val="auto"/>
              </w:rPr>
              <w:t>2014</w:t>
            </w:r>
          </w:p>
        </w:tc>
        <w:tc>
          <w:tcPr>
            <w:tcW w:w="820" w:type="dxa"/>
            <w:vAlign w:val="bottom"/>
          </w:tcPr>
          <w:p>
            <w:pPr>
              <w:jc w:val="right"/>
              <w:ind w:right="394"/>
              <w:spacing w:after="0"/>
              <w:rPr>
                <w:sz w:val="20"/>
                <w:szCs w:val="20"/>
                <w:color w:val="auto"/>
              </w:rPr>
            </w:pPr>
            <w:r>
              <w:rPr>
                <w:rFonts w:ascii="Arial" w:cs="Arial" w:eastAsia="Arial" w:hAnsi="Arial"/>
                <w:sz w:val="15"/>
                <w:szCs w:val="15"/>
                <w:b w:val="1"/>
                <w:bCs w:val="1"/>
                <w:color w:val="auto"/>
                <w:w w:val="95"/>
              </w:rPr>
              <w:t>2015</w:t>
            </w:r>
          </w:p>
        </w:tc>
        <w:tc>
          <w:tcPr>
            <w:tcW w:w="560" w:type="dxa"/>
            <w:vAlign w:val="bottom"/>
          </w:tcPr>
          <w:p>
            <w:pPr>
              <w:jc w:val="right"/>
              <w:ind w:right="173"/>
              <w:spacing w:after="0"/>
              <w:rPr>
                <w:sz w:val="20"/>
                <w:szCs w:val="20"/>
                <w:color w:val="auto"/>
              </w:rPr>
            </w:pPr>
            <w:r>
              <w:rPr>
                <w:rFonts w:ascii="Arial" w:cs="Arial" w:eastAsia="Arial" w:hAnsi="Arial"/>
                <w:sz w:val="15"/>
                <w:szCs w:val="15"/>
                <w:b w:val="1"/>
                <w:bCs w:val="1"/>
                <w:color w:val="auto"/>
                <w:w w:val="83"/>
              </w:rPr>
              <w:t>2016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33"/>
              <w:spacing w:after="0"/>
              <w:rPr>
                <w:sz w:val="20"/>
                <w:szCs w:val="20"/>
                <w:color w:val="auto"/>
              </w:rPr>
            </w:pPr>
            <w:r>
              <w:rPr>
                <w:rFonts w:ascii="Arial" w:cs="Arial" w:eastAsia="Arial" w:hAnsi="Arial"/>
                <w:sz w:val="15"/>
                <w:szCs w:val="15"/>
                <w:b w:val="1"/>
                <w:bCs w:val="1"/>
                <w:color w:val="auto"/>
              </w:rPr>
              <w:t>2017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by Accident 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400" w:type="dxa"/>
            <w:vAlign w:val="bottom"/>
            <w:tcBorders>
              <w:top w:val="single" w:sz="8" w:color="auto"/>
              <w:bottom w:val="single" w:sz="8" w:color="auto"/>
            </w:tcBorders>
            <w:gridSpan w:val="3"/>
          </w:tcPr>
          <w:p>
            <w:pPr>
              <w:jc w:val="right"/>
              <w:ind w:right="514"/>
              <w:spacing w:after="0" w:line="162" w:lineRule="exact"/>
              <w:rPr>
                <w:sz w:val="20"/>
                <w:szCs w:val="20"/>
                <w:color w:val="auto"/>
              </w:rPr>
            </w:pPr>
            <w:r>
              <w:rPr>
                <w:rFonts w:ascii="Arial" w:cs="Arial" w:eastAsia="Arial" w:hAnsi="Arial"/>
                <w:sz w:val="15"/>
                <w:szCs w:val="15"/>
                <w:b w:val="1"/>
                <w:bCs w:val="1"/>
                <w:color w:val="auto"/>
              </w:rPr>
              <w:t>(Unaudited 2008 - 2016)</w:t>
            </w:r>
          </w:p>
        </w:tc>
        <w:tc>
          <w:tcPr>
            <w:tcW w:w="8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$4,505</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$4,329</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$4,223</w:t>
            </w: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$4,189</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$4,068</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$4,055</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$4,056</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$4,040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4"/>
              </w:rPr>
              <w:t>1,133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4,403</w:t>
            </w: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4,254</w:t>
            </w:r>
          </w:p>
        </w:tc>
        <w:tc>
          <w:tcPr>
            <w:tcW w:w="820" w:type="dxa"/>
            <w:vAlign w:val="bottom"/>
          </w:tcPr>
          <w:p>
            <w:pPr>
              <w:jc w:val="right"/>
              <w:ind w:right="98"/>
              <w:spacing w:after="0"/>
              <w:rPr>
                <w:sz w:val="20"/>
                <w:szCs w:val="20"/>
                <w:color w:val="auto"/>
              </w:rPr>
            </w:pPr>
            <w:r>
              <w:rPr>
                <w:rFonts w:ascii="Arial" w:cs="Arial" w:eastAsia="Arial" w:hAnsi="Arial"/>
                <w:sz w:val="18"/>
                <w:szCs w:val="18"/>
                <w:color w:val="auto"/>
              </w:rPr>
              <w:t>4,287</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4,384</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4,511</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4,609</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4,616</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4,667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180" w:type="dxa"/>
            <w:vAlign w:val="bottom"/>
          </w:tcPr>
          <w:p>
            <w:pPr>
              <w:ind w:left="780"/>
              <w:spacing w:after="0"/>
              <w:rPr>
                <w:sz w:val="20"/>
                <w:szCs w:val="20"/>
                <w:color w:val="auto"/>
              </w:rPr>
            </w:pPr>
            <w:r>
              <w:rPr>
                <w:rFonts w:ascii="Arial" w:cs="Arial" w:eastAsia="Arial" w:hAnsi="Arial"/>
                <w:sz w:val="18"/>
                <w:szCs w:val="18"/>
                <w:color w:val="auto"/>
                <w:w w:val="84"/>
              </w:rPr>
              <w:t>1,136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5,598</w:t>
            </w: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5,707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6,429</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6,623</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6,912</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6,853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4"/>
              </w:rPr>
              <w:t>1,616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8"/>
                <w:szCs w:val="18"/>
                <w:color w:val="auto"/>
              </w:rPr>
              <w:t>7,603</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7,678</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8,618</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9,440</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9,198</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9,066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9,144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180" w:type="dxa"/>
            <w:vAlign w:val="bottom"/>
          </w:tcPr>
          <w:p>
            <w:pPr>
              <w:ind w:left="780"/>
              <w:spacing w:after="0"/>
              <w:rPr>
                <w:sz w:val="20"/>
                <w:szCs w:val="20"/>
                <w:color w:val="auto"/>
              </w:rPr>
            </w:pPr>
            <w:r>
              <w:rPr>
                <w:rFonts w:ascii="Arial" w:cs="Arial" w:eastAsia="Arial" w:hAnsi="Arial"/>
                <w:sz w:val="18"/>
                <w:szCs w:val="18"/>
                <w:color w:val="auto"/>
                <w:w w:val="84"/>
              </w:rPr>
              <w:t>1,913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9,539</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9,344</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10,278</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10,382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10,582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9"/>
              </w:rPr>
              <w:t>4,702(1)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10,728</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9,745</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9,424</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9,621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1180" w:type="dxa"/>
            <w:vAlign w:val="bottom"/>
          </w:tcPr>
          <w:p>
            <w:pPr>
              <w:ind w:left="780"/>
              <w:spacing w:after="0"/>
              <w:rPr>
                <w:sz w:val="20"/>
                <w:szCs w:val="20"/>
                <w:color w:val="auto"/>
              </w:rPr>
            </w:pPr>
            <w:r>
              <w:rPr>
                <w:rFonts w:ascii="Arial" w:cs="Arial" w:eastAsia="Arial" w:hAnsi="Arial"/>
                <w:sz w:val="18"/>
                <w:szCs w:val="18"/>
                <w:color w:val="auto"/>
                <w:w w:val="84"/>
              </w:rPr>
              <w:t>1,558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14,193</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14,260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14,564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4"/>
              </w:rPr>
              <w:t>2,125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22,340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22,148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1,278</w:t>
            </w:r>
          </w:p>
        </w:tc>
        <w:tc>
          <w:tcPr>
            <w:tcW w:w="1180" w:type="dxa"/>
            <w:vAlign w:val="bottom"/>
          </w:tcPr>
          <w:p>
            <w:pPr>
              <w:ind w:left="780"/>
              <w:spacing w:after="0"/>
              <w:rPr>
                <w:sz w:val="20"/>
                <w:szCs w:val="20"/>
                <w:color w:val="auto"/>
              </w:rPr>
            </w:pPr>
            <w:r>
              <w:rPr>
                <w:rFonts w:ascii="Arial" w:cs="Arial" w:eastAsia="Arial" w:hAnsi="Arial"/>
                <w:sz w:val="18"/>
                <w:szCs w:val="18"/>
                <w:color w:val="auto"/>
                <w:w w:val="84"/>
              </w:rPr>
              <w:t>2,525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26,062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24,941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4"/>
              </w:rPr>
              <w:t>2,841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6,024</w:t>
            </w:r>
          </w:p>
        </w:tc>
        <w:tc>
          <w:tcPr>
            <w:tcW w:w="1180" w:type="dxa"/>
            <w:vAlign w:val="bottom"/>
          </w:tcPr>
          <w:p>
            <w:pPr>
              <w:ind w:left="780"/>
              <w:spacing w:after="0"/>
              <w:rPr>
                <w:sz w:val="20"/>
                <w:szCs w:val="20"/>
                <w:color w:val="auto"/>
              </w:rPr>
            </w:pPr>
            <w:r>
              <w:rPr>
                <w:rFonts w:ascii="Arial" w:cs="Arial" w:eastAsia="Arial" w:hAnsi="Arial"/>
                <w:sz w:val="18"/>
                <w:szCs w:val="18"/>
                <w:color w:val="auto"/>
                <w:w w:val="84"/>
              </w:rPr>
              <w:t>3,128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$138,817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w w:val="89"/>
              </w:rPr>
              <w:t>___________________</w:t>
            </w:r>
          </w:p>
        </w:tc>
        <w:tc>
          <w:tcPr>
            <w:tcW w:w="7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10"/>
          </w:tcPr>
          <w:p>
            <w:pPr>
              <w:spacing w:after="0"/>
              <w:rPr>
                <w:sz w:val="20"/>
                <w:szCs w:val="20"/>
                <w:color w:val="auto"/>
              </w:rPr>
            </w:pPr>
            <w:r>
              <w:rPr>
                <w:rFonts w:ascii="Arial" w:cs="Arial" w:eastAsia="Arial" w:hAnsi="Arial"/>
                <w:sz w:val="18"/>
                <w:szCs w:val="18"/>
                <w:color w:val="auto"/>
                <w:w w:val="90"/>
              </w:rPr>
              <w:t>(1) Reported claims for accident year 2012 includes 3,406 claims from Superstorm Sandy.</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740" w:type="dxa"/>
            <w:vAlign w:val="bottom"/>
            <w:gridSpan w:val="4"/>
          </w:tcPr>
          <w:p>
            <w:pPr>
              <w:spacing w:after="0"/>
              <w:rPr>
                <w:sz w:val="20"/>
                <w:szCs w:val="20"/>
                <w:color w:val="auto"/>
              </w:rPr>
            </w:pPr>
            <w:r>
              <w:rPr>
                <w:rFonts w:ascii="Arial" w:cs="Arial" w:eastAsia="Arial" w:hAnsi="Arial"/>
                <w:sz w:val="18"/>
                <w:szCs w:val="18"/>
                <w:b w:val="1"/>
                <w:bCs w:val="1"/>
                <w:color w:val="auto"/>
                <w:w w:val="94"/>
              </w:rPr>
              <w:t>All Lines of Business</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6400" w:type="dxa"/>
            <w:vAlign w:val="bottom"/>
            <w:gridSpan w:val="11"/>
            <w:vMerge w:val="restart"/>
          </w:tcPr>
          <w:p>
            <w:pPr>
              <w:ind w:left="580"/>
              <w:spacing w:after="0"/>
              <w:rPr>
                <w:sz w:val="20"/>
                <w:szCs w:val="20"/>
                <w:color w:val="auto"/>
              </w:rPr>
            </w:pPr>
            <w:r>
              <w:rPr>
                <w:rFonts w:ascii="Arial" w:cs="Arial" w:eastAsia="Arial" w:hAnsi="Arial"/>
                <w:sz w:val="15"/>
                <w:szCs w:val="15"/>
                <w:b w:val="1"/>
                <w:bCs w:val="1"/>
                <w:color w:val="auto"/>
                <w:w w:val="96"/>
              </w:rPr>
              <w:t>Cumulative Paid Loss and Allocated Loss Adjustment Expenses, Net of Reinsurance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gridSpan w:val="11"/>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Accident</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0" w:type="dxa"/>
            <w:vAlign w:val="bottom"/>
            <w:gridSpan w:val="3"/>
          </w:tcPr>
          <w:p>
            <w:pPr>
              <w:jc w:val="center"/>
              <w:ind w:right="14"/>
              <w:spacing w:after="0"/>
              <w:rPr>
                <w:sz w:val="20"/>
                <w:szCs w:val="20"/>
                <w:color w:val="auto"/>
              </w:rPr>
            </w:pPr>
            <w:r>
              <w:rPr>
                <w:rFonts w:ascii="Arial" w:cs="Arial" w:eastAsia="Arial" w:hAnsi="Arial"/>
                <w:sz w:val="15"/>
                <w:szCs w:val="15"/>
                <w:b w:val="1"/>
                <w:bCs w:val="1"/>
                <w:color w:val="auto"/>
                <w:w w:val="89"/>
              </w:rPr>
              <w:t>For the Years Ended December 31,</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Year</w:t>
            </w:r>
          </w:p>
        </w:tc>
        <w:tc>
          <w:tcPr>
            <w:tcW w:w="94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2008</w:t>
            </w: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2009</w:t>
            </w: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2010</w:t>
            </w:r>
          </w:p>
        </w:tc>
        <w:tc>
          <w:tcPr>
            <w:tcW w:w="82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2011</w:t>
            </w: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5"/>
                <w:szCs w:val="15"/>
                <w:b w:val="1"/>
                <w:bCs w:val="1"/>
                <w:color w:val="auto"/>
                <w:w w:val="89"/>
              </w:rPr>
              <w:t>2012</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2013</w:t>
            </w: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2014</w:t>
            </w: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2015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center"/>
              <w:ind w:right="34"/>
              <w:spacing w:after="0" w:line="162" w:lineRule="exact"/>
              <w:rPr>
                <w:sz w:val="20"/>
                <w:szCs w:val="20"/>
                <w:color w:val="auto"/>
              </w:rPr>
            </w:pPr>
            <w:r>
              <w:rPr>
                <w:rFonts w:ascii="Arial" w:cs="Arial" w:eastAsia="Arial" w:hAnsi="Arial"/>
                <w:sz w:val="15"/>
                <w:szCs w:val="15"/>
                <w:b w:val="1"/>
                <w:bCs w:val="1"/>
                <w:color w:val="auto"/>
                <w:w w:val="90"/>
              </w:rPr>
              <w:t>(Unaudited 2008 - 2016)</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$2,406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$4,031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2,298</w:t>
            </w:r>
          </w:p>
        </w:tc>
        <w:tc>
          <w:tcPr>
            <w:tcW w:w="820" w:type="dxa"/>
            <w:vAlign w:val="bottom"/>
          </w:tcPr>
          <w:p>
            <w:pPr>
              <w:jc w:val="right"/>
              <w:spacing w:after="0"/>
              <w:rPr>
                <w:sz w:val="20"/>
                <w:szCs w:val="20"/>
                <w:color w:val="auto"/>
              </w:rPr>
            </w:pPr>
            <w:r>
              <w:rPr>
                <w:rFonts w:ascii="Arial" w:cs="Arial" w:eastAsia="Arial" w:hAnsi="Arial"/>
                <w:sz w:val="18"/>
                <w:szCs w:val="18"/>
                <w:color w:val="auto"/>
              </w:rPr>
              <w:t>3,068</w:t>
            </w:r>
          </w:p>
        </w:tc>
        <w:tc>
          <w:tcPr>
            <w:tcW w:w="820" w:type="dxa"/>
            <w:vAlign w:val="bottom"/>
          </w:tcPr>
          <w:p>
            <w:pPr>
              <w:jc w:val="right"/>
              <w:spacing w:after="0"/>
              <w:rPr>
                <w:sz w:val="20"/>
                <w:szCs w:val="20"/>
                <w:color w:val="auto"/>
              </w:rPr>
            </w:pPr>
            <w:r>
              <w:rPr>
                <w:rFonts w:ascii="Arial" w:cs="Arial" w:eastAsia="Arial" w:hAnsi="Arial"/>
                <w:sz w:val="18"/>
                <w:szCs w:val="18"/>
                <w:color w:val="auto"/>
              </w:rPr>
              <w:t>3,607</w:t>
            </w:r>
          </w:p>
        </w:tc>
        <w:tc>
          <w:tcPr>
            <w:tcW w:w="800" w:type="dxa"/>
            <w:vAlign w:val="bottom"/>
          </w:tcPr>
          <w:p>
            <w:pPr>
              <w:jc w:val="right"/>
              <w:spacing w:after="0"/>
              <w:rPr>
                <w:sz w:val="20"/>
                <w:szCs w:val="20"/>
                <w:color w:val="auto"/>
              </w:rPr>
            </w:pPr>
            <w:r>
              <w:rPr>
                <w:rFonts w:ascii="Arial" w:cs="Arial" w:eastAsia="Arial" w:hAnsi="Arial"/>
                <w:sz w:val="18"/>
                <w:szCs w:val="18"/>
                <w:color w:val="auto"/>
              </w:rPr>
              <w:t>3,920</w:t>
            </w:r>
          </w:p>
        </w:tc>
        <w:tc>
          <w:tcPr>
            <w:tcW w:w="780" w:type="dxa"/>
            <w:vAlign w:val="bottom"/>
          </w:tcPr>
          <w:p>
            <w:pPr>
              <w:jc w:val="right"/>
              <w:spacing w:after="0"/>
              <w:rPr>
                <w:sz w:val="20"/>
                <w:szCs w:val="20"/>
                <w:color w:val="auto"/>
              </w:rPr>
            </w:pPr>
            <w:r>
              <w:rPr>
                <w:rFonts w:ascii="Arial" w:cs="Arial" w:eastAsia="Arial" w:hAnsi="Arial"/>
                <w:sz w:val="18"/>
                <w:szCs w:val="18"/>
                <w:color w:val="auto"/>
              </w:rPr>
              <w:t>4,134</w:t>
            </w:r>
          </w:p>
        </w:tc>
        <w:tc>
          <w:tcPr>
            <w:tcW w:w="800" w:type="dxa"/>
            <w:vAlign w:val="bottom"/>
          </w:tcPr>
          <w:p>
            <w:pPr>
              <w:jc w:val="right"/>
              <w:spacing w:after="0"/>
              <w:rPr>
                <w:sz w:val="20"/>
                <w:szCs w:val="20"/>
                <w:color w:val="auto"/>
              </w:rPr>
            </w:pPr>
            <w:r>
              <w:rPr>
                <w:rFonts w:ascii="Arial" w:cs="Arial" w:eastAsia="Arial" w:hAnsi="Arial"/>
                <w:sz w:val="18"/>
                <w:szCs w:val="18"/>
                <w:color w:val="auto"/>
              </w:rPr>
              <w:t>4,362</w:t>
            </w:r>
          </w:p>
        </w:tc>
        <w:tc>
          <w:tcPr>
            <w:tcW w:w="820" w:type="dxa"/>
            <w:vAlign w:val="bottom"/>
          </w:tcPr>
          <w:p>
            <w:pPr>
              <w:jc w:val="right"/>
              <w:spacing w:after="0"/>
              <w:rPr>
                <w:sz w:val="20"/>
                <w:szCs w:val="20"/>
                <w:color w:val="auto"/>
              </w:rPr>
            </w:pPr>
            <w:r>
              <w:rPr>
                <w:rFonts w:ascii="Arial" w:cs="Arial" w:eastAsia="Arial" w:hAnsi="Arial"/>
                <w:sz w:val="18"/>
                <w:szCs w:val="18"/>
                <w:color w:val="auto"/>
              </w:rPr>
              <w:t>4,424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4,468</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3,740</w:t>
            </w:r>
          </w:p>
        </w:tc>
        <w:tc>
          <w:tcPr>
            <w:tcW w:w="800" w:type="dxa"/>
            <w:vAlign w:val="bottom"/>
          </w:tcPr>
          <w:p>
            <w:pPr>
              <w:jc w:val="right"/>
              <w:spacing w:after="0"/>
              <w:rPr>
                <w:sz w:val="20"/>
                <w:szCs w:val="20"/>
                <w:color w:val="auto"/>
              </w:rPr>
            </w:pPr>
            <w:r>
              <w:rPr>
                <w:rFonts w:ascii="Arial" w:cs="Arial" w:eastAsia="Arial" w:hAnsi="Arial"/>
                <w:sz w:val="18"/>
                <w:szCs w:val="18"/>
                <w:color w:val="auto"/>
              </w:rPr>
              <w:t>5,117</w:t>
            </w:r>
          </w:p>
        </w:tc>
        <w:tc>
          <w:tcPr>
            <w:tcW w:w="780" w:type="dxa"/>
            <w:vAlign w:val="bottom"/>
          </w:tcPr>
          <w:p>
            <w:pPr>
              <w:jc w:val="right"/>
              <w:spacing w:after="0"/>
              <w:rPr>
                <w:sz w:val="20"/>
                <w:szCs w:val="20"/>
                <w:color w:val="auto"/>
              </w:rPr>
            </w:pPr>
            <w:r>
              <w:rPr>
                <w:rFonts w:ascii="Arial" w:cs="Arial" w:eastAsia="Arial" w:hAnsi="Arial"/>
                <w:sz w:val="18"/>
                <w:szCs w:val="18"/>
                <w:color w:val="auto"/>
              </w:rPr>
              <w:t>6,228</w:t>
            </w:r>
          </w:p>
        </w:tc>
        <w:tc>
          <w:tcPr>
            <w:tcW w:w="800" w:type="dxa"/>
            <w:vAlign w:val="bottom"/>
          </w:tcPr>
          <w:p>
            <w:pPr>
              <w:jc w:val="right"/>
              <w:spacing w:after="0"/>
              <w:rPr>
                <w:sz w:val="20"/>
                <w:szCs w:val="20"/>
                <w:color w:val="auto"/>
              </w:rPr>
            </w:pPr>
            <w:r>
              <w:rPr>
                <w:rFonts w:ascii="Arial" w:cs="Arial" w:eastAsia="Arial" w:hAnsi="Arial"/>
                <w:sz w:val="18"/>
                <w:szCs w:val="18"/>
                <w:color w:val="auto"/>
              </w:rPr>
              <w:t>7,170</w:t>
            </w:r>
          </w:p>
        </w:tc>
        <w:tc>
          <w:tcPr>
            <w:tcW w:w="820" w:type="dxa"/>
            <w:vAlign w:val="bottom"/>
          </w:tcPr>
          <w:p>
            <w:pPr>
              <w:jc w:val="right"/>
              <w:spacing w:after="0"/>
              <w:rPr>
                <w:sz w:val="20"/>
                <w:szCs w:val="20"/>
                <w:color w:val="auto"/>
              </w:rPr>
            </w:pPr>
            <w:r>
              <w:rPr>
                <w:rFonts w:ascii="Arial" w:cs="Arial" w:eastAsia="Arial" w:hAnsi="Arial"/>
                <w:sz w:val="18"/>
                <w:szCs w:val="18"/>
                <w:color w:val="auto"/>
              </w:rPr>
              <w:t>8,139</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8,540</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9,187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3,405</w:t>
            </w:r>
          </w:p>
        </w:tc>
        <w:tc>
          <w:tcPr>
            <w:tcW w:w="800" w:type="dxa"/>
            <w:vAlign w:val="bottom"/>
          </w:tcPr>
          <w:p>
            <w:pPr>
              <w:jc w:val="right"/>
              <w:spacing w:after="0"/>
              <w:rPr>
                <w:sz w:val="20"/>
                <w:szCs w:val="20"/>
                <w:color w:val="auto"/>
              </w:rPr>
            </w:pPr>
            <w:r>
              <w:rPr>
                <w:rFonts w:ascii="Arial" w:cs="Arial" w:eastAsia="Arial" w:hAnsi="Arial"/>
                <w:sz w:val="18"/>
                <w:szCs w:val="18"/>
                <w:color w:val="auto"/>
              </w:rPr>
              <w:t>5,303</w:t>
            </w:r>
          </w:p>
        </w:tc>
        <w:tc>
          <w:tcPr>
            <w:tcW w:w="820" w:type="dxa"/>
            <w:vAlign w:val="bottom"/>
          </w:tcPr>
          <w:p>
            <w:pPr>
              <w:jc w:val="right"/>
              <w:spacing w:after="0"/>
              <w:rPr>
                <w:sz w:val="20"/>
                <w:szCs w:val="20"/>
                <w:color w:val="auto"/>
              </w:rPr>
            </w:pPr>
            <w:r>
              <w:rPr>
                <w:rFonts w:ascii="Arial" w:cs="Arial" w:eastAsia="Arial" w:hAnsi="Arial"/>
                <w:sz w:val="18"/>
                <w:szCs w:val="18"/>
                <w:color w:val="auto"/>
              </w:rPr>
              <w:t>6,633</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7,591</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2014</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10,738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12,295</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16,181</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18,266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15,364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84"/>
              </w:rPr>
              <w:t>2017</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16,704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gridSpan w:val="2"/>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$108,376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11"/>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320" w:type="dxa"/>
            <w:vAlign w:val="bottom"/>
            <w:gridSpan w:val="12"/>
            <w:shd w:val="clear" w:color="auto" w:fill="CCEEFF"/>
          </w:tcPr>
          <w:p>
            <w:pPr>
              <w:jc w:val="right"/>
              <w:ind w:right="100"/>
              <w:spacing w:after="0"/>
              <w:rPr>
                <w:sz w:val="20"/>
                <w:szCs w:val="20"/>
                <w:color w:val="auto"/>
              </w:rPr>
            </w:pPr>
            <w:r>
              <w:rPr>
                <w:rFonts w:ascii="Arial" w:cs="Arial" w:eastAsia="Arial" w:hAnsi="Arial"/>
                <w:sz w:val="18"/>
                <w:szCs w:val="18"/>
                <w:color w:val="auto"/>
                <w:w w:val="90"/>
              </w:rPr>
              <w:t>Net liability for unpaid loss and allocated loss adjustment expenses for the accident years presented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$30,441</w:t>
            </w: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780" w:type="dxa"/>
            <w:vAlign w:val="bottom"/>
            <w:gridSpan w:val="8"/>
          </w:tcPr>
          <w:p>
            <w:pPr>
              <w:jc w:val="right"/>
              <w:ind w:right="20"/>
              <w:spacing w:after="0"/>
              <w:rPr>
                <w:sz w:val="20"/>
                <w:szCs w:val="20"/>
                <w:color w:val="auto"/>
              </w:rPr>
            </w:pPr>
            <w:r>
              <w:rPr>
                <w:rFonts w:ascii="Arial" w:cs="Arial" w:eastAsia="Arial" w:hAnsi="Arial"/>
                <w:sz w:val="18"/>
                <w:szCs w:val="18"/>
                <w:color w:val="auto"/>
              </w:rPr>
              <w:t>All outstanding liabilities before 2008, net of reinsurance</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8"/>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Liabilities for loss and allocted loss adjustment expenses, net of reinsurance</w:t>
            </w:r>
          </w:p>
        </w:tc>
        <w:tc>
          <w:tcPr>
            <w:tcW w:w="100" w:type="dxa"/>
            <w:vAlign w:val="bottom"/>
            <w:tcBorders>
              <w:bottom w:val="single" w:sz="8" w:color="auto"/>
            </w:tcBorders>
            <w:gridSpan w:val="2"/>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$30,666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net incurred and paid claims development tables to the liability for loss and LAE reserves in the consolidated balance sheet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As of</w:t>
            </w:r>
          </w:p>
        </w:tc>
      </w:tr>
      <w:tr>
        <w:trPr>
          <w:trHeight w:val="162"/>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8"/>
              <w:spacing w:after="0" w:line="162" w:lineRule="exact"/>
              <w:rPr>
                <w:sz w:val="20"/>
                <w:szCs w:val="20"/>
                <w:color w:val="auto"/>
              </w:rPr>
            </w:pPr>
            <w:r>
              <w:rPr>
                <w:rFonts w:ascii="Arial" w:cs="Arial" w:eastAsia="Arial" w:hAnsi="Arial"/>
                <w:sz w:val="15"/>
                <w:szCs w:val="15"/>
                <w:b w:val="1"/>
                <w:bCs w:val="1"/>
                <w:color w:val="auto"/>
                <w:w w:val="90"/>
              </w:rPr>
              <w:t>December 31,</w:t>
            </w:r>
          </w:p>
        </w:tc>
      </w:tr>
      <w:tr>
        <w:trPr>
          <w:trHeight w:val="182"/>
        </w:trPr>
        <w:tc>
          <w:tcPr>
            <w:tcW w:w="100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89"/>
              </w:rPr>
              <w:t>2017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loss and loss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30,666</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240" w:type="dxa"/>
            <w:vAlign w:val="bottom"/>
          </w:tcPr>
          <w:p>
            <w:pPr>
              <w:spacing w:after="0"/>
              <w:rPr>
                <w:sz w:val="18"/>
                <w:szCs w:val="18"/>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16,749</w:t>
            </w: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1,385</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48,800</w:t>
            </w: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supplementary unaudited information about average historical claims duration as of December 31,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Average Annual Percentage Payout of Incurred Loss and Allocated Loss Adjustment Expenses by</w:t>
      </w:r>
    </w:p>
    <w:p>
      <w:pPr>
        <w:jc w:val="center"/>
        <w:spacing w:after="0" w:line="229" w:lineRule="auto"/>
        <w:rPr>
          <w:sz w:val="20"/>
          <w:szCs w:val="20"/>
          <w:color w:val="auto"/>
        </w:rPr>
      </w:pPr>
      <w:r>
        <w:rPr>
          <w:rFonts w:ascii="Arial" w:cs="Arial" w:eastAsia="Arial" w:hAnsi="Arial"/>
          <w:sz w:val="15"/>
          <w:szCs w:val="15"/>
          <w:b w:val="1"/>
          <w:bCs w:val="1"/>
          <w:color w:val="auto"/>
        </w:rPr>
        <w:t>Age, Net of Reinsurance</w:t>
      </w: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Years</w:t>
            </w:r>
          </w:p>
        </w:tc>
        <w:tc>
          <w:tcPr>
            <w:tcW w:w="9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w:t>
            </w:r>
          </w:p>
        </w:tc>
        <w:tc>
          <w:tcPr>
            <w:tcW w:w="104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3</w:t>
            </w:r>
          </w:p>
        </w:tc>
        <w:tc>
          <w:tcPr>
            <w:tcW w:w="102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4</w:t>
            </w:r>
          </w:p>
        </w:tc>
        <w:tc>
          <w:tcPr>
            <w:tcW w:w="102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5</w:t>
            </w:r>
          </w:p>
        </w:tc>
        <w:tc>
          <w:tcPr>
            <w:tcW w:w="102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6</w:t>
            </w:r>
          </w:p>
        </w:tc>
        <w:tc>
          <w:tcPr>
            <w:tcW w:w="104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7</w:t>
            </w:r>
          </w:p>
        </w:tc>
        <w:tc>
          <w:tcPr>
            <w:tcW w:w="102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8</w:t>
            </w:r>
          </w:p>
        </w:tc>
        <w:tc>
          <w:tcPr>
            <w:tcW w:w="1060" w:type="dxa"/>
            <w:vAlign w:val="bottom"/>
            <w:tcBorders>
              <w:top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9</w:t>
            </w:r>
          </w:p>
        </w:tc>
        <w:tc>
          <w:tcPr>
            <w:tcW w:w="110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All Lines of</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46.7%</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18.7%</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11.5%</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7.3%</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4.7%</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1.3%</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0.6%</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0.2%</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in the above table do not add up to 100% because the percentages represent averages across all accident years at each development stage.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31, 2017, the Company closed on an underwritten public offering of 2,500,000 shares of its Common Stock. On February 14, 2017, the Company closed on the underwriters’ purchase option for an additional 192,500 shares of its Common Stock. The public offering price for the 2,692,500 shares sold was $12.00 per share. The aggregate net proceeds to the Company were approximately $30,137,000, after deducting underwriting discounts and commissions and other offering expenses in the aggregate amount of approximately $2,173,000.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 2017, the Company used $23,000,000 of the net proceeds from the offering to contribute capital to its insurance subsidiary, KICO, to support its ratings upgrade plan and additional growth. The remainder of the net proceeds will be used for general corporate purposes. A shelf registration statement relating to the shares sold in the offering was filed with the SEC and became effective on January 19,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of Common Stock</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April 2016, the Company sold 595,238 newly issued shares of its Common Stock to RenaissanceRe Ventures Ltd., a subsidiary of RenaissanceRe Holdings Ltd. (NYSE:RNR) (“RenaissanceRe”), in a private placement. RenaissanceRe is a global provider of catastrophe and specialty reinsurance and insurance.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3" w:name="page124"/>
    <w:bookmarkEnd w:id="12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new shares of Common Stock were sold to RenaissanceRe at a price of $8.40 per share. The Company received net proceeds of approximately $4,808,000 from the private placement. In June 2016, the Company invested $3,000,000 of the proceeds in KICO as additional surplus to support its continued growth. The Company intends to use the remaining net proceeds of the offering for general corporate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Declared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declared and paid on Common Stock were $3,214,471 and $1,941,271 for the years ended December 31, 2017 and 2016, respectively. The Company’s Board of Directors approved a quarterly dividend on February 2, 2018 of $.10 per share payable in cash on March 15, 2018 to stockholders of record as of February 28, 2018 (see Note 19 - 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a maximum of 700,000 shares of Common Stock of the Company are authorized to be issued pursuant to the grant of incentive stock options, non-statutory stock options, stock appreciation rights, restricted stock and stock bonuses. The stockholders approved the 2014 Plan on August 11, 2015.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results of operations for the years ended December 31, 2017 and 2016 include stock-based compensation expense totaling $38,025 and $106,882, respectively. Stock-based compensation expense related to stock options is net of estimated forfeitures of 17% for the years ended December 31, 2017 and 2016. Such amounts have been included in the consolidated statements of income and comprehensive income within other operating expenses.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Stock-based compensation expense in 2017 and 2016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year ended December 31, 2017. The weighted average estimated fair value of stock options granted during the year ended December 31, 2016 was $1.87 per share. The fair value of stock options at the grant date was estimated using the Black-Scholes option-pricing model.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4" w:name="page125"/>
    <w:bookmarkEnd w:id="12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grants during the following periods: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20" w:type="dxa"/>
            <w:vAlign w:val="bottom"/>
          </w:tcPr>
          <w:p>
            <w:pPr>
              <w:jc w:val="right"/>
              <w:ind w:right="897"/>
              <w:spacing w:after="0"/>
              <w:rPr>
                <w:sz w:val="20"/>
                <w:szCs w:val="20"/>
                <w:color w:val="auto"/>
              </w:rPr>
            </w:pPr>
            <w:r>
              <w:rPr>
                <w:rFonts w:ascii="Arial" w:cs="Arial" w:eastAsia="Arial" w:hAnsi="Arial"/>
                <w:sz w:val="15"/>
                <w:szCs w:val="15"/>
                <w:b w:val="1"/>
                <w:bCs w:val="1"/>
                <w:color w:val="auto"/>
                <w:w w:val="91"/>
              </w:rPr>
              <w:t>Years ended</w:t>
            </w:r>
          </w:p>
        </w:tc>
      </w:tr>
      <w:tr>
        <w:trPr>
          <w:trHeight w:val="206"/>
        </w:trPr>
        <w:tc>
          <w:tcPr>
            <w:tcW w:w="87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57"/>
              <w:spacing w:after="0"/>
              <w:rPr>
                <w:sz w:val="20"/>
                <w:szCs w:val="20"/>
                <w:color w:val="auto"/>
              </w:rPr>
            </w:pPr>
            <w:r>
              <w:rPr>
                <w:rFonts w:ascii="Arial" w:cs="Arial" w:eastAsia="Arial" w:hAnsi="Arial"/>
                <w:sz w:val="15"/>
                <w:szCs w:val="15"/>
                <w:b w:val="1"/>
                <w:bCs w:val="1"/>
                <w:color w:val="auto"/>
                <w:w w:val="88"/>
              </w:rPr>
              <w:t>December 31,</w:t>
            </w:r>
          </w:p>
        </w:tc>
      </w:tr>
      <w:tr>
        <w:trPr>
          <w:trHeight w:val="223"/>
        </w:trPr>
        <w:tc>
          <w:tcPr>
            <w:tcW w:w="8700" w:type="dxa"/>
            <w:vAlign w:val="bottom"/>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2017</w:t>
            </w:r>
          </w:p>
        </w:tc>
        <w:tc>
          <w:tcPr>
            <w:tcW w:w="182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2016</w:t>
            </w:r>
          </w:p>
        </w:tc>
      </w:tr>
      <w:tr>
        <w:trPr>
          <w:trHeight w:val="243"/>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33333"/>
              </w:rPr>
              <w:t>Dividend Yield</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333333"/>
                <w:w w:val="95"/>
              </w:rPr>
              <w:t>n/a</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2.74% - 3.18%</w:t>
            </w:r>
          </w:p>
        </w:tc>
      </w:tr>
      <w:tr>
        <w:trPr>
          <w:trHeight w:val="235"/>
        </w:trPr>
        <w:tc>
          <w:tcPr>
            <w:tcW w:w="8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333333"/>
              </w:rPr>
              <w:t>31.61% -</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333333"/>
              </w:rPr>
              <w:t>Volatility</w:t>
            </w:r>
          </w:p>
        </w:tc>
        <w:tc>
          <w:tcPr>
            <w:tcW w:w="900" w:type="dxa"/>
            <w:vAlign w:val="bottom"/>
          </w:tcPr>
          <w:p>
            <w:pPr>
              <w:ind w:left="640"/>
              <w:spacing w:after="0"/>
              <w:rPr>
                <w:sz w:val="20"/>
                <w:szCs w:val="20"/>
                <w:color w:val="auto"/>
              </w:rPr>
            </w:pPr>
            <w:r>
              <w:rPr>
                <w:rFonts w:ascii="Arial" w:cs="Arial" w:eastAsia="Arial" w:hAnsi="Arial"/>
                <w:sz w:val="18"/>
                <w:szCs w:val="18"/>
                <w:color w:val="333333"/>
                <w:w w:val="95"/>
              </w:rPr>
              <w:t>n/a</w:t>
            </w:r>
          </w:p>
        </w:tc>
        <w:tc>
          <w:tcPr>
            <w:tcW w:w="1820" w:type="dxa"/>
            <w:vAlign w:val="bottom"/>
          </w:tcPr>
          <w:p>
            <w:pPr>
              <w:jc w:val="right"/>
              <w:spacing w:after="0"/>
              <w:rPr>
                <w:sz w:val="20"/>
                <w:szCs w:val="20"/>
                <w:color w:val="auto"/>
              </w:rPr>
            </w:pPr>
            <w:r>
              <w:rPr>
                <w:rFonts w:ascii="Arial" w:cs="Arial" w:eastAsia="Arial" w:hAnsi="Arial"/>
                <w:sz w:val="18"/>
                <w:szCs w:val="18"/>
                <w:color w:val="333333"/>
              </w:rPr>
              <w:t>31.81%</w:t>
            </w:r>
          </w:p>
        </w:tc>
      </w:tr>
      <w:tr>
        <w:trPr>
          <w:trHeight w:val="244"/>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33333"/>
              </w:rPr>
              <w:t>Risk-Free Interest Rate</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333333"/>
                <w:w w:val="95"/>
              </w:rPr>
              <w:t>n/a</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1.01% - 1.11%</w:t>
            </w:r>
          </w:p>
        </w:tc>
      </w:tr>
      <w:tr>
        <w:trPr>
          <w:trHeight w:val="241"/>
        </w:trPr>
        <w:tc>
          <w:tcPr>
            <w:tcW w:w="8700" w:type="dxa"/>
            <w:vAlign w:val="bottom"/>
          </w:tcPr>
          <w:p>
            <w:pPr>
              <w:spacing w:after="0"/>
              <w:rPr>
                <w:sz w:val="20"/>
                <w:szCs w:val="20"/>
                <w:color w:val="auto"/>
              </w:rPr>
            </w:pPr>
            <w:r>
              <w:rPr>
                <w:rFonts w:ascii="Arial" w:cs="Arial" w:eastAsia="Arial" w:hAnsi="Arial"/>
                <w:sz w:val="18"/>
                <w:szCs w:val="18"/>
                <w:color w:val="333333"/>
              </w:rPr>
              <w:t>Expected Life</w:t>
            </w:r>
          </w:p>
        </w:tc>
        <w:tc>
          <w:tcPr>
            <w:tcW w:w="900" w:type="dxa"/>
            <w:vAlign w:val="bottom"/>
          </w:tcPr>
          <w:p>
            <w:pPr>
              <w:ind w:left="640"/>
              <w:spacing w:after="0"/>
              <w:rPr>
                <w:sz w:val="20"/>
                <w:szCs w:val="20"/>
                <w:color w:val="auto"/>
              </w:rPr>
            </w:pPr>
            <w:r>
              <w:rPr>
                <w:rFonts w:ascii="Arial" w:cs="Arial" w:eastAsia="Arial" w:hAnsi="Arial"/>
                <w:sz w:val="18"/>
                <w:szCs w:val="18"/>
                <w:color w:val="333333"/>
                <w:w w:val="95"/>
              </w:rPr>
              <w:t>n/a</w:t>
            </w:r>
          </w:p>
        </w:tc>
        <w:tc>
          <w:tcPr>
            <w:tcW w:w="1820" w:type="dxa"/>
            <w:vAlign w:val="bottom"/>
          </w:tcPr>
          <w:p>
            <w:pPr>
              <w:jc w:val="right"/>
              <w:spacing w:after="0"/>
              <w:rPr>
                <w:sz w:val="20"/>
                <w:szCs w:val="20"/>
                <w:color w:val="auto"/>
              </w:rPr>
            </w:pPr>
            <w:r>
              <w:rPr>
                <w:rFonts w:ascii="Arial" w:cs="Arial" w:eastAsia="Arial" w:hAnsi="Arial"/>
                <w:sz w:val="18"/>
                <w:szCs w:val="18"/>
                <w:color w:val="333333"/>
              </w:rPr>
              <w:t>3.25 years</w:t>
            </w:r>
          </w:p>
        </w:tc>
      </w:tr>
    </w:tbl>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and 2005 Plan for the year ended December 31, 2017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Average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74"/>
              <w:spacing w:after="0" w:line="162" w:lineRule="exact"/>
              <w:rPr>
                <w:sz w:val="20"/>
                <w:szCs w:val="20"/>
                <w:color w:val="auto"/>
              </w:rPr>
            </w:pPr>
            <w:r>
              <w:rPr>
                <w:rFonts w:ascii="Arial" w:cs="Arial" w:eastAsia="Arial" w:hAnsi="Arial"/>
                <w:sz w:val="15"/>
                <w:szCs w:val="15"/>
                <w:b w:val="1"/>
                <w:bCs w:val="1"/>
                <w:color w:val="auto"/>
                <w:w w:val="97"/>
              </w:rPr>
              <w:t>Weighted</w:t>
            </w:r>
          </w:p>
        </w:tc>
        <w:tc>
          <w:tcPr>
            <w:tcW w:w="128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1"/>
              </w:rPr>
              <w:t>Remaining</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Number of</w:t>
            </w:r>
          </w:p>
        </w:tc>
        <w:tc>
          <w:tcPr>
            <w:tcW w:w="1460" w:type="dxa"/>
            <w:vAlign w:val="bottom"/>
            <w:gridSpan w:val="2"/>
          </w:tcPr>
          <w:p>
            <w:pPr>
              <w:ind w:left="140"/>
              <w:spacing w:after="0" w:line="162" w:lineRule="exact"/>
              <w:rPr>
                <w:sz w:val="20"/>
                <w:szCs w:val="20"/>
                <w:color w:val="auto"/>
              </w:rPr>
            </w:pPr>
            <w:r>
              <w:rPr>
                <w:rFonts w:ascii="Arial" w:cs="Arial" w:eastAsia="Arial" w:hAnsi="Arial"/>
                <w:sz w:val="15"/>
                <w:szCs w:val="15"/>
                <w:b w:val="1"/>
                <w:bCs w:val="1"/>
                <w:color w:val="auto"/>
              </w:rPr>
              <w:t>Average Exercise</w:t>
            </w:r>
          </w:p>
        </w:tc>
        <w:tc>
          <w:tcPr>
            <w:tcW w:w="12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Contractual</w:t>
            </w:r>
          </w:p>
        </w:tc>
        <w:tc>
          <w:tcPr>
            <w:tcW w:w="280" w:type="dxa"/>
            <w:vAlign w:val="bottom"/>
          </w:tcPr>
          <w:p>
            <w:pPr>
              <w:spacing w:after="0"/>
              <w:rPr>
                <w:sz w:val="14"/>
                <w:szCs w:val="14"/>
                <w:color w:val="auto"/>
              </w:rPr>
            </w:pPr>
          </w:p>
        </w:tc>
        <w:tc>
          <w:tcPr>
            <w:tcW w:w="1080" w:type="dxa"/>
            <w:vAlign w:val="bottom"/>
          </w:tcPr>
          <w:p>
            <w:pPr>
              <w:jc w:val="right"/>
              <w:ind w:right="274"/>
              <w:spacing w:after="0" w:line="162" w:lineRule="exact"/>
              <w:rPr>
                <w:sz w:val="20"/>
                <w:szCs w:val="20"/>
                <w:color w:val="auto"/>
              </w:rPr>
            </w:pPr>
            <w:r>
              <w:rPr>
                <w:rFonts w:ascii="Arial" w:cs="Arial" w:eastAsia="Arial" w:hAnsi="Arial"/>
                <w:sz w:val="15"/>
                <w:szCs w:val="15"/>
                <w:b w:val="1"/>
                <w:bCs w:val="1"/>
                <w:color w:val="auto"/>
                <w:w w:val="94"/>
              </w:rPr>
              <w:t>Aggregate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auto"/>
            </w:tcBorders>
          </w:tcPr>
          <w:p>
            <w:pPr>
              <w:ind w:left="2520"/>
              <w:spacing w:after="0"/>
              <w:rPr>
                <w:sz w:val="20"/>
                <w:szCs w:val="20"/>
                <w:color w:val="auto"/>
              </w:rPr>
            </w:pPr>
            <w:r>
              <w:rPr>
                <w:rFonts w:ascii="Arial" w:cs="Arial" w:eastAsia="Arial" w:hAnsi="Arial"/>
                <w:sz w:val="15"/>
                <w:szCs w:val="15"/>
                <w:b w:val="1"/>
                <w:bCs w:val="1"/>
                <w:color w:val="auto"/>
              </w:rPr>
              <w:t>Stock Options</w:t>
            </w: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Shares</w:t>
            </w:r>
          </w:p>
        </w:tc>
        <w:tc>
          <w:tcPr>
            <w:tcW w:w="14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Price per Share</w:t>
            </w:r>
          </w:p>
        </w:tc>
        <w:tc>
          <w:tcPr>
            <w:tcW w:w="128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92"/>
              </w:rPr>
              <w:t>Term</w:t>
            </w:r>
          </w:p>
        </w:tc>
        <w:tc>
          <w:tcPr>
            <w:tcW w:w="13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5"/>
                <w:szCs w:val="15"/>
                <w:b w:val="1"/>
                <w:bCs w:val="1"/>
                <w:color w:val="auto"/>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362,750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6.62</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333333"/>
              </w:rPr>
              <w:t>2.61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2,586,748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(21,600)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5.48</w:t>
            </w:r>
          </w:p>
        </w:tc>
        <w:tc>
          <w:tcPr>
            <w:tcW w:w="1280" w:type="dxa"/>
            <w:vAlign w:val="bottom"/>
          </w:tcPr>
          <w:p>
            <w:pPr>
              <w:jc w:val="right"/>
              <w:ind w:right="58"/>
              <w:spacing w:after="0"/>
              <w:rPr>
                <w:sz w:val="20"/>
                <w:szCs w:val="20"/>
                <w:color w:val="auto"/>
              </w:rPr>
            </w:pPr>
            <w:r>
              <w:rPr>
                <w:rFonts w:ascii="Arial" w:cs="Arial" w:eastAsia="Arial" w:hAnsi="Arial"/>
                <w:sz w:val="18"/>
                <w:szCs w:val="18"/>
                <w:color w:val="333333"/>
              </w:rPr>
              <w:t>-</w:t>
            </w:r>
          </w:p>
        </w:tc>
        <w:tc>
          <w:tcPr>
            <w:tcW w:w="280" w:type="dxa"/>
            <w:vAlign w:val="bottom"/>
          </w:tcPr>
          <w:p>
            <w:pPr>
              <w:jc w:val="right"/>
              <w:spacing w:after="0"/>
              <w:rPr>
                <w:sz w:val="20"/>
                <w:szCs w:val="20"/>
                <w:color w:val="auto"/>
              </w:rPr>
            </w:pPr>
            <w:r>
              <w:rPr>
                <w:rFonts w:ascii="Arial" w:cs="Arial" w:eastAsia="Arial" w:hAnsi="Arial"/>
                <w:sz w:val="18"/>
                <w:szCs w:val="18"/>
                <w:color w:val="333333"/>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333333"/>
              </w:rPr>
              <w:t>221,012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333333"/>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33333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333333"/>
              </w:rPr>
              <w:t>Outstanding at December 31, 2017</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341,150</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6.69</w:t>
            </w: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333333"/>
              </w:rPr>
              <w:t>1.67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333333"/>
              </w:rPr>
              <w:t>4,131,028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333333"/>
              </w:rPr>
              <w:t>Vested and Exercisable at December 31, 2017</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321,150</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6.59</w:t>
            </w: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333333"/>
              </w:rPr>
              <w:t>1.53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333333"/>
              </w:rPr>
              <w:t>3,921,553</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options outstanding and options exercisable at December 31, 2017 is calculated as the difference between the exercise price of the underlying options and the market price of the Company’s Common Stock for the options that had exercise prices that were lower than the $18.80 closing price of the Company’s Common Stock on December 31, 2017. The total intrinsic value of options exercised in the year ended December 31, 2017 was $221,012, determined as of the date of exercise.</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The Company received cash proceeds of $77,927 from the exercise of options for the purchase of 13,750 shares of Common Stock during the year ended December 31, 2017. The remaining 7,850 options exercised during the year ended December 31, 2017 were Net Exercises, resulting in the issuance of 5,840 shares of Common Stock. The Company received cash proceeds of $54,310 from the exercise of options for the purchase of 11,000 shares of Common Stock during the year ended December 31, 2016. The remaining 1,000 options exercised during the year ended December 31, 2016 were Net Exercises.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5" w:name="page126"/>
    <w:bookmarkEnd w:id="12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December 31, 2017, the fair value of unamortized compensation cost related to unvested stock option awards was approximately $7,000. Unamortized compensation cost as of December 31, 2017 is expected to be recognized over a remaining weighted-average vesting period of 0.68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were 550,352 shares reserved for grants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Company’s 2014 Plan for the year ended December 31, 2017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6"/>
              <w:spacing w:after="0"/>
              <w:rPr>
                <w:sz w:val="20"/>
                <w:szCs w:val="20"/>
                <w:color w:val="auto"/>
              </w:rPr>
            </w:pPr>
            <w:r>
              <w:rPr>
                <w:rFonts w:ascii="Arial" w:cs="Arial" w:eastAsia="Arial" w:hAnsi="Arial"/>
                <w:sz w:val="15"/>
                <w:szCs w:val="15"/>
                <w:b w:val="1"/>
                <w:bCs w:val="1"/>
                <w:color w:val="auto"/>
                <w:w w:val="88"/>
              </w:rPr>
              <w:t>Weighted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Date Fair Value</w:t>
            </w:r>
          </w:p>
        </w:tc>
        <w:tc>
          <w:tcPr>
            <w:tcW w:w="1360" w:type="dxa"/>
            <w:vAlign w:val="bottom"/>
            <w:gridSpan w:val="2"/>
          </w:tcPr>
          <w:p>
            <w:pPr>
              <w:jc w:val="right"/>
              <w:ind w:right="114"/>
              <w:spacing w:after="0" w:line="162" w:lineRule="exact"/>
              <w:rPr>
                <w:sz w:val="20"/>
                <w:szCs w:val="20"/>
                <w:color w:val="auto"/>
              </w:rPr>
            </w:pPr>
            <w:r>
              <w:rPr>
                <w:rFonts w:ascii="Arial" w:cs="Arial" w:eastAsia="Arial" w:hAnsi="Arial"/>
                <w:sz w:val="15"/>
                <w:szCs w:val="15"/>
                <w:b w:val="1"/>
                <w:bCs w:val="1"/>
                <w:color w:val="auto"/>
              </w:rPr>
              <w:t>Aggregate Fair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Borders>
              <w:bottom w:val="single" w:sz="8" w:color="auto"/>
            </w:tcBorders>
          </w:tcPr>
          <w:p>
            <w:pPr>
              <w:ind w:left="2860"/>
              <w:spacing w:after="0"/>
              <w:rPr>
                <w:sz w:val="20"/>
                <w:szCs w:val="20"/>
                <w:color w:val="auto"/>
              </w:rPr>
            </w:pPr>
            <w:r>
              <w:rPr>
                <w:rFonts w:ascii="Arial" w:cs="Arial" w:eastAsia="Arial" w:hAnsi="Arial"/>
                <w:sz w:val="15"/>
                <w:szCs w:val="15"/>
                <w:b w:val="1"/>
                <w:bCs w:val="1"/>
                <w:color w:val="auto"/>
              </w:rPr>
              <w:t>Restricted Stock Awards</w:t>
            </w:r>
          </w:p>
        </w:tc>
        <w:tc>
          <w:tcPr>
            <w:tcW w:w="138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Shares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6"/>
              <w:spacing w:after="0"/>
              <w:rPr>
                <w:sz w:val="20"/>
                <w:szCs w:val="20"/>
                <w:color w:val="auto"/>
              </w:rPr>
            </w:pPr>
            <w:r>
              <w:rPr>
                <w:rFonts w:ascii="Arial" w:cs="Arial" w:eastAsia="Arial" w:hAnsi="Arial"/>
                <w:sz w:val="15"/>
                <w:szCs w:val="15"/>
                <w:b w:val="1"/>
                <w:bCs w:val="1"/>
                <w:color w:val="auto"/>
                <w:w w:val="89"/>
              </w:rPr>
              <w:t>per Share</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64,995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55,481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14.80</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821,164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(12,311)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13.70</w:t>
            </w:r>
          </w:p>
        </w:tc>
        <w:tc>
          <w:tcPr>
            <w:tcW w:w="360" w:type="dxa"/>
            <w:vAlign w:val="bottom"/>
          </w:tcPr>
          <w:p>
            <w:pPr>
              <w:jc w:val="right"/>
              <w:ind w:right="54"/>
              <w:spacing w:after="0"/>
              <w:rPr>
                <w:sz w:val="20"/>
                <w:szCs w:val="20"/>
                <w:color w:val="auto"/>
              </w:rPr>
            </w:pPr>
            <w:r>
              <w:rPr>
                <w:rFonts w:ascii="Arial" w:cs="Arial" w:eastAsia="Arial" w:hAnsi="Arial"/>
                <w:sz w:val="18"/>
                <w:szCs w:val="18"/>
                <w:color w:val="333333"/>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333333"/>
              </w:rPr>
              <w:t>178,651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11.51</w:t>
            </w:r>
          </w:p>
        </w:tc>
        <w:tc>
          <w:tcPr>
            <w:tcW w:w="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333333"/>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333333"/>
              </w:rPr>
              <w:t>38,377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333333"/>
              </w:rPr>
              <w:t>Balance at December 31, 2017</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47,337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14.35</w:t>
            </w:r>
          </w:p>
        </w:tc>
        <w:tc>
          <w:tcPr>
            <w:tcW w:w="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333333"/>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333333"/>
              </w:rPr>
              <w:t>679,180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Fair value was calculated using the closing price of the Company’s Common Stock on the grant date. For the year ended December 31, 2017, stock-based compensation for these grants was approximately $232,000, which is included in other operating expenses on the accompanying consolidated statements of income and comprehensive income. These amounts reflect the Company’s accounting expense and do not correspond to the actual value that will be recognized by the directors, executives and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Statutory Financial Information and Accounting Policies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regulatory purposes, KICO prepares its statutory basis financial statements in accordance with Statements of Statutory Accounting Principles (“statutory basis” or “SAP”) as promulgated by the National Association of Insurance Commissioners (the “NAIC”) and the prescribed or permitted practices of the New York State Department of Financial Services (the “DFS”). The more significant SAP variances from GAAP are as follows:</w:t>
      </w:r>
    </w:p>
    <w:p>
      <w:pPr>
        <w:spacing w:after="0" w:line="161" w:lineRule="exact"/>
        <w:rPr>
          <w:sz w:val="20"/>
          <w:szCs w:val="20"/>
          <w:color w:val="auto"/>
        </w:rPr>
      </w:pPr>
    </w:p>
    <w:p>
      <w:pPr>
        <w:ind w:left="500" w:hanging="492"/>
        <w:spacing w:after="0" w:line="268"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Policy acquisition costs are charged to operations in the year such costs are incurred, rather than being deferred and amortized as premiums are earned over the terms of the policies.</w:t>
      </w:r>
    </w:p>
    <w:p>
      <w:pPr>
        <w:spacing w:after="0" w:line="185"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Certain assets including certain receivables, a portion of the net deferred tax asset, prepaid expenses and furniture and equipment are not admitted.</w:t>
      </w:r>
    </w:p>
    <w:p>
      <w:pPr>
        <w:spacing w:after="0" w:line="248" w:lineRule="exact"/>
        <w:rPr>
          <w:rFonts w:ascii="Arial" w:cs="Arial" w:eastAsia="Arial" w:hAnsi="Arial"/>
          <w:sz w:val="16"/>
          <w:szCs w:val="16"/>
          <w:color w:val="auto"/>
        </w:rPr>
      </w:pPr>
    </w:p>
    <w:p>
      <w:pPr>
        <w:ind w:left="500" w:right="20" w:hanging="492"/>
        <w:spacing w:after="0" w:line="268"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Investments in fixed-maturity securities are valued at NAIC value for statutory financial purposes, which is primarily amortized cost. GAAP requires certain investments in fixed-maturity securities classified as available for sale, to be reported at fair valu</w:t>
      </w:r>
    </w:p>
    <w:p>
      <w:pPr>
        <w:spacing w:after="0" w:line="185" w:lineRule="exact"/>
        <w:rPr>
          <w:rFonts w:ascii="Arial" w:cs="Arial" w:eastAsia="Arial" w:hAnsi="Arial"/>
          <w:sz w:val="18"/>
          <w:szCs w:val="18"/>
          <w:color w:val="auto"/>
        </w:rPr>
      </w:pPr>
    </w:p>
    <w:p>
      <w:pPr>
        <w:ind w:left="500" w:right="20" w:hanging="492"/>
        <w:spacing w:after="0" w:line="268"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amounts related to ceded reinsurance are reported on a net basis within the statutory basis financial statements. GAAP requires these amounts to be shown gross.</w:t>
      </w:r>
    </w:p>
    <w:p>
      <w:pPr>
        <w:spacing w:after="0" w:line="185"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only be paid out of unassigned surplus, and the amount of an insurer’s unassigned surplus following payment of any dividends must be reasonable in relation to the insurer’s outstanding liabilities and adequate to meet its financial needs. For the years ended December 31, 2017 and 2016, KICO paid dividends to Kingstone of $2,900,000 and $1,950,000, respectively. On February 22, 2018, KICO’s Board of Directors approved a cash dividend of $800,000 to Kingstone, which was paid on February 23, 2018. For the years ended December 31, 2017 and 2016, KICO had statutory basis net income of $7,907,743 and $9,212,126, respectively. At December 31, 2017 and 2016, KICO had reported statutory basis surplus as regards policyholders of $101,290,282 and $49,962,415, respectively, as filed with the DFS.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Risk Based Capital</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The Company’s TAC is far above the ACL for each of the last two years and is in compliance with RBC requirements as of December 31, 2017 and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7" w:name="page128"/>
    <w:bookmarkEnd w:id="127"/>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31" w:lineRule="exact"/>
        <w:rPr>
          <w:sz w:val="20"/>
          <w:szCs w:val="20"/>
          <w:color w:val="auto"/>
        </w:rPr>
      </w:pPr>
    </w:p>
    <w:p>
      <w:pPr>
        <w:jc w:val="both"/>
        <w:ind w:right="60"/>
        <w:spacing w:after="0" w:line="323"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The provision for income taxes is comprised of the following:</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Years ended December 31,</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2017</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ind w:right="453"/>
              <w:spacing w:after="0"/>
              <w:rPr>
                <w:sz w:val="20"/>
                <w:szCs w:val="20"/>
                <w:color w:val="auto"/>
              </w:rPr>
            </w:pPr>
            <w:r>
              <w:rPr>
                <w:rFonts w:ascii="Arial" w:cs="Arial" w:eastAsia="Arial" w:hAnsi="Arial"/>
                <w:sz w:val="15"/>
                <w:szCs w:val="15"/>
                <w:b w:val="1"/>
                <w:bCs w:val="1"/>
                <w:color w:val="auto"/>
                <w:w w:val="89"/>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 federal income tax expense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4,317,686</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4,824,655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Current state income tax expense (benefit)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7,353</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federal and state income tax benefit</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(1,809)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4,323,230</w:t>
            </w: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7"/>
              </w:rPr>
              <w:t>4,518,701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w w:val="96"/>
              </w:rPr>
              <w:t>A reconciliation of the federal statutory rate to the Company’s effective tax rate is as follows:</w:t>
            </w: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70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Years ended December 31,</w:t>
            </w:r>
          </w:p>
        </w:tc>
        <w:tc>
          <w:tcPr>
            <w:tcW w:w="380" w:type="dxa"/>
            <w:vAlign w:val="bottom"/>
          </w:tcPr>
          <w:p>
            <w:pPr>
              <w:spacing w:after="0"/>
              <w:rPr>
                <w:sz w:val="24"/>
                <w:szCs w:val="24"/>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Computed expected tax expense</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5,008,400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4,696,463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Change in enacted tax rates on net deferred tax liabilities</w:t>
            </w:r>
          </w:p>
        </w:tc>
        <w:tc>
          <w:tcPr>
            <w:tcW w:w="38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(405,218)</w:t>
            </w:r>
          </w:p>
        </w:tc>
        <w:tc>
          <w:tcPr>
            <w:tcW w:w="820" w:type="dxa"/>
            <w:vAlign w:val="bottom"/>
            <w:gridSpan w:val="2"/>
          </w:tcPr>
          <w:p>
            <w:pPr>
              <w:jc w:val="right"/>
              <w:ind w:right="194"/>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(101,858)</w:t>
            </w:r>
          </w:p>
        </w:tc>
        <w:tc>
          <w:tcPr>
            <w:tcW w:w="82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(71,428)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State valuation allowance</w:t>
            </w:r>
          </w:p>
        </w:tc>
        <w:tc>
          <w:tcPr>
            <w:tcW w:w="38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124,486</w:t>
            </w:r>
          </w:p>
        </w:tc>
        <w:tc>
          <w:tcPr>
            <w:tcW w:w="240" w:type="dxa"/>
            <w:vAlign w:val="bottom"/>
          </w:tcPr>
          <w:p>
            <w:pPr>
              <w:spacing w:after="0"/>
              <w:rPr>
                <w:sz w:val="18"/>
                <w:szCs w:val="18"/>
                <w:color w:val="auto"/>
              </w:rPr>
            </w:pPr>
          </w:p>
        </w:tc>
        <w:tc>
          <w:tcPr>
            <w:tcW w:w="580" w:type="dxa"/>
            <w:vAlign w:val="bottom"/>
          </w:tcPr>
          <w:p>
            <w:pPr>
              <w:jc w:val="right"/>
              <w:ind w:right="254"/>
              <w:spacing w:after="0"/>
              <w:rPr>
                <w:sz w:val="20"/>
                <w:szCs w:val="20"/>
                <w:color w:val="auto"/>
              </w:rPr>
            </w:pPr>
            <w:r>
              <w:rPr>
                <w:rFonts w:ascii="Arial" w:cs="Arial" w:eastAsia="Arial" w:hAnsi="Arial"/>
                <w:sz w:val="18"/>
                <w:szCs w:val="18"/>
                <w:color w:val="auto"/>
                <w:w w:val="87"/>
              </w:rPr>
              <w:t>0.9</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85,714</w:t>
            </w: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Benefit of lower tax brackets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(100,000)</w:t>
            </w:r>
          </w:p>
        </w:tc>
        <w:tc>
          <w:tcPr>
            <w:tcW w:w="82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Permanent differences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received deduction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(138,197)</w:t>
            </w:r>
          </w:p>
        </w:tc>
        <w:tc>
          <w:tcPr>
            <w:tcW w:w="82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Non-taxable investment income</w:t>
            </w:r>
          </w:p>
        </w:tc>
        <w:tc>
          <w:tcPr>
            <w:tcW w:w="38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(85,684)</w:t>
            </w:r>
          </w:p>
        </w:tc>
        <w:tc>
          <w:tcPr>
            <w:tcW w:w="820" w:type="dxa"/>
            <w:vAlign w:val="bottom"/>
            <w:gridSpan w:val="2"/>
          </w:tcPr>
          <w:p>
            <w:pPr>
              <w:jc w:val="right"/>
              <w:ind w:right="194"/>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(110,784)</w:t>
            </w: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(25,821)</w:t>
            </w:r>
          </w:p>
        </w:tc>
        <w:tc>
          <w:tcPr>
            <w:tcW w:w="82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Other permanent differences</w:t>
            </w:r>
          </w:p>
        </w:tc>
        <w:tc>
          <w:tcPr>
            <w:tcW w:w="38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46,962</w:t>
            </w:r>
          </w:p>
        </w:tc>
        <w:tc>
          <w:tcPr>
            <w:tcW w:w="240" w:type="dxa"/>
            <w:vAlign w:val="bottom"/>
          </w:tcPr>
          <w:p>
            <w:pPr>
              <w:spacing w:after="0"/>
              <w:rPr>
                <w:sz w:val="18"/>
                <w:szCs w:val="18"/>
                <w:color w:val="auto"/>
              </w:rPr>
            </w:pPr>
          </w:p>
        </w:tc>
        <w:tc>
          <w:tcPr>
            <w:tcW w:w="580" w:type="dxa"/>
            <w:vAlign w:val="bottom"/>
          </w:tcPr>
          <w:p>
            <w:pPr>
              <w:jc w:val="right"/>
              <w:ind w:right="254"/>
              <w:spacing w:after="0"/>
              <w:rPr>
                <w:sz w:val="20"/>
                <w:szCs w:val="20"/>
                <w:color w:val="auto"/>
              </w:rPr>
            </w:pPr>
            <w:r>
              <w:rPr>
                <w:rFonts w:ascii="Arial" w:cs="Arial" w:eastAsia="Arial" w:hAnsi="Arial"/>
                <w:sz w:val="18"/>
                <w:szCs w:val="18"/>
                <w:color w:val="auto"/>
                <w:w w:val="87"/>
              </w:rPr>
              <w:t>0.3</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48,139</w:t>
            </w: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matters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4,172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08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(4,012)</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(16,689)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Total tax</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4,323,230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30.2%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4,518,701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-1868805</wp:posOffset>
            </wp:positionV>
            <wp:extent cx="72466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8"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a various rates depending on whether the temporary differences are subject to federal taxes, state taxes, or both.</w:t>
      </w:r>
    </w:p>
    <w:p>
      <w:pPr>
        <w:spacing w:after="0" w:line="16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December 22, 2017, the Tax Cuts and Jobs Act of 2017 (the “Act”), was enacted by the U.S. federal government. The Act provides for significant changes to corporate taxation including the decrease of the corporate tax rate to 21%. The Company has accounted for the material impacts of the Act by re-measuring its deferred tax assets/(liabilities) at the 21% enacted tax rate as of December 31, 2017.</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130" w:right="17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Deferred income tax liability for unrealized gains on available-for-sale securities that were re-measured due to the Act resulted in a stranded tax effect within Accumulated Other Comprehensive Income (“AOCI”). This is due to the effect of the tax rate change being recorded through continuing operations as required under Accounting Standards Codification 740. On February 14, 2018, Financial Accounting Standards Board (“FASB”) issued Accounting Standards Update 2018-02, Income Statement – Reporting Comprehensive Income (Topic 220) – Reclassification of Certain Tax Effects from Accumulated Other Comprehensive Income (“ASU 2018-02”), which allows for the reclassification of the stranded tax effects as a result of the Act from AOCI to retained earnings and requires certain other disclosures. The Company chose to early adopt the provisions of ASU 2018-02 and recorded a one-time reclassification of $182,912 from AOCI to retained earnings for the stranded tax effects resulting from the newly enacted corporate tax rate. The amount of the reclassification was the difference between the historical corporate tax rate and the newly enacted 21% corporate tax rate (see Consolidated Statement of Consolidated Stockholders’ Equity).</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impact of the change in tax rate was a decrease in net deferred income tax liabilities of $405,218 with a corresponding increase in deferred income tax benefit. Additionally, the Company re-measured the deferred tax effects of unrealized gains recorded in AOCI of $182,912 through a reclassification between AOCI and retained earnings. The Company’s net deferred income tax liability for the year ended December 31, 2016 remains at the previously enacted tax rate.</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completion of the 2017 U.S. income tax return in 2018 the Company may identify additional re-measurement adjustments to its recorded deferred tax liabilities and the one-time transition tax. The Company will continue to assess its provision for income taxes as future guidance is issued, but do not currently anticipate significant revisions will be necessary. Any such revisions will be treated in accordance with the measurement period guidance outlined in Staff Accounting Bulletin No. 118.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4"/>
              <w:spacing w:after="0"/>
              <w:rPr>
                <w:sz w:val="20"/>
                <w:szCs w:val="20"/>
                <w:color w:val="auto"/>
              </w:rPr>
            </w:pPr>
            <w:r>
              <w:rPr>
                <w:rFonts w:ascii="Arial" w:cs="Arial" w:eastAsia="Arial" w:hAnsi="Arial"/>
                <w:sz w:val="15"/>
                <w:szCs w:val="15"/>
                <w:b w:val="1"/>
                <w:bCs w:val="1"/>
                <w:color w:val="auto"/>
                <w:w w:val="88"/>
              </w:rPr>
              <w:t>December 31,</w:t>
            </w: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5"/>
                <w:szCs w:val="15"/>
                <w:b w:val="1"/>
                <w:bCs w:val="1"/>
                <w:color w:val="auto"/>
                <w:w w:val="89"/>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Net operating loss carryovers (1)</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103,655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131,626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Claims reserve discount</w:t>
            </w: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300,005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Unearned premium</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2,431,301</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2,877,365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ceding commission revenue</w:t>
            </w: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895,947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2,329,626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382,522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188,675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4,113,430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5,944,641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Investment in KICO (2)</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759,543</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1,169,000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acquisition costs</w:t>
            </w: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3,117,920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4,161,526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212,100</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328,735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265,671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Net unrealized appreciation of securities - available for sale</w:t>
            </w: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295,474</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56,393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8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4,713,772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6,111,590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(166,949)</w:t>
            </w:r>
          </w:p>
        </w:tc>
        <w:tc>
          <w:tcPr>
            <w:tcW w:w="0" w:type="dxa"/>
            <w:vAlign w:val="bottom"/>
          </w:tcPr>
          <w:p>
            <w:pPr>
              <w:spacing w:after="0"/>
              <w:rPr>
                <w:sz w:val="1"/>
                <w:szCs w:val="1"/>
                <w:color w:val="auto"/>
              </w:rPr>
            </w:pPr>
          </w:p>
        </w:tc>
      </w:tr>
      <w:tr>
        <w:trPr>
          <w:trHeight w:val="21"/>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w:t>
            </w: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500" w:type="dxa"/>
            <w:vAlign w:val="bottom"/>
            <w:gridSpan w:val="2"/>
            <w:vMerge w:val="continue"/>
          </w:tcPr>
          <w:p>
            <w:pPr>
              <w:spacing w:after="0"/>
              <w:rPr>
                <w:sz w:val="17"/>
                <w:szCs w:val="17"/>
                <w:color w:val="auto"/>
              </w:rPr>
            </w:pP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w w:val="88"/>
              </w:rPr>
              <w:t>(1)  The deferred tax assets from net operating loss carryovers are as follows:</w:t>
            </w: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480" w:type="dxa"/>
            <w:vAlign w:val="bottom"/>
            <w:tcBorders>
              <w:bottom w:val="single" w:sz="8" w:color="auto"/>
            </w:tcBorders>
          </w:tcPr>
          <w:p>
            <w:pPr>
              <w:ind w:left="3220"/>
              <w:spacing w:after="0"/>
              <w:rPr>
                <w:sz w:val="20"/>
                <w:szCs w:val="20"/>
                <w:color w:val="auto"/>
              </w:rPr>
            </w:pPr>
            <w:r>
              <w:rPr>
                <w:rFonts w:ascii="Arial" w:cs="Arial" w:eastAsia="Arial" w:hAnsi="Arial"/>
                <w:sz w:val="15"/>
                <w:szCs w:val="15"/>
                <w:b w:val="1"/>
                <w:bCs w:val="1"/>
                <w:color w:val="333333"/>
              </w:rPr>
              <w:t>Type of NOL</w:t>
            </w:r>
          </w:p>
        </w:tc>
        <w:tc>
          <w:tcPr>
            <w:tcW w:w="1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333333"/>
              </w:rPr>
              <w:t>2017</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333333"/>
              </w:rPr>
              <w:t>2016</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5"/>
                <w:szCs w:val="15"/>
                <w:b w:val="1"/>
                <w:bCs w:val="1"/>
                <w:color w:val="333333"/>
                <w:w w:val="92"/>
              </w:rPr>
              <w:t>Expiration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333333"/>
                <w:w w:val="88"/>
              </w:rPr>
              <w:t>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333333"/>
              </w:rPr>
              <w:t>State only (A)</w:t>
            </w:r>
          </w:p>
        </w:tc>
        <w:tc>
          <w:tcPr>
            <w:tcW w:w="22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33333"/>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824,996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655,719</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333333"/>
                <w:w w:val="89"/>
              </w:rPr>
              <w:t>2037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333333"/>
              </w:rPr>
              <w:t>Valuation allowance</w:t>
            </w:r>
          </w:p>
        </w:tc>
        <w:tc>
          <w:tcPr>
            <w:tcW w:w="18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(725,541)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(534,293)</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333333"/>
              </w:rPr>
              <w:t>State only, net of valuation allowance</w:t>
            </w: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99,455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333333"/>
              </w:rPr>
              <w:t>121,426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333333"/>
                <w:w w:val="88"/>
              </w:rPr>
              <w:t>December 31,</w:t>
            </w:r>
          </w:p>
        </w:tc>
        <w:tc>
          <w:tcPr>
            <w:tcW w:w="0" w:type="dxa"/>
            <w:vAlign w:val="bottom"/>
          </w:tcPr>
          <w:p>
            <w:pPr>
              <w:spacing w:after="0"/>
              <w:rPr>
                <w:sz w:val="1"/>
                <w:szCs w:val="1"/>
                <w:color w:val="auto"/>
              </w:rPr>
            </w:pPr>
          </w:p>
        </w:tc>
      </w:tr>
      <w:tr>
        <w:trPr>
          <w:trHeight w:val="231"/>
        </w:trPr>
        <w:tc>
          <w:tcPr>
            <w:tcW w:w="5500" w:type="dxa"/>
            <w:vAlign w:val="bottom"/>
            <w:gridSpan w:val="2"/>
          </w:tcPr>
          <w:p>
            <w:pPr>
              <w:spacing w:after="0"/>
              <w:rPr>
                <w:sz w:val="20"/>
                <w:szCs w:val="20"/>
                <w:color w:val="auto"/>
              </w:rPr>
            </w:pPr>
            <w:r>
              <w:rPr>
                <w:rFonts w:ascii="Arial" w:cs="Arial" w:eastAsia="Arial" w:hAnsi="Arial"/>
                <w:sz w:val="18"/>
                <w:szCs w:val="18"/>
                <w:color w:val="333333"/>
              </w:rPr>
              <w:t>Amount subject to Annual Limitation, federal only (B)</w:t>
            </w:r>
          </w:p>
        </w:tc>
        <w:tc>
          <w:tcPr>
            <w:tcW w:w="18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333333"/>
              </w:rPr>
              <w:t>4,200</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333333"/>
              </w:rPr>
              <w:t>10,200</w:t>
            </w:r>
          </w:p>
        </w:tc>
        <w:tc>
          <w:tcPr>
            <w:tcW w:w="240" w:type="dxa"/>
            <w:vAlign w:val="bottom"/>
          </w:tcPr>
          <w:p>
            <w:pPr>
              <w:spacing w:after="0"/>
              <w:rPr>
                <w:sz w:val="20"/>
                <w:szCs w:val="20"/>
                <w:color w:val="auto"/>
              </w:rPr>
            </w:pPr>
          </w:p>
        </w:tc>
        <w:tc>
          <w:tcPr>
            <w:tcW w:w="1120" w:type="dxa"/>
            <w:vAlign w:val="bottom"/>
          </w:tcPr>
          <w:p>
            <w:pPr>
              <w:jc w:val="center"/>
              <w:ind w:right="154"/>
              <w:spacing w:after="0"/>
              <w:rPr>
                <w:sz w:val="20"/>
                <w:szCs w:val="20"/>
                <w:color w:val="auto"/>
              </w:rPr>
            </w:pPr>
            <w:r>
              <w:rPr>
                <w:rFonts w:ascii="Arial" w:cs="Arial" w:eastAsia="Arial" w:hAnsi="Arial"/>
                <w:sz w:val="18"/>
                <w:szCs w:val="18"/>
                <w:color w:val="333333"/>
                <w:w w:val="89"/>
              </w:rPr>
              <w:t>2019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333333"/>
              </w:rPr>
              <w:t>Total deferred tax asset from net operating loss carryovers</w:t>
            </w:r>
          </w:p>
        </w:tc>
        <w:tc>
          <w:tcPr>
            <w:tcW w:w="18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333333"/>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333333"/>
              </w:rPr>
              <w:t>103,655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333333"/>
              </w:rPr>
              <w:t>131,626</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732"/>
              <w:spacing w:after="0"/>
              <w:rPr>
                <w:sz w:val="20"/>
                <w:szCs w:val="20"/>
                <w:color w:val="auto"/>
              </w:rPr>
            </w:pPr>
            <w:r>
              <w:rPr>
                <w:rFonts w:ascii="Arial" w:cs="Arial" w:eastAsia="Arial" w:hAnsi="Arial"/>
                <w:sz w:val="18"/>
                <w:szCs w:val="18"/>
                <w:color w:val="auto"/>
                <w:w w:val="97"/>
              </w:rPr>
              <w:t>F-47</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ind w:left="660" w:hanging="4"/>
        <w:spacing w:after="0" w:line="294" w:lineRule="auto"/>
        <w:tabs>
          <w:tab w:leader="none" w:pos="956" w:val="left"/>
        </w:tabs>
        <w:numPr>
          <w:ilvl w:val="1"/>
          <w:numId w:val="58"/>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December 31, 2017 and 2016 was approximately $12,692,000 and $10,088,000, respectively. KICO, the Company’s insurance underwriting subsidiary, is not subject to state income taxes. KICO’s state tax obligations are paid through a gross premiums tax, which is included in the consolidated statements of income and comprehensive income within other underwriting expenses. Kingstone has recorded a valuation allowance due to the uncertainty of generating enough state taxable income to utilize 100% of the available state NOLs over their remaining lives, which expire between 2027 and 2037.</w:t>
      </w:r>
    </w:p>
    <w:p>
      <w:pPr>
        <w:spacing w:after="0" w:line="102" w:lineRule="exact"/>
        <w:rPr>
          <w:rFonts w:ascii="Arial" w:cs="Arial" w:eastAsia="Arial" w:hAnsi="Arial"/>
          <w:sz w:val="16"/>
          <w:szCs w:val="16"/>
          <w:color w:val="auto"/>
        </w:rPr>
      </w:pPr>
    </w:p>
    <w:p>
      <w:pPr>
        <w:jc w:val="both"/>
        <w:ind w:left="660" w:hanging="4"/>
        <w:spacing w:after="0" w:line="306" w:lineRule="auto"/>
        <w:tabs>
          <w:tab w:leader="none" w:pos="93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Company has an NOL of $20,000 that is subject to Internal Revenue Code Section 382, which places a limitation on the utilization of the federal net operating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93" w:lineRule="exact"/>
        <w:rPr>
          <w:rFonts w:ascii="Arial" w:cs="Arial" w:eastAsia="Arial" w:hAnsi="Arial"/>
          <w:sz w:val="16"/>
          <w:szCs w:val="16"/>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Under GAAP guidance for business combinations, a temporary difference with an indefinite life exists when the parent has a lower carrying value of its subsidiary for income tax purposes. The Company is required to maintain its deferred tax liability related to this temporary difference until the stock of KICO is sold, or the assets of KICO are sold or KICO and the parent are merged.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the changes in net deferred income tax liability to the deferred income tax provision for the year ended December 31, 2017:</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333333"/>
              </w:rPr>
              <w:t>Change in net deferred income tax liabilities</w:t>
            </w: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333333"/>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33333"/>
              </w:rPr>
              <w:t>433,393</w:t>
            </w: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333333"/>
              </w:rPr>
              <w:t>Deferred tax expense allocated to other comprehensive income</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333333"/>
              </w:rPr>
              <w:t>435,202</w:t>
            </w:r>
          </w:p>
        </w:tc>
      </w:tr>
      <w:tr>
        <w:trPr>
          <w:trHeight w:val="257"/>
        </w:trPr>
        <w:tc>
          <w:tcPr>
            <w:tcW w:w="20" w:type="dxa"/>
            <w:vAlign w:val="bottom"/>
          </w:tcPr>
          <w:p>
            <w:pPr>
              <w:spacing w:after="0"/>
              <w:rPr>
                <w:sz w:val="22"/>
                <w:szCs w:val="22"/>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333333"/>
              </w:rPr>
              <w:t>Deferred income tax benefit</w:t>
            </w:r>
          </w:p>
        </w:tc>
        <w:tc>
          <w:tcPr>
            <w:tcW w:w="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33333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(1,809)</w:t>
            </w: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material interest or penalties related to income taxes that have been accrued or recognized as of and for the years ended December 31, 2017 and 2016. If any had been recognized these would be reported in income tax expense.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2014 through December 31, 2016 remain subject to examination. In March 2018, the Company received a notice that its federal income tax return for the year ended December 31, 2016 was selected for examination by the Internal Revenue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Employee 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Profit Sharing Plan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a discretionary employee profit sharing plan (the “Profit Sharing Plan”) available to full-time employees who are employed as of December 31. For the years ended December 31, 2017 and 2016, the Profit Sharing Plan called for a bonus to be paid based on a formula that is tied to the annual GAAP combined ratio (“Combined Ratio”). The maximum the bonus can be is 25% of eligible wages at a Combined Ratio of 70%. The bonus decreases by 1% for each percentage point increase in the Combined Ratio. There is a minimum bonus of 5% at a Combined Ratio of 90% and above. The bonus is allocated 35% to the employees’ 401(k) account and 65% as cash through payroll. The Company incurred approximately $989,000 and $897,000 of expense for the years ended December 31, 2017 and 2016, respectively, related to the Profit Sharing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 (k) Plan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at its discretion, may allocate an amount for additional contributions (“Additional Contributions”) to the 401(k) Plan included in the Profit Sharing Plan as discussed above. The Company incurred approximately $545,000 and $483,000 of expense for the years ended December 31, 2017 and 2016, respectively, related to the 401(k) Plan. For the years ended December 31, 2017 and 2016, Additional Contributions totaled approximately $342,000 and $309,000,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base rental costs, occupancy lease agreements generally provide for rent escalations resulting from increased assessments from real estate taxes and other charges. Rent expense under the lease is recognized on a straight-line basis over the lease term. At December 31, 2017, cumulative rent expense exceeded cumulative rent payments by $90,582. This difference is recorded as deferred rent and is included in accounts payable, accrued expenses and other liabilities in the accompanying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aggregate future minimum rental commitments under this agreement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jc w:val="center"/>
              <w:spacing w:after="0"/>
              <w:rPr>
                <w:sz w:val="20"/>
                <w:szCs w:val="20"/>
                <w:color w:val="auto"/>
              </w:rPr>
            </w:pPr>
            <w:r>
              <w:rPr>
                <w:rFonts w:ascii="Arial" w:cs="Arial" w:eastAsia="Arial" w:hAnsi="Arial"/>
                <w:sz w:val="15"/>
                <w:szCs w:val="15"/>
                <w:b w:val="1"/>
                <w:bCs w:val="1"/>
                <w:color w:val="auto"/>
                <w:w w:val="89"/>
              </w:rPr>
              <w:t>For the Year</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3"/>
        </w:trPr>
        <w:tc>
          <w:tcPr>
            <w:tcW w:w="10060" w:type="dxa"/>
            <w:vAlign w:val="bottom"/>
          </w:tcPr>
          <w:p>
            <w:pPr>
              <w:jc w:val="center"/>
              <w:spacing w:after="0"/>
              <w:rPr>
                <w:sz w:val="20"/>
                <w:szCs w:val="20"/>
                <w:color w:val="auto"/>
              </w:rPr>
            </w:pPr>
            <w:r>
              <w:rPr>
                <w:rFonts w:ascii="Arial" w:cs="Arial" w:eastAsia="Arial" w:hAnsi="Arial"/>
                <w:sz w:val="15"/>
                <w:szCs w:val="15"/>
                <w:b w:val="1"/>
                <w:bCs w:val="1"/>
                <w:color w:val="auto"/>
                <w:w w:val="90"/>
              </w:rPr>
              <w:t>Ending</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3"/>
        </w:trPr>
        <w:tc>
          <w:tcPr>
            <w:tcW w:w="10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Total</w:t>
            </w:r>
          </w:p>
        </w:tc>
      </w:tr>
      <w:tr>
        <w:trPr>
          <w:trHeight w:val="216"/>
        </w:trPr>
        <w:tc>
          <w:tcPr>
            <w:tcW w:w="10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164,117</w:t>
            </w:r>
          </w:p>
        </w:tc>
      </w:tr>
      <w:tr>
        <w:trPr>
          <w:trHeight w:val="216"/>
        </w:trPr>
        <w:tc>
          <w:tcPr>
            <w:tcW w:w="10060" w:type="dxa"/>
            <w:vAlign w:val="bottom"/>
          </w:tcPr>
          <w:p>
            <w:pPr>
              <w:jc w:val="center"/>
              <w:spacing w:after="0"/>
              <w:rPr>
                <w:sz w:val="20"/>
                <w:szCs w:val="20"/>
                <w:color w:val="auto"/>
              </w:rPr>
            </w:pPr>
            <w:r>
              <w:rPr>
                <w:rFonts w:ascii="Arial" w:cs="Arial" w:eastAsia="Arial" w:hAnsi="Arial"/>
                <w:sz w:val="18"/>
                <w:szCs w:val="18"/>
                <w:color w:val="auto"/>
                <w:w w:val="84"/>
              </w:rPr>
              <w:t>2019</w:t>
            </w:r>
          </w:p>
        </w:tc>
        <w:tc>
          <w:tcPr>
            <w:tcW w:w="36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169,861</w:t>
            </w:r>
          </w:p>
        </w:tc>
      </w:tr>
      <w:tr>
        <w:trPr>
          <w:trHeight w:val="216"/>
        </w:trPr>
        <w:tc>
          <w:tcPr>
            <w:tcW w:w="10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175,806</w:t>
            </w:r>
          </w:p>
        </w:tc>
      </w:tr>
      <w:tr>
        <w:trPr>
          <w:trHeight w:val="216"/>
        </w:trPr>
        <w:tc>
          <w:tcPr>
            <w:tcW w:w="1006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36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181,959</w:t>
            </w:r>
          </w:p>
        </w:tc>
      </w:tr>
      <w:tr>
        <w:trPr>
          <w:trHeight w:val="216"/>
        </w:trPr>
        <w:tc>
          <w:tcPr>
            <w:tcW w:w="10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188,328</w:t>
            </w:r>
          </w:p>
        </w:tc>
      </w:tr>
      <w:tr>
        <w:trPr>
          <w:trHeight w:val="223"/>
        </w:trPr>
        <w:tc>
          <w:tcPr>
            <w:tcW w:w="1006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244,064</w:t>
            </w:r>
          </w:p>
        </w:tc>
      </w:tr>
      <w:tr>
        <w:trPr>
          <w:trHeight w:val="257"/>
        </w:trPr>
        <w:tc>
          <w:tcPr>
            <w:tcW w:w="10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1,124,135</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Rent expense for the years ended December 31, 2017 and 2016 amounted to $165,368 and $119,720, respectively, and is included in the consolidated statements of income and comprehensive income within other underwriting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in effect for the year ended December 31, 2016</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August 12, 2014, the Company entered into an amendment to its employment agreement with Barry Goldstein, its President, Chairman of the Board and Chief Executive Officer (as amended, the “Prior Goldstein Employment Agreement”), pursuant to which the term of the employment agreement was extended from December 31, 2014 to December 31, 2016 and, effective July 1, 2014 and continuing through the term of the agreement, Mr. Goldstein’s annual base salary was increased to $575,000 and his bonus was revised to equal 6% of the Company’s consolidated income from operations before taxes, net of the Company’s consolidated net investment income and net realized gains on sales of investments. In addition, in consideration of Mr. Goldstein entering into the amendment, the Company paid him a bonus in the amount of $62,500.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2" w:name="page133"/>
    <w:bookmarkEnd w:id="13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Concurrently with the amendment, the Company granted to Mr. Goldstein, pursuant to the 2005 Plan, a five year option for the purchase of 200,000 shares of common stock at an exercise price of $6.73 per share, exercisable to the extent of 62,500 shares on the date of grant and each of the initial two anniversary dates of the grant and 12,500 shares on the third anniversary date of the grant. In addition, the Company granted to Mr. Goldstein, pursuant to the 2014 Plan, a five year option for the purchase of 50,000 shares of common stock at an exercise price of $6.73 per share, exercisable on the third anniversary of the date of the grant. The 50,000 share option grant was subject to stockholder approval of the 2014 Plan. The stockholders approved the 2014 Plan on August 11, 2015. Pursuant to the stock option agreements with Mr. Goldstein, the Company agreed that, under certain circumstances following a change of control of the Company, and the termination of his employment, or in the event Mr. Goldstein’s employment with the Company was terminated by the Company without cause or he resigned with good reason (each as defined in his employment agreement), all of the options granted to Mr. Goldstein would have become exercisable and would have remained exercisable until the first anniversary of the termination date.</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Prior Goldstein Employment Agreement, the Company also agreed that, under certain circumstances following a change of control of Kingstone Companies, Inc. and the termination of his employment, Mr. Goldstein would have been entitled to a payout equal to one and one-half times his then annual salary. In the event of termination of Mr. Goldstein’s employment by the Company without cause or he resigned with good reason (as each term is defined in the Prior Goldstein Employment Agreement), Mr. Goldstein would have been entitled to receive his base salary and bonuses from the Company for the remainder of the term, and his outstanding options would have become exercisable and would have remained exercisable until the first anniversary of the termination date. In addition, in the event Mr. Goldstein’s employment with KICO was terminated by KICO with or without cause, he would have been entitled to receive a lump sum payment from KICO equal to six months base salary.</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Prior Goldstein Employment Agreement expired on December 31, 2016 and in January 2017, Mr. Goldstein entered into a new employment agreement with the Company as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in effect as of January 1, 2017</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January 20, 2017, the Company and Mr. Goldstein, entered into a new employment agreement (the “2017 Goldstein Employment Agreement”). The 2017 Goldstein Employment Agreement is effective as of January 1, 2017 and expires on December 31, 2019.</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2017 Goldstein Employment Agreement, Mr. Goldstein is entitled to receive an annual base salary of $630,000 (an increase from $575,000 per annum in effect through December 31, 2016) and an annual bonus equal to 6% of the Company's consolidated income from operations before taxes, exclusive of the Company's consolidated net investment income (loss) and net realized gains (losses) on investments (consistent with the bonus payable to Mr. Goldstein through December 31, 2016). In addition, pursuant to the 2017 Goldstein Employment Agreement, Mr. Goldstein is entitled to a long-term compensation payment ("LTC") of between $945,000 and $2,835,000 in the event the Company's adjusted book value per share (as defined in the 2017 Goldstein Employment Agreement) has increased by at least an average of 8% per annum as of December 31, 2019 as compared to December 31, 2016 (with the maximum LTC payment being due if the average per annum increase is at least 14%). Accrued LTC compensation of $945,000 for the year ended December 31, 2017 is included in other operating expenses on the accompanying consolidated statements of income and comprehensive income.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9"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Further, pursuant to the 2017 Goldstein Employment Agreement, in the event that Mr. Goldstein's employment is terminated by the Company without cause or he resigns for good reason (each as defined in the 2017 Goldstein Employment Agreement), Mr. Goldstein would be entitled to receive his base salary, the 6% bonus and the LTC payment for the remainder of the term. Mr. Goldstein would be entitled, under certain circumstances, to a payment equal to one and one-half times his then annual salary and the target LTC payment of $1,890,000 in the event of the termination of his employment following a change of control of the Company.</w:t>
      </w:r>
    </w:p>
    <w:p>
      <w:pPr>
        <w:spacing w:after="0" w:line="1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consideration of certain accomplishments during the three year period ended December 31, 2016, the Company also paid Mr. Goldstein a bonus in the amount of $200,000.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Approval Required for Transactions with Subsidiary</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July 1, 2009, Kingstone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Kingstone acquired a 100% equity interest in KICO. In connection with the plan of conversion of CMIC, the Company has agreed with the DFS that any intercompany transaction between itself and KICO must be filed with the DFS 30 days prior to implementation.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Common Share</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computation of diluted earnings per common share excludes outstanding options in periods where the exercise of such options would be anti-dilutive. For the years ended December 31, 2017 and 2016, the inclusion of -0- and 7,715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 per common share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840" w:type="dxa"/>
            <w:vAlign w:val="bottom"/>
          </w:tcPr>
          <w:p>
            <w:pPr>
              <w:jc w:val="right"/>
              <w:ind w:right="38"/>
              <w:spacing w:after="0"/>
              <w:rPr>
                <w:sz w:val="20"/>
                <w:szCs w:val="20"/>
                <w:color w:val="auto"/>
              </w:rPr>
            </w:pPr>
            <w:r>
              <w:rPr>
                <w:rFonts w:ascii="Arial" w:cs="Arial" w:eastAsia="Arial" w:hAnsi="Arial"/>
                <w:sz w:val="15"/>
                <w:szCs w:val="15"/>
                <w:b w:val="1"/>
                <w:bCs w:val="1"/>
                <w:color w:val="auto"/>
              </w:rPr>
              <w:t>Year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840" w:type="dxa"/>
            <w:vAlign w:val="bottom"/>
            <w:tcBorders>
              <w:bottom w:val="single" w:sz="8" w:color="auto"/>
            </w:tcBorders>
          </w:tcPr>
          <w:p>
            <w:pPr>
              <w:jc w:val="right"/>
              <w:ind w:right="938"/>
              <w:spacing w:after="0"/>
              <w:rPr>
                <w:sz w:val="20"/>
                <w:szCs w:val="20"/>
                <w:color w:val="auto"/>
              </w:rPr>
            </w:pPr>
            <w:r>
              <w:rPr>
                <w:rFonts w:ascii="Arial" w:cs="Arial" w:eastAsia="Arial" w:hAnsi="Arial"/>
                <w:sz w:val="15"/>
                <w:szCs w:val="15"/>
                <w:b w:val="1"/>
                <w:bCs w:val="1"/>
                <w:color w:val="auto"/>
              </w:rPr>
              <w:t>2017</w:t>
            </w: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w w:val="95"/>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84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10,388,440</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9"/>
              </w:rPr>
              <w:t>7,736,594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840" w:type="dxa"/>
            <w:vAlign w:val="bottom"/>
          </w:tcPr>
          <w:p>
            <w:pPr>
              <w:jc w:val="right"/>
              <w:ind w:right="538"/>
              <w:spacing w:after="0"/>
              <w:rPr>
                <w:sz w:val="20"/>
                <w:szCs w:val="20"/>
                <w:color w:val="auto"/>
              </w:rPr>
            </w:pPr>
            <w:r>
              <w:rPr>
                <w:rFonts w:ascii="Arial" w:cs="Arial" w:eastAsia="Arial" w:hAnsi="Arial"/>
                <w:sz w:val="18"/>
                <w:szCs w:val="18"/>
                <w:color w:val="auto"/>
              </w:rPr>
              <w:t>188,983</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awards</w:t>
            </w:r>
          </w:p>
        </w:tc>
        <w:tc>
          <w:tcPr>
            <w:tcW w:w="184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8"/>
                <w:szCs w:val="18"/>
                <w:color w:val="auto"/>
              </w:rPr>
              <w:t>4,154</w:t>
            </w:r>
          </w:p>
        </w:tc>
        <w:tc>
          <w:tcPr>
            <w:tcW w:w="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used for computing diluted earnings per share</w:t>
            </w:r>
          </w:p>
        </w:tc>
        <w:tc>
          <w:tcPr>
            <w:tcW w:w="1840" w:type="dxa"/>
            <w:vAlign w:val="bottom"/>
            <w:tcBorders>
              <w:bottom w:val="single" w:sz="8" w:color="auto"/>
            </w:tcBorders>
          </w:tcPr>
          <w:p>
            <w:pPr>
              <w:jc w:val="right"/>
              <w:ind w:right="538"/>
              <w:spacing w:after="0"/>
              <w:rPr>
                <w:sz w:val="20"/>
                <w:szCs w:val="20"/>
                <w:color w:val="auto"/>
              </w:rPr>
            </w:pPr>
            <w:r>
              <w:rPr>
                <w:rFonts w:ascii="Arial" w:cs="Arial" w:eastAsia="Arial" w:hAnsi="Arial"/>
                <w:sz w:val="18"/>
                <w:szCs w:val="18"/>
                <w:color w:val="auto"/>
              </w:rPr>
              <w:t>10,581,577</w:t>
            </w: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89"/>
              </w:rPr>
              <w:t>7,807,263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has evaluated events that occurred subsequent to December 31, 2017 through March 15, 2018, the date these consolidated financial statements were issued for matters that required disclosure or adjustment in these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February 2, 2018, the Company’s Board of Directors approved a dividend of $.10 per share, or $1,068,377, payable in cash on March 15, 2018 to stockholders of record as of February 28,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14, 2018, the Company and Dale A. Thatcher, a director of the Company, entered into an employment agreement (the “Thatcher Employment Agreement”) pursuant to which Mr. Thatcher will serve as the Company’s Chief Operating Officer. Mr. Thatcher is also to serve as KICO’s President. The Thatcher Employment Agreement is effective as of March 15, 2018 and expires on December 31, 2018.</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the Thatcher Employment Agreement, Mr. Thatcher is entitled to receive a base salary of $500,000 per annum and a minimum bonus equal to 15% of his base salary. Concurrently with the execution of the Thatcher Employment Agreement, the Company granted to Mr. Thatcher 35,715 shares of restricted Common Stock under the 2014 Plan. The shares granted will vest in three equal installments on each of the three annual anniversaries following the grant date, subject to the terms of the restricted stock grant agreement between the Company and Mr. Thatcher.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Index</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Quarterly Financial Data (Unaudited)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2017 and 2016: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89"/>
              </w:rPr>
              <w:t>2017</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5"/>
              <w:spacing w:after="0" w:line="149" w:lineRule="exact"/>
              <w:rPr>
                <w:sz w:val="20"/>
                <w:szCs w:val="20"/>
                <w:color w:val="auto"/>
              </w:rPr>
            </w:pPr>
            <w:r>
              <w:rPr>
                <w:rFonts w:ascii="Arial" w:cs="Arial" w:eastAsia="Arial" w:hAnsi="Arial"/>
                <w:sz w:val="15"/>
                <w:szCs w:val="15"/>
                <w:b w:val="1"/>
                <w:bCs w:val="1"/>
                <w:color w:val="auto"/>
                <w:w w:val="87"/>
              </w:rPr>
              <w:t>September</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5"/>
                <w:szCs w:val="15"/>
                <w:b w:val="1"/>
                <w:bCs w:val="1"/>
                <w:color w:val="auto"/>
                <w:w w:val="95"/>
              </w:rPr>
              <w:t>March 31,</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5"/>
                <w:szCs w:val="15"/>
                <w:b w:val="1"/>
                <w:bCs w:val="1"/>
                <w:color w:val="auto"/>
                <w:w w:val="96"/>
              </w:rPr>
              <w:t>June 30,</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5"/>
                <w:szCs w:val="15"/>
                <w:b w:val="1"/>
                <w:bCs w:val="1"/>
                <w:color w:val="auto"/>
                <w:w w:val="86"/>
              </w:rPr>
              <w:t>30,</w:t>
            </w: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Total</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16,369,748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16,953,727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21,514,408</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5"/>
              </w:rPr>
              <w:t>$ 22,513,140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77,351,023</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3,184,452</w:t>
            </w: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3,305,938</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1,717,610</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1,725,133</w:t>
            </w: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9,933,133</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857,800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1,026,004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1,033,307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1,215,475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4,132,586</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realized gain (loss) on sale of investments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(54,506)</w:t>
            </w: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130,423</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20,998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(12,602)</w:t>
            </w: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84,313</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20,647,194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21,724,251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24,614,653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25,783,212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92,769,310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and loss adjustment expenses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8,292,996</w:t>
            </w: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7,454,922</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7,073,323</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88"/>
              </w:rPr>
              <w:t>11,364,296</w:t>
            </w: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86"/>
              </w:rPr>
              <w:t>34,185,537</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 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underwriting expenses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9,101,395</w:t>
            </w: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9,301,182</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9,975,938</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88"/>
              </w:rPr>
              <w:t>10,919,353</w:t>
            </w: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86"/>
              </w:rPr>
              <w:t>39,297,868</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1,470,580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2,510,392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4,073,921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1,931,592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9,986,485</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0.38</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0.96</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0.94</w:t>
            </w:r>
          </w:p>
        </w:tc>
      </w:tr>
      <w:tr>
        <w:trPr>
          <w:trHeight w:val="466"/>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89"/>
              </w:rPr>
              <w:t>2016</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5"/>
              <w:spacing w:after="0" w:line="149" w:lineRule="exact"/>
              <w:rPr>
                <w:sz w:val="20"/>
                <w:szCs w:val="20"/>
                <w:color w:val="auto"/>
              </w:rPr>
            </w:pPr>
            <w:r>
              <w:rPr>
                <w:rFonts w:ascii="Arial" w:cs="Arial" w:eastAsia="Arial" w:hAnsi="Arial"/>
                <w:sz w:val="15"/>
                <w:szCs w:val="15"/>
                <w:b w:val="1"/>
                <w:bCs w:val="1"/>
                <w:color w:val="auto"/>
                <w:w w:val="87"/>
              </w:rPr>
              <w:t>September</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5"/>
                <w:szCs w:val="15"/>
                <w:b w:val="1"/>
                <w:bCs w:val="1"/>
                <w:color w:val="auto"/>
                <w:w w:val="95"/>
              </w:rPr>
              <w:t>March 31,</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5"/>
                <w:szCs w:val="15"/>
                <w:b w:val="1"/>
                <w:bCs w:val="1"/>
                <w:color w:val="auto"/>
                <w:w w:val="96"/>
              </w:rPr>
              <w:t>June 30,</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5"/>
                <w:szCs w:val="15"/>
                <w:b w:val="1"/>
                <w:bCs w:val="1"/>
                <w:color w:val="auto"/>
                <w:w w:val="86"/>
              </w:rPr>
              <w:t>30,</w:t>
            </w: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Total</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14,531,675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15,010,875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15,646,181</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5"/>
              </w:rPr>
              <w:t>$ 16,219,175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61,407,906</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2,770,337</w:t>
            </w: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2,569,025</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2,934,928</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2,993,951</w:t>
            </w: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86"/>
              </w:rPr>
              <w:t>11,268,241</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813,057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764,070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709,072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829,384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3,115,583</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realized gain (loss) on sale of investments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80,436</w:t>
            </w: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283,432</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241,035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(75,455)</w:t>
            </w: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529,448</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18,444,852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18,911,910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19,828,397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20,251,505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77,436,664</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and loss adjustment expenses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9,483,855</w:t>
            </w: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5,786,836</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5,134,854</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7,384,116</w:t>
            </w: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86"/>
              </w:rPr>
              <w:t>27,789,661</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 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underwriting expenses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7,616,507</w:t>
            </w: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8,122,342</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8,642,964</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8,812,023</w:t>
            </w: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86"/>
              </w:rPr>
              <w:t>33,193,836</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541,032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2,842,261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3,460,626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2,055,847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8,899,766</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0.44</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changes in number of shares outstanding from quarter to quarter, the total earnings per share of the four quarters may not necessarily equal the earnings per share for the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6" w:name="page137"/>
    <w:bookmarkEnd w:id="136"/>
    <w:p>
      <w:pPr>
        <w:ind w:left="10420"/>
        <w:spacing w:after="0"/>
        <w:rPr>
          <w:sz w:val="20"/>
          <w:szCs w:val="20"/>
          <w:color w:val="auto"/>
        </w:rPr>
      </w:pPr>
      <w:r>
        <w:rPr>
          <w:rFonts w:ascii="Arial" w:cs="Arial" w:eastAsia="Arial" w:hAnsi="Arial"/>
          <w:sz w:val="16"/>
          <w:szCs w:val="16"/>
          <w:b w:val="1"/>
          <w:bCs w:val="1"/>
          <w:color w:val="auto"/>
        </w:rPr>
        <w:t>Exhibit 10(d)</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EMPLOYMENT AGREEMENT</w:t>
      </w:r>
      <w:r>
        <w:rPr>
          <w:rFonts w:ascii="Arial" w:cs="Arial" w:eastAsia="Arial" w:hAnsi="Arial"/>
          <w:sz w:val="18"/>
          <w:szCs w:val="18"/>
          <w:color w:val="auto"/>
        </w:rPr>
        <w:t>, dated April 28, 2017, by and between</w:t>
      </w:r>
      <w:r>
        <w:rPr>
          <w:rFonts w:ascii="Arial" w:cs="Arial" w:eastAsia="Arial" w:hAnsi="Arial"/>
          <w:sz w:val="18"/>
          <w:szCs w:val="18"/>
          <w:b w:val="1"/>
          <w:bCs w:val="1"/>
          <w:color w:val="auto"/>
        </w:rPr>
        <w:t xml:space="preserve"> KINGSTONE INSURANCE COMPANY</w:t>
      </w:r>
      <w:r>
        <w:rPr>
          <w:rFonts w:ascii="Arial" w:cs="Arial" w:eastAsia="Arial" w:hAnsi="Arial"/>
          <w:sz w:val="18"/>
          <w:szCs w:val="18"/>
          <w:color w:val="auto"/>
        </w:rPr>
        <w:t>, a New York stock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casualty insurance company (the “Company”), and </w:t>
      </w:r>
      <w:r>
        <w:rPr>
          <w:rFonts w:ascii="Arial" w:cs="Arial" w:eastAsia="Arial" w:hAnsi="Arial"/>
          <w:sz w:val="18"/>
          <w:szCs w:val="18"/>
          <w:b w:val="1"/>
          <w:bCs w:val="1"/>
          <w:color w:val="auto"/>
        </w:rPr>
        <w:t>BARRY B. GOLDSTEIN</w:t>
      </w:r>
      <w:r>
        <w:rPr>
          <w:rFonts w:ascii="Arial" w:cs="Arial" w:eastAsia="Arial" w:hAnsi="Arial"/>
          <w:sz w:val="18"/>
          <w:szCs w:val="18"/>
          <w:color w:val="auto"/>
        </w:rPr>
        <w:t xml:space="preserve"> (the “Employee”).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are parties to an Employment Agreement, dated as of May 10, 2011, as amended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which sets forth the terms and conditions upon which the Employee is employed by the Company and upon which the Company will compensate the Employee for his services through December 31, 2016.</w:t>
      </w:r>
    </w:p>
    <w:p>
      <w:pPr>
        <w:spacing w:after="0" w:line="11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desire to enter into a new employment agreement which will set forth the terms and conditions upon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Employee shall be employed by the Company and upon which the Company shall compensate the Employee for his services effective as of January 1, 2017.</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mutual covenants hereinafter set forth, the parties hereto hereby agree as follows:</w:t>
      </w:r>
    </w:p>
    <w:p>
      <w:pPr>
        <w:spacing w:after="0" w:line="208" w:lineRule="exact"/>
        <w:rPr>
          <w:sz w:val="20"/>
          <w:szCs w:val="20"/>
          <w:color w:val="auto"/>
        </w:rPr>
      </w:pPr>
    </w:p>
    <w:p>
      <w:pPr>
        <w:ind w:left="1000" w:hanging="344"/>
        <w:spacing w:after="0"/>
        <w:tabs>
          <w:tab w:leader="none" w:pos="10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TERM</w:t>
      </w:r>
    </w:p>
    <w:p>
      <w:pPr>
        <w:spacing w:after="0" w:line="191" w:lineRule="exact"/>
        <w:rPr>
          <w:sz w:val="20"/>
          <w:szCs w:val="20"/>
          <w:color w:val="auto"/>
        </w:rPr>
      </w:pPr>
    </w:p>
    <w:p>
      <w:pPr>
        <w:ind w:right="60" w:firstLine="1297"/>
        <w:spacing w:after="0" w:line="256" w:lineRule="auto"/>
        <w:rPr>
          <w:sz w:val="20"/>
          <w:szCs w:val="20"/>
          <w:color w:val="auto"/>
        </w:rPr>
      </w:pPr>
      <w:r>
        <w:rPr>
          <w:rFonts w:ascii="Arial" w:cs="Arial" w:eastAsia="Arial" w:hAnsi="Arial"/>
          <w:sz w:val="18"/>
          <w:szCs w:val="18"/>
          <w:color w:val="auto"/>
        </w:rPr>
        <w:t>1.1 The Company will employ the Employee in its business, and the Employee will work for the Company therein, as its President, Chairman of the Board, Chief Executive Officer and Chief Investment Officer for a term commencing as of January 1, 2017 (the “Effective Date”) and terminating on December 31, 2019 (the “Expiration Date”), subject to earlier termination as hereinafter provided (the employment period, as earlier terminated as provided for herein, being referred to as the “Term”).</w:t>
      </w:r>
    </w:p>
    <w:p>
      <w:pPr>
        <w:spacing w:after="0" w:line="157"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1.2 Upon the expiration of the Term or the termination of the Employee’s employment with the Company for any reason whatsoever, whether during or following the Term, he shall be deemed to have resigned all of his positions as an employee, officer and director of the Company and of each and every subsidiary thereof.</w:t>
      </w:r>
    </w:p>
    <w:p>
      <w:pPr>
        <w:spacing w:after="0" w:line="148" w:lineRule="exact"/>
        <w:rPr>
          <w:sz w:val="20"/>
          <w:szCs w:val="20"/>
          <w:color w:val="auto"/>
        </w:rPr>
      </w:pPr>
    </w:p>
    <w:p>
      <w:pPr>
        <w:ind w:left="1000" w:hanging="344"/>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DUTIES</w:t>
      </w:r>
    </w:p>
    <w:p>
      <w:pPr>
        <w:spacing w:after="0" w:line="191" w:lineRule="exact"/>
        <w:rPr>
          <w:sz w:val="20"/>
          <w:szCs w:val="20"/>
          <w:color w:val="auto"/>
        </w:rPr>
      </w:pPr>
    </w:p>
    <w:p>
      <w:pPr>
        <w:ind w:right="140" w:firstLine="1297"/>
        <w:spacing w:after="0" w:line="298" w:lineRule="auto"/>
        <w:rPr>
          <w:sz w:val="20"/>
          <w:szCs w:val="20"/>
          <w:color w:val="auto"/>
        </w:rPr>
      </w:pPr>
      <w:r>
        <w:rPr>
          <w:rFonts w:ascii="Arial" w:cs="Arial" w:eastAsia="Arial" w:hAnsi="Arial"/>
          <w:sz w:val="16"/>
          <w:szCs w:val="16"/>
          <w:color w:val="auto"/>
        </w:rPr>
        <w:t>2.1 During the Term, the Employee shall serve as the Company’s President, Chairman of the Board, Chief Executive Officer and Chief Investment Officer and shall perform duties of an executive character consisting of administrative and managerial responsibilities on behalf of the Company of the type and nature heretofore assigned to the Employee and such further duties of an executive character as shall, from time to time, be delegated or assigned to him by the Board of Directors of the Company (the “Board”) consistent with the Employee’s position.</w:t>
      </w:r>
    </w:p>
    <w:p>
      <w:pPr>
        <w:spacing w:after="0" w:line="120" w:lineRule="exact"/>
        <w:rPr>
          <w:sz w:val="20"/>
          <w:szCs w:val="20"/>
          <w:color w:val="auto"/>
        </w:rPr>
      </w:pPr>
    </w:p>
    <w:p>
      <w:pPr>
        <w:ind w:left="1000" w:hanging="344"/>
        <w:spacing w:after="0"/>
        <w:tabs>
          <w:tab w:leader="none" w:pos="10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DEVOTION OF TIME</w:t>
      </w:r>
    </w:p>
    <w:p>
      <w:pPr>
        <w:spacing w:after="0" w:line="19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3.1 During the Term, the Employee shall expend all of his working time for the Company, shall devote his best efforts, energy and skill to the services of the Company and the promotion of its interests and shall not take part in activities detrimental to the best interests of the Company. Notwithstanding the foregoing, during the term of the Employment Agreement between Kingstone Companies, Inc. (“KINS”) and the Employee, dated as of January 20, 2017 (the “KINS Employment Agreement”), the Employee shall be entitled to devote such time as is necessary to the fulfillment of his duties and responsibilities as President, Chief Executive Officer and Chairman of the Board of KINS.</w:t>
      </w:r>
    </w:p>
    <w:p>
      <w:pPr>
        <w:spacing w:after="0" w:line="156" w:lineRule="exact"/>
        <w:rPr>
          <w:sz w:val="20"/>
          <w:szCs w:val="20"/>
          <w:color w:val="auto"/>
        </w:rPr>
      </w:pPr>
    </w:p>
    <w:p>
      <w:pPr>
        <w:ind w:right="40" w:firstLine="1297"/>
        <w:spacing w:after="0" w:line="256" w:lineRule="auto"/>
        <w:rPr>
          <w:sz w:val="20"/>
          <w:szCs w:val="20"/>
          <w:color w:val="auto"/>
        </w:rPr>
      </w:pPr>
      <w:r>
        <w:rPr>
          <w:rFonts w:ascii="Arial" w:cs="Arial" w:eastAsia="Arial" w:hAnsi="Arial"/>
          <w:sz w:val="18"/>
          <w:szCs w:val="18"/>
          <w:color w:val="auto"/>
        </w:rPr>
        <w:t>3.2 The Employee shall be permitted to engage in the following activities: (a) charity, social or civic work, (b) tend to personal financial and legal affairs, (c) engage in any other business or business-related activity, and (d) subject to the prior written consent of the Company (following Board approval), serve on the Board of Directors of, or advisor to, other business organizations, in each case (i.e., (a) through (d) above), provided that such activities do not interfere or conflict with his full-time services to the Company.</w:t>
      </w:r>
    </w:p>
    <w:p>
      <w:pPr>
        <w:spacing w:after="0" w:line="151" w:lineRule="exact"/>
        <w:rPr>
          <w:sz w:val="20"/>
          <w:szCs w:val="20"/>
          <w:color w:val="auto"/>
        </w:rPr>
      </w:pPr>
    </w:p>
    <w:p>
      <w:pPr>
        <w:ind w:left="1000" w:hanging="344"/>
        <w:spacing w:after="0"/>
        <w:tabs>
          <w:tab w:leader="none" w:pos="10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191" w:lineRule="exact"/>
        <w:rPr>
          <w:sz w:val="20"/>
          <w:szCs w:val="20"/>
          <w:color w:val="auto"/>
        </w:rPr>
      </w:pPr>
    </w:p>
    <w:p>
      <w:pPr>
        <w:ind w:right="180" w:firstLine="1297"/>
        <w:spacing w:after="0" w:line="332" w:lineRule="auto"/>
        <w:rPr>
          <w:sz w:val="20"/>
          <w:szCs w:val="20"/>
          <w:color w:val="auto"/>
        </w:rPr>
      </w:pPr>
      <w:r>
        <w:rPr>
          <w:rFonts w:ascii="Arial" w:cs="Arial" w:eastAsia="Arial" w:hAnsi="Arial"/>
          <w:sz w:val="16"/>
          <w:szCs w:val="16"/>
          <w:color w:val="auto"/>
        </w:rPr>
        <w:t>4.1 For all services to be rendered by the Employee during the Term, and in consideration of the Employee’s representations and covenants set forth in this Agreement, the Employee shall be entitled to receive from the Company compensation as set forth in Sections 4.2 and 4.3 below.</w:t>
      </w:r>
    </w:p>
    <w:p>
      <w:pPr>
        <w:spacing w:after="0" w:line="99"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4.2 During the Term, the Employee shall be entitled to receive a salary at the following rates (the “Base Salary”): (a) through June 30, 2017, the Employee’s Base Salary shall continue to be four hundred five thousand one hundred sixty-eight dollars and ninety-two cents ($405,168.92) per annum; and</w:t>
      </w: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effective as of each of July 1, 2017, 2018 and 2019, the Employee’s Base Salary per annum shall be increased by five percent (5%). The Employee shall be</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entitled to increases in the Base Salary and other potential additional compensation as may be determined from time to time by the Board in its sole discretion. All amounts due hereunder shall be payable in accordance with the Company’s standard payroll practices.</w:t>
      </w:r>
    </w:p>
    <w:p>
      <w:pPr>
        <w:spacing w:after="0" w:line="151" w:lineRule="exact"/>
        <w:rPr>
          <w:sz w:val="20"/>
          <w:szCs w:val="20"/>
          <w:color w:val="auto"/>
        </w:rPr>
      </w:pPr>
    </w:p>
    <w:p>
      <w:pPr>
        <w:ind w:right="40" w:firstLine="1297"/>
        <w:spacing w:after="0" w:line="268" w:lineRule="auto"/>
        <w:rPr>
          <w:sz w:val="20"/>
          <w:szCs w:val="20"/>
          <w:color w:val="auto"/>
        </w:rPr>
      </w:pPr>
      <w:r>
        <w:rPr>
          <w:rFonts w:ascii="Arial" w:cs="Arial" w:eastAsia="Arial" w:hAnsi="Arial"/>
          <w:sz w:val="18"/>
          <w:szCs w:val="18"/>
          <w:color w:val="auto"/>
        </w:rPr>
        <w:t>4.3 For each fiscal year during the Term, the Employee shall also be entitled to receive from the Company a bonus (the “Bonus”) pursuant to and in accordance with the terms and conditions of the Company’s employee profit sharing plan.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ind w:left="1000" w:hanging="344"/>
        <w:spacing w:after="0"/>
        <w:tabs>
          <w:tab w:leader="none" w:pos="10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 OF EXPENSES</w:t>
      </w:r>
    </w:p>
    <w:p>
      <w:pPr>
        <w:spacing w:after="0" w:line="191" w:lineRule="exact"/>
        <w:rPr>
          <w:sz w:val="20"/>
          <w:szCs w:val="20"/>
          <w:color w:val="auto"/>
        </w:rPr>
      </w:pPr>
    </w:p>
    <w:p>
      <w:pPr>
        <w:ind w:right="240" w:firstLine="1297"/>
        <w:spacing w:after="0" w:line="268" w:lineRule="auto"/>
        <w:rPr>
          <w:sz w:val="20"/>
          <w:szCs w:val="20"/>
          <w:color w:val="auto"/>
        </w:rPr>
      </w:pPr>
      <w:r>
        <w:rPr>
          <w:rFonts w:ascii="Arial" w:cs="Arial" w:eastAsia="Arial" w:hAnsi="Arial"/>
          <w:sz w:val="18"/>
          <w:szCs w:val="18"/>
          <w:color w:val="auto"/>
        </w:rPr>
        <w:t>5.1 The Company shall pay directly, or reimburse the Employee for, all reasonable and necessary expenses and disbursements incurred by the Employee for and on behalf of the Company in the performance of his duties during the Term.</w:t>
      </w:r>
    </w:p>
    <w:p>
      <w:pPr>
        <w:spacing w:after="0" w:line="145" w:lineRule="exact"/>
        <w:rPr>
          <w:sz w:val="20"/>
          <w:szCs w:val="20"/>
          <w:color w:val="auto"/>
        </w:rPr>
      </w:pPr>
    </w:p>
    <w:p>
      <w:pPr>
        <w:ind w:right="120" w:firstLine="1297"/>
        <w:spacing w:after="0" w:line="306" w:lineRule="auto"/>
        <w:rPr>
          <w:sz w:val="20"/>
          <w:szCs w:val="20"/>
          <w:color w:val="auto"/>
        </w:rPr>
      </w:pPr>
      <w:r>
        <w:rPr>
          <w:rFonts w:ascii="Arial" w:cs="Arial" w:eastAsia="Arial" w:hAnsi="Arial"/>
          <w:sz w:val="16"/>
          <w:szCs w:val="16"/>
          <w:color w:val="auto"/>
        </w:rPr>
        <w:t>5.2 The Employee shall submit to the Company, not less than once in each calendar month, reports of such expenses and disbursements in a form normally used by the Company, and receipts with respect thereto, and the Company’s obligations under Section 5.1 hereof shall be subject to compliance therewith. The Company acknowledges that the Employee has complied with his obligations under this Section 5.2 through December 31, 2016.</w:t>
      </w:r>
    </w:p>
    <w:p>
      <w:pPr>
        <w:spacing w:after="0" w:line="114" w:lineRule="exact"/>
        <w:rPr>
          <w:sz w:val="20"/>
          <w:szCs w:val="20"/>
          <w:color w:val="auto"/>
        </w:rPr>
      </w:pPr>
    </w:p>
    <w:p>
      <w:pPr>
        <w:ind w:left="1000" w:hanging="344"/>
        <w:spacing w:after="0"/>
        <w:tabs>
          <w:tab w:leader="none" w:pos="10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DISABILITY; INSURANCE</w:t>
      </w:r>
    </w:p>
    <w:p>
      <w:pPr>
        <w:spacing w:after="0" w:line="191"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6.1 If, during the Term, the Employee, in the opinion of a majority of all of the members of the Board (excluding the Employee if he is a member), as confirmed by competent medical evidence, shall become physically or mentally incapacitated to perform his duties for the Company hereunder (“Disabled”) for a continuous period, then for the first twelve (12) months of such period he shall receive his full salary (subject to the following sentence, the “Salary Continuation Period”). In no event, however, shall the Employee be entitled to receive any payments under this Section 6.1 beyond the expiration or termination date of this Agreement. Effective with the date of his resumption of full employment, the Employee shall be re-entitled to receive his full salary. If such illness or other incapacity shall endure for a continuous period of at least twelve (12) months or for at least two hundred fifty (250) business days during any eighteen (18) month period, the Company shall have the right, by written notice, to terminate the Employee’s employment hereunder as of a date (not less than thirty (30) days after the date of the sending of such notice) to be specified in such notice. The Employee agrees to submit himself for appropriate medical examination to a physician of the Company’s designation as necessary for purposes of this Section 6.1.</w:t>
      </w:r>
    </w:p>
    <w:p>
      <w:pPr>
        <w:spacing w:after="0" w:line="133" w:lineRule="exact"/>
        <w:rPr>
          <w:sz w:val="20"/>
          <w:szCs w:val="20"/>
          <w:color w:val="auto"/>
        </w:rPr>
      </w:pPr>
    </w:p>
    <w:p>
      <w:pPr>
        <w:ind w:right="700" w:firstLine="1297"/>
        <w:spacing w:after="0" w:line="268" w:lineRule="auto"/>
        <w:rPr>
          <w:sz w:val="20"/>
          <w:szCs w:val="20"/>
          <w:color w:val="auto"/>
        </w:rPr>
      </w:pPr>
      <w:r>
        <w:rPr>
          <w:rFonts w:ascii="Arial" w:cs="Arial" w:eastAsia="Arial" w:hAnsi="Arial"/>
          <w:sz w:val="18"/>
          <w:szCs w:val="18"/>
          <w:color w:val="auto"/>
        </w:rPr>
        <w:t>6.2 The obligations of the Company under this Article 6 may be satisfied, in whole or in part, by payments to the Employee under a disability insurance policy provided by the Company and/or KINS.</w:t>
      </w:r>
    </w:p>
    <w:p>
      <w:pPr>
        <w:spacing w:after="0" w:line="145" w:lineRule="exact"/>
        <w:rPr>
          <w:sz w:val="20"/>
          <w:szCs w:val="20"/>
          <w:color w:val="auto"/>
        </w:rPr>
      </w:pPr>
    </w:p>
    <w:p>
      <w:pPr>
        <w:ind w:firstLine="1297"/>
        <w:spacing w:after="0" w:line="332" w:lineRule="auto"/>
        <w:rPr>
          <w:sz w:val="20"/>
          <w:szCs w:val="20"/>
          <w:color w:val="auto"/>
        </w:rPr>
      </w:pPr>
      <w:r>
        <w:rPr>
          <w:rFonts w:ascii="Arial" w:cs="Arial" w:eastAsia="Arial" w:hAnsi="Arial"/>
          <w:sz w:val="16"/>
          <w:szCs w:val="16"/>
          <w:color w:val="auto"/>
        </w:rPr>
        <w:t>6.3 Notwithstanding the foregoing, in the event that, at the time of any apparent incapacity, the Company has in effect a disability policy with respect to the Employee, the Employee shall be considered Disabled for purposes of Section 6.1 only if he is considered disabled for purposes of the policy.</w:t>
      </w:r>
    </w:p>
    <w:p>
      <w:pPr>
        <w:spacing w:after="0" w:line="9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6.4 In the event of the termination of the Employee’s employment based upon him becoming Disabled, as liquidated damages, the Employee shall be entitled to receive the Bonus compensation to which he is entitled until the expiration of the Salary Continuation Period pursuant to Section 4.3 hereof (i.e., the Termination Date shall be considered the last day of the Salary Continuation Period). The amount to be paid to the Employee pursuant to this Section 6.4 shall constitute the sole and exclusive remedy of the Employee, and the Employee shall not be entitled to any other or further compensation, rights or benefits hereunder or otherwise, including pursuant to Article 11.</w:t>
      </w:r>
    </w:p>
    <w:p>
      <w:pPr>
        <w:spacing w:after="0" w:line="150" w:lineRule="exact"/>
        <w:rPr>
          <w:sz w:val="20"/>
          <w:szCs w:val="20"/>
          <w:color w:val="auto"/>
        </w:rPr>
      </w:pPr>
    </w:p>
    <w:p>
      <w:pPr>
        <w:ind w:left="1000" w:hanging="344"/>
        <w:spacing w:after="0"/>
        <w:tabs>
          <w:tab w:leader="none" w:pos="10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COVENANTS</w:t>
      </w:r>
    </w:p>
    <w:p>
      <w:pPr>
        <w:spacing w:after="0" w:line="191"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7.1 (a) The services of the Employee are unique and extraordinary and essential to the business of the Company, especially since the Employee shall have access to the Company’s customer lists, producer lists, trade secrets and other privileged and confidential information essential to the Company’s business. Therefore, the Employee agrees that, if the term of his employment hereunder shall expire or his employment shall at any time terminate for any reason whatsoever, with or without Cause (as hereinafter defined) and with or without Good Reason (as hereinafter defined), the Employee will not at any time during the Restrictive Covenant Period (as hereinafter defined), without the prior written consent of the Company, directly or indirectly, whether individually or as a principal, officer, employee, partner, shareholder, member, manager, director, agent of, or consultant or independent contractor to, any person, corporation, limited liability company, partnership, limited partnership or other entity (collectively, “Person”):</w:t>
      </w:r>
    </w:p>
    <w:p>
      <w:pPr>
        <w:spacing w:after="0" w:line="132" w:lineRule="exact"/>
        <w:rPr>
          <w:sz w:val="20"/>
          <w:szCs w:val="20"/>
          <w:color w:val="auto"/>
        </w:rPr>
      </w:pPr>
    </w:p>
    <w:p>
      <w:pPr>
        <w:ind w:right="80" w:firstLine="2601"/>
        <w:spacing w:after="0" w:line="255" w:lineRule="auto"/>
        <w:tabs>
          <w:tab w:leader="none" w:pos="29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within any state in which the Company has a license to operate on the date on which the Employee ceases to be employed by the Company (the “Cessation Date”), engage or participate in a business which, as of the Cessation Date, is similar to or competitive with, directly or indirectly, a business in which the Company is then engaged (“Competitive Business”), and shall not make any investments in any such Competitive Business, except that the foregoing shall not restrict the Employee from acquiring up to one percent (1%) of the outstanding voting stock of any Competitive Business whose securities are listed on a stock exchange or Nasdaq;</w:t>
      </w:r>
    </w:p>
    <w:p>
      <w:pPr>
        <w:spacing w:after="0" w:line="156" w:lineRule="exact"/>
        <w:rPr>
          <w:rFonts w:ascii="Arial" w:cs="Arial" w:eastAsia="Arial" w:hAnsi="Arial"/>
          <w:sz w:val="18"/>
          <w:szCs w:val="18"/>
          <w:color w:val="auto"/>
        </w:rPr>
      </w:pPr>
    </w:p>
    <w:p>
      <w:pPr>
        <w:jc w:val="both"/>
        <w:ind w:firstLine="2601"/>
        <w:spacing w:after="0" w:line="294" w:lineRule="auto"/>
        <w:tabs>
          <w:tab w:leader="none" w:pos="30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cause or seek to persuade any director, officer, employee, customer, client, account, agent, producer, reinsurer or supplier of, or consultant or independent contractor to, the Company, or others with whom the Company has a business relationship (collectively, “Business Associates”), to discontinue or materially modify the status, employment or relationship of such Person with the Company, or to become employed in any activity similar to or competitive with the activities of the Company; provided, however, that nothing in this section shall restrict the Employee's ability to cause or seek to persuade his daughter, Amanda Goldstein, to alter her relationship with the Company;</w:t>
      </w:r>
    </w:p>
    <w:p>
      <w:pPr>
        <w:spacing w:after="0" w:line="129" w:lineRule="exact"/>
        <w:rPr>
          <w:rFonts w:ascii="Arial" w:cs="Arial" w:eastAsia="Arial" w:hAnsi="Arial"/>
          <w:sz w:val="16"/>
          <w:szCs w:val="16"/>
          <w:color w:val="auto"/>
        </w:rPr>
      </w:pPr>
    </w:p>
    <w:p>
      <w:pPr>
        <w:ind w:right="100" w:firstLine="2601"/>
        <w:spacing w:after="0" w:line="259" w:lineRule="auto"/>
        <w:tabs>
          <w:tab w:leader="none" w:pos="30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cause or seek to persuade any prospective customer, client, account or other Business Associate of the Company (which at or about the Cessation Date was then actively being solicited by the Company) to determine not to enter into a business relationship with the Company or to materially modify its contemplated business relationship;</w:t>
      </w:r>
    </w:p>
    <w:p>
      <w:pPr>
        <w:spacing w:after="0" w:line="153" w:lineRule="exact"/>
        <w:rPr>
          <w:rFonts w:ascii="Arial" w:cs="Arial" w:eastAsia="Arial" w:hAnsi="Arial"/>
          <w:sz w:val="18"/>
          <w:szCs w:val="18"/>
          <w:color w:val="auto"/>
        </w:rPr>
      </w:pPr>
    </w:p>
    <w:p>
      <w:pPr>
        <w:ind w:left="3080" w:hanging="479"/>
        <w:spacing w:after="0"/>
        <w:tabs>
          <w:tab w:leader="none" w:pos="3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hire, retain or associate in a business relationship with, directly or indirectly, any director, officer or employee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38" w:name="page139"/>
    <w:bookmarkEnd w:id="138"/>
    <w:p>
      <w:pPr>
        <w:ind w:firstLine="2601"/>
        <w:spacing w:after="0" w:line="256" w:lineRule="auto"/>
        <w:tabs>
          <w:tab w:leader="none" w:pos="30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solicit or cause or authorize to be solicited, or accept, for or on behalf of him or any third party, any business from, or the entering into of a business relationship with, (A) others who are, or were within one (l) year prior to the Cessation Date, a customer, client, account or other Business Associate of the Company, or (B) any prospective customer, client, account or other Business Associate of the Company which at or about the Cessation Date was then actively being solicited by the Company; 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restrictions set forth in this Section 7.1(a) shall apply likewise during the Term.</w:t>
      </w:r>
    </w:p>
    <w:p>
      <w:pPr>
        <w:spacing w:after="0" w:line="185" w:lineRule="exact"/>
        <w:rPr>
          <w:sz w:val="20"/>
          <w:szCs w:val="20"/>
          <w:color w:val="auto"/>
        </w:rPr>
      </w:pPr>
    </w:p>
    <w:p>
      <w:pPr>
        <w:jc w:val="both"/>
        <w:ind w:right="40" w:firstLine="2601"/>
        <w:spacing w:after="0" w:line="256" w:lineRule="auto"/>
        <w:tabs>
          <w:tab w:leader="none" w:pos="30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purposes hereof, the term “Restrictive Covenant Period” shall mean the eighteen (18) month period commencing with the Cessation Date; provided, however, that, in the event that the Employee’s employment is terminated by the Company without Cause or by the Employee for Good Reason, the term “Restrictive Covenant Period” shall mean the shorter of (i) the twelve (12) month period commencing with the Cessation Date and (ii) the period commencing with the Cessation Date and ending on the Expiration Date.</w:t>
      </w:r>
    </w:p>
    <w:p>
      <w:pPr>
        <w:spacing w:after="0" w:line="157"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7.2 The Employee agrees to disclose promptly in writing to the Board all ideas, processes, methods, devices, business concepts, inventions, improvements, discoveries, know-how and other creative achievements (hereinafter referred to collectively as “discoveries”), whether or not the same or any part thereof is capable of being patented, trademarked, copyrighted, or otherwise protected, which the Employee, while employed by the Company, conceives, makes, develops, acquires or reduces to practice, whether acting alone or with others and whether during or after usual working hours, and which are related to the Company’s business or interests, or are used or usable by the Company, or arise out of or in connection with the duties performed by the Employee. The Employee hereby transfers and assigns to the Company all right, title and interest in and to such discoveries (whether conceived, made, developed, acquired or reduced to practice on or prior to the Effective Date or during his employment with the Company), including any and all domestic and foreign copyrights and patent and trademark rights therein and any renewals thereof. On request of the Company, the Employee will, without any additional compensation, from time to time during, and after the expiration or termination of, the Term, execute such further instruments (including, without limitation, applications for copyrights, patents, trademarks and assignments thereof) and do all such other acts and things as may be deemed necessary or desirable by the Company to protect and/or enforce its right in respect of such discoveries. All expenses of filing or prosecuting any patent, trademark or copyright application shall be borne by the Company, but the Employee shall cooperate, at the Company’s expense, in filing and/or prosecuting any such application.</w:t>
      </w:r>
    </w:p>
    <w:p>
      <w:pPr>
        <w:spacing w:after="0" w:line="138" w:lineRule="exact"/>
        <w:rPr>
          <w:sz w:val="20"/>
          <w:szCs w:val="20"/>
          <w:color w:val="auto"/>
        </w:rPr>
      </w:pPr>
    </w:p>
    <w:p>
      <w:pPr>
        <w:ind w:right="120" w:firstLine="1297"/>
        <w:spacing w:after="0" w:line="290" w:lineRule="auto"/>
        <w:rPr>
          <w:sz w:val="20"/>
          <w:szCs w:val="20"/>
          <w:color w:val="auto"/>
        </w:rPr>
      </w:pPr>
      <w:r>
        <w:rPr>
          <w:rFonts w:ascii="Arial" w:cs="Arial" w:eastAsia="Arial" w:hAnsi="Arial"/>
          <w:sz w:val="16"/>
          <w:szCs w:val="16"/>
          <w:color w:val="auto"/>
        </w:rPr>
        <w:t>7.3 (a) The Employee represents that he has been informed that it is the policy of the Company to maintain as secret all confidential information relating to the Company, including, without limitation, any and all knowledge or information with respect to secret or confidential methods, processes, plans, materials, customer, producer and reinsurer lists or data, or with respect to any other confidential or secret aspect of the Company’s activities, and further acknowledges that such confidential information is of great value to the Company. The Employee recognizes that, by reason of his employment with the Company, he has acquired and will acquire confidential information as aforesaid. The Employee confirms that it is reasonably necessary to protect the Company’s goodwill, and, accordingly, hereby agrees that he will not, directly or indirectly (except where authorized by the Board), at any time during the Term or thereafter divulge to any Person, or use, or cause or authorize any Person to use, any such confidential information.</w:t>
      </w:r>
    </w:p>
    <w:p>
      <w:pPr>
        <w:spacing w:after="0" w:line="132" w:lineRule="exact"/>
        <w:rPr>
          <w:sz w:val="20"/>
          <w:szCs w:val="20"/>
          <w:color w:val="auto"/>
        </w:rPr>
      </w:pPr>
    </w:p>
    <w:p>
      <w:pPr>
        <w:ind w:right="240" w:firstLine="1953"/>
        <w:spacing w:after="0" w:line="259" w:lineRule="auto"/>
        <w:tabs>
          <w:tab w:leader="none" w:pos="23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Employee agrees that he will not, at any time, remove from the Company’s premises any drawings, notebooks, software, data or other confidential information relating to the business and procedures heretofore or hereafter acquired, developed and/or used by the Company, except where necessary in the fulfillment of his duties hereunder.</w:t>
      </w:r>
    </w:p>
    <w:p>
      <w:pPr>
        <w:spacing w:after="0" w:line="153" w:lineRule="exact"/>
        <w:rPr>
          <w:rFonts w:ascii="Arial" w:cs="Arial" w:eastAsia="Arial" w:hAnsi="Arial"/>
          <w:sz w:val="18"/>
          <w:szCs w:val="18"/>
          <w:color w:val="auto"/>
        </w:rPr>
      </w:pPr>
    </w:p>
    <w:p>
      <w:pPr>
        <w:ind w:right="120" w:firstLine="1953"/>
        <w:spacing w:after="0" w:line="256" w:lineRule="auto"/>
        <w:tabs>
          <w:tab w:leader="none" w:pos="23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Employee agrees that, upon the expiration or termination of this Agreement or the termination of his employment with the Company for any reason whatsoever, he shall promptly deliver to the Company any and all drawings, notebooks, software, data and other documents and material, including all copies thereof, in his possession or under his control relating to any confidential information or discoveries, or which is otherwise the property of the Company.</w:t>
      </w:r>
    </w:p>
    <w:p>
      <w:pPr>
        <w:spacing w:after="0" w:line="156" w:lineRule="exact"/>
        <w:rPr>
          <w:rFonts w:ascii="Arial" w:cs="Arial" w:eastAsia="Arial" w:hAnsi="Arial"/>
          <w:sz w:val="18"/>
          <w:szCs w:val="18"/>
          <w:color w:val="auto"/>
        </w:rPr>
      </w:pPr>
    </w:p>
    <w:p>
      <w:pPr>
        <w:ind w:right="100" w:firstLine="1953"/>
        <w:spacing w:after="0" w:line="255" w:lineRule="auto"/>
        <w:tabs>
          <w:tab w:leader="none" w:pos="23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purposes hereof, the term “confidential information” shall mean all information given to the Employee, directly or indirectly, by the Company and all other information relating to the Company otherwise acquired by the Employee during the course of his employment with the Company (whether on or prior to the Effective Date or hereafter), other than information which (i) was in the public domain at the time furnished to, or acquired by, the Employee, or (ii) thereafter enters the public domain other than through disclosure, directly or indirectly, by the Employee or others in violation of an agreement of confidentiality or nondisclosure.</w:t>
      </w:r>
    </w:p>
    <w:p>
      <w:pPr>
        <w:spacing w:after="0" w:line="156" w:lineRule="exact"/>
        <w:rPr>
          <w:sz w:val="20"/>
          <w:szCs w:val="20"/>
          <w:color w:val="auto"/>
        </w:rPr>
      </w:pPr>
    </w:p>
    <w:p>
      <w:pPr>
        <w:ind w:right="440" w:firstLine="1297"/>
        <w:spacing w:after="0" w:line="268" w:lineRule="auto"/>
        <w:rPr>
          <w:sz w:val="20"/>
          <w:szCs w:val="20"/>
          <w:color w:val="auto"/>
        </w:rPr>
      </w:pPr>
      <w:r>
        <w:rPr>
          <w:rFonts w:ascii="Arial" w:cs="Arial" w:eastAsia="Arial" w:hAnsi="Arial"/>
          <w:sz w:val="18"/>
          <w:szCs w:val="18"/>
          <w:color w:val="auto"/>
        </w:rPr>
        <w:t>7.1 For purposes of this Article 7, the term “Company” shall mean and include the Company and any and all subsidiaries and affiliated entities of the Company in existence from time to time.</w:t>
      </w:r>
    </w:p>
    <w:p>
      <w:pPr>
        <w:spacing w:after="0" w:line="145"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7.2 In connection with his agreement to the restrictions set forth in this Article 7, the Employee acknowledges the benefits accorded to him pursuant to the provisions of this Agreement, including, without limitation, the agreement on the part of the Company to employ the Employee during the Term (subject to the terms and conditions hereof). The Employee also acknowledges and agrees that the covenants set forth in this Article 7 are reasonable and necessary in order to protect and maintain the proprietary and other legitimate business interests of the Company and that the enforcement thereof would not prevent the Employee from earning a livelihood.</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139" w:name="page140"/>
    <w:bookmarkEnd w:id="139"/>
    <w:p>
      <w:pPr>
        <w:ind w:left="1000" w:hanging="344"/>
        <w:spacing w:after="0"/>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VACATIONS; LEAVE</w:t>
      </w:r>
    </w:p>
    <w:p>
      <w:pPr>
        <w:spacing w:after="0" w:line="191"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8.1 The Employee shall be entitled to an aggregate of four (4) weeks vacation time for each twelve (12) month period during the Term, the time and duration thereof to be determined by mutual agreement between the Employee and the Board. Any vacation time not used by the end of the Term shall be forfeited without compensation. In addition, the Employee shall not be entitled to carry over or use any vacation time that is unused as of the end of any twelve</w:t>
      </w:r>
    </w:p>
    <w:p>
      <w:pPr>
        <w:spacing w:after="0" w:line="1" w:lineRule="exact"/>
        <w:rPr>
          <w:sz w:val="20"/>
          <w:szCs w:val="20"/>
          <w:color w:val="auto"/>
        </w:rPr>
      </w:pPr>
    </w:p>
    <w:p>
      <w:pPr>
        <w:ind w:right="180" w:firstLine="8"/>
        <w:spacing w:after="0" w:line="253" w:lineRule="auto"/>
        <w:tabs>
          <w:tab w:leader="none" w:pos="3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month period during the Term. Further, the Employee shall be entitled to the number of sick, personal, family and other days off during each twelve (12) month period of the Term as set forth in the Company’s employee handbook. The Employee understands and agrees that the vacation time and sick, personal, family and other days off for him are not in addition to these provided for in the KINS Employment Agreement and shall be reduced by any such time and days taken as an employee of KINS The Company acknowledges that the Employee has complied with his obligations under this Section 8.1 through December 31, 2016.</w:t>
      </w:r>
    </w:p>
    <w:p>
      <w:pPr>
        <w:spacing w:after="0" w:line="152" w:lineRule="exact"/>
        <w:rPr>
          <w:rFonts w:ascii="Arial" w:cs="Arial" w:eastAsia="Arial" w:hAnsi="Arial"/>
          <w:sz w:val="18"/>
          <w:szCs w:val="18"/>
          <w:color w:val="auto"/>
        </w:rPr>
      </w:pPr>
    </w:p>
    <w:p>
      <w:pPr>
        <w:ind w:left="1000" w:hanging="344"/>
        <w:spacing w:after="0"/>
        <w:tabs>
          <w:tab w:leader="none" w:pos="100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 IN EMPLOYEE BENEFIT PLANS; STOCK OPTIONS</w:t>
      </w:r>
    </w:p>
    <w:p>
      <w:pPr>
        <w:spacing w:after="0" w:line="191" w:lineRule="exact"/>
        <w:rPr>
          <w:sz w:val="20"/>
          <w:szCs w:val="20"/>
          <w:color w:val="auto"/>
        </w:rPr>
      </w:pPr>
    </w:p>
    <w:p>
      <w:pPr>
        <w:ind w:right="160" w:firstLine="1297"/>
        <w:spacing w:after="0" w:line="291" w:lineRule="auto"/>
        <w:rPr>
          <w:sz w:val="20"/>
          <w:szCs w:val="20"/>
          <w:color w:val="auto"/>
        </w:rPr>
      </w:pPr>
      <w:r>
        <w:rPr>
          <w:rFonts w:ascii="Arial" w:cs="Arial" w:eastAsia="Arial" w:hAnsi="Arial"/>
          <w:sz w:val="16"/>
          <w:szCs w:val="16"/>
          <w:color w:val="auto"/>
        </w:rPr>
        <w:t>9.1 The Employee shall be accorded the right to participate in and receive benefits under and in accordance with the provisions of any pension, profit sharing, insurance, medical and dental insurance or reimbursement (with spousal coverage) or other plan or program of the Company or KICO, either in existence as of the Effective Date or thereafter adopted for the benefit generally of its executive employees. Additionally, in the event of termination of the Employee's employment by the Company without Cause, or by the Employee for Good Reason, the Company or KINS shall continue to provide to the Employee health, dental, and vision insurance coverage at no cost to the Employee (with spousal coverage) until the Expiration Date or such time as the Employee becomes eligible for similar coverage, whichever is sooner.</w:t>
      </w:r>
    </w:p>
    <w:p>
      <w:pPr>
        <w:spacing w:after="0" w:line="134" w:lineRule="exact"/>
        <w:rPr>
          <w:sz w:val="20"/>
          <w:szCs w:val="20"/>
          <w:color w:val="auto"/>
        </w:rPr>
      </w:pPr>
    </w:p>
    <w:p>
      <w:pPr>
        <w:ind w:right="80" w:firstLine="1297"/>
        <w:spacing w:after="0" w:line="256" w:lineRule="auto"/>
        <w:rPr>
          <w:sz w:val="20"/>
          <w:szCs w:val="20"/>
          <w:color w:val="auto"/>
        </w:rPr>
      </w:pPr>
      <w:r>
        <w:rPr>
          <w:rFonts w:ascii="Arial" w:cs="Arial" w:eastAsia="Arial" w:hAnsi="Arial"/>
          <w:sz w:val="18"/>
          <w:szCs w:val="18"/>
          <w:color w:val="auto"/>
        </w:rPr>
        <w:t>9.2 In the event the Company elects to discontinue any existing life insurance policy maintained on the Employee, or any other term life insurance policy purchased by it during the Term, prior to any such discontinuance and/or in the event the Employee’s employment with the Company ceases for any reason, the Employee shall be offered the opportunity to have such policy transferred to him without cost, it being understood that the Employee shall be responsible for the payment of any and all premiums thereafter due.</w:t>
      </w:r>
    </w:p>
    <w:p>
      <w:pPr>
        <w:spacing w:after="0" w:line="151" w:lineRule="exact"/>
        <w:rPr>
          <w:sz w:val="20"/>
          <w:szCs w:val="20"/>
          <w:color w:val="auto"/>
        </w:rPr>
      </w:pPr>
    </w:p>
    <w:p>
      <w:pPr>
        <w:ind w:left="1100" w:hanging="444"/>
        <w:spacing w:after="0"/>
        <w:tabs>
          <w:tab w:leader="none" w:pos="11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AS OFFICER AND DIRECTOR</w:t>
      </w:r>
    </w:p>
    <w:p>
      <w:pPr>
        <w:spacing w:after="0" w:line="191" w:lineRule="exact"/>
        <w:rPr>
          <w:sz w:val="20"/>
          <w:szCs w:val="20"/>
          <w:color w:val="auto"/>
        </w:rPr>
      </w:pPr>
    </w:p>
    <w:p>
      <w:pPr>
        <w:ind w:right="220" w:firstLine="1297"/>
        <w:spacing w:after="0" w:line="294" w:lineRule="auto"/>
        <w:rPr>
          <w:sz w:val="20"/>
          <w:szCs w:val="20"/>
          <w:color w:val="auto"/>
        </w:rPr>
      </w:pPr>
      <w:r>
        <w:rPr>
          <w:rFonts w:ascii="Arial" w:cs="Arial" w:eastAsia="Arial" w:hAnsi="Arial"/>
          <w:sz w:val="16"/>
          <w:szCs w:val="16"/>
          <w:color w:val="auto"/>
        </w:rPr>
        <w:t>10.1 During the Term, the Employee shall, if elected or appointed, serve as (a) an officer of the Company and/or any subsidiaries of the Company in existence or hereafter created or acquired and (b) a director of the Company and/or any such subsidiaries of the Company in existence or hereafter created or acquired, in each case without any additional compensation for such services, except that the Employee is entitled to receive a fee for serving as a director of the Company in the amount of $6,500 per annum. In the event the Company has in effect during the Term a director and officer liability insurance policy, the Company will include the Employee therein as a named insured.</w:t>
      </w:r>
    </w:p>
    <w:p>
      <w:pPr>
        <w:spacing w:after="0" w:line="123"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EARLIER TERMINATION</w:t>
      </w:r>
    </w:p>
    <w:p>
      <w:pPr>
        <w:spacing w:after="0" w:line="191" w:lineRule="exact"/>
        <w:rPr>
          <w:sz w:val="20"/>
          <w:szCs w:val="20"/>
          <w:color w:val="auto"/>
        </w:rPr>
      </w:pPr>
    </w:p>
    <w:p>
      <w:pPr>
        <w:ind w:right="40" w:firstLine="1297"/>
        <w:spacing w:after="0" w:line="256" w:lineRule="auto"/>
        <w:rPr>
          <w:sz w:val="20"/>
          <w:szCs w:val="20"/>
          <w:color w:val="auto"/>
        </w:rPr>
      </w:pPr>
      <w:r>
        <w:rPr>
          <w:rFonts w:ascii="Arial" w:cs="Arial" w:eastAsia="Arial" w:hAnsi="Arial"/>
          <w:sz w:val="18"/>
          <w:szCs w:val="18"/>
          <w:color w:val="auto"/>
        </w:rPr>
        <w:t>11.1 The Employee’s employment hereunder (a) shall automatically terminate upon his death, (b) may terminate at any time during the Term at the option of the Company upon written notice to the Employee for Cause or without Cause, (c) may terminate at any time during the Term at the option of the Employee upon written notice to the Company for Good Reason or without Good Reason and (d) may terminate at the option of the Company in the event the Employee becomes Disabled, as provided for in Article 6.</w:t>
      </w:r>
    </w:p>
    <w:p>
      <w:pPr>
        <w:spacing w:after="0" w:line="157" w:lineRule="exact"/>
        <w:rPr>
          <w:sz w:val="20"/>
          <w:szCs w:val="20"/>
          <w:color w:val="auto"/>
        </w:rPr>
      </w:pPr>
    </w:p>
    <w:p>
      <w:pPr>
        <w:ind w:right="60" w:firstLine="1297"/>
        <w:spacing w:after="0" w:line="289" w:lineRule="auto"/>
        <w:rPr>
          <w:sz w:val="20"/>
          <w:szCs w:val="20"/>
          <w:color w:val="auto"/>
        </w:rPr>
      </w:pPr>
      <w:r>
        <w:rPr>
          <w:rFonts w:ascii="Arial" w:cs="Arial" w:eastAsia="Arial" w:hAnsi="Arial"/>
          <w:sz w:val="16"/>
          <w:szCs w:val="16"/>
          <w:color w:val="auto"/>
        </w:rPr>
        <w:t>11.2 As used in this Agreement, “Cause” shall mean (a) the Employee’s commission of any act in the performance of his duties constituting common law fraud, a felony or other gross malfeasance of duty, (b) the Employee’s commission of any act involving moral turpitude which reasonably may have a material adverse effect on the Company and its subsidiaries taken as a whole (“Material Adverse Effect”), (c) any misrepresentation by the Employee (including, without limitation, a breach of any representation set forth in Section 13.1 hereof) which reasonably may have a Material Adverse Effect, (d) any breach of any material covenant on the Employee’s part herein set forth (which breach, if curable, is not cured by the Employee within thirty (30) days of the Employee’s receipt of written notice thereof from the Company), or (e) the Employee’s engagement in other intentional or grossly negligent misconduct which may reasonably have a Material Adverse Effect. The parties agree that the term “Material Adverse Effect” includes the loss or suspension of any license for the Company or KINS to operate or any disqualification or suspension for the Employee to serve as an officer or director thereof under applicable law.</w:t>
      </w:r>
    </w:p>
    <w:p>
      <w:pPr>
        <w:spacing w:after="0" w:line="132"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11.3 As used in this Agreement, “Good Reason” shall mean (a) any breach of any material covenant on the Company’s part (which breach, if curable, is not cured by the Company within thirty (30) days of the Company’s receipt of written notice thereof from the Employee), (b) a material diminution in the Employee’s duties and responsibilities (other than following an event constituting Cause) in his capacity as President, Chairman of the Board, Chief Executive Officer and Chief Investment Officer of the Company, (c) a change in the Employee's current reporting structure (other than following an event constituting Cause), (d) a decrease in the compensation payable to the Employee from the compensation payable pursuant to this Agreement, or (e) the relocation of the location of the Company’s principal offices at which the Employee is to provide his services to a location that is more than thirty (30) miles from Valley Stream, New York (it being understood and agreed, however, that the Employee shall be required to travel to Kingston, New York as often as is reasonably required for him to perform his duties as President, Chief Executive Officer, Chairman of the Board and Chief Investment Officer of the Company).</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40" w:name="page141"/>
    <w:bookmarkEnd w:id="140"/>
    <w:p>
      <w:pPr>
        <w:ind w:right="60" w:firstLine="1297"/>
        <w:spacing w:after="0" w:line="288" w:lineRule="auto"/>
        <w:rPr>
          <w:sz w:val="20"/>
          <w:szCs w:val="20"/>
          <w:color w:val="auto"/>
        </w:rPr>
      </w:pPr>
      <w:r>
        <w:rPr>
          <w:rFonts w:ascii="Arial" w:cs="Arial" w:eastAsia="Arial" w:hAnsi="Arial"/>
          <w:sz w:val="16"/>
          <w:szCs w:val="16"/>
          <w:color w:val="auto"/>
        </w:rPr>
        <w:t>11.4 In the event of the termination of the Employee’s employment by the Company for Cause or by the Employee without Good Reason, the Company shall have no further obligations to the Employee, and the Employee shall be entitled to no further compensation from the Company, except for any pro-rata amounts due to the Employee at such date of termination, as provided for in Section 4.2 hereof, and except, in the case of a termination of employment by the Employee without Good Reason, for any Bonus amount for the completed fiscal year immediately preceding the date of termination, as provided in Section 4.3 hereof. As an illustration of the foregoing, in the event of a termination of employment by the Employee without Good Reason on March 1, the Employee would be entitled to receive the amount payable to him pursuant to Section 4.2 hereof to March 1 and the amount, if any, payable to him pursuant to Section 4.3 hereof for the immediately preceding fiscal year ended December 31. In the event of the termination of the Employee’s employment by the Company for Cause or by the Employee without Good Reason, the amount to be paid to the Employee pursuant to this Section 11.4 shall constitute the sole and exclusive remedy of the Employee, and the Employee shall not be entitled to any other or further compensation, rights or benefits hereunder or otherwise.</w:t>
      </w:r>
    </w:p>
    <w:p>
      <w:pPr>
        <w:spacing w:after="0" w:line="133"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11.5 In the event of the termination of the Employee’s employment by the Company without Cause or by the Employee for Good Reason, as liquidated damages, the Employee shall be entitled to receive (a) the compensation to which he would have been entitled until the expiration of the Term pursuant to Section 4.2 hereof and (b) the Bonus compensation to which he is entitled to receive through the expiration of the Term pursuant to Section 4.3 hereof. The compensation payable pursuant to (a) above shall be payable to the Employee in accordance with the Company’s standard payroll practices as if his employment had continued. The amount to be paid to the Employee pursuant to this Section 11.5 shall constitute the sole and exclusive remedy of the Employee, and the Employee shall not be entitled to any other or further compensation, rights or benefits hereunder or otherwise.</w:t>
      </w:r>
    </w:p>
    <w:p>
      <w:pPr>
        <w:spacing w:after="0" w:line="134" w:lineRule="exact"/>
        <w:rPr>
          <w:sz w:val="20"/>
          <w:szCs w:val="20"/>
          <w:color w:val="auto"/>
        </w:rPr>
      </w:pPr>
    </w:p>
    <w:p>
      <w:pPr>
        <w:ind w:right="500" w:firstLine="1297"/>
        <w:spacing w:after="0" w:line="268" w:lineRule="auto"/>
        <w:rPr>
          <w:sz w:val="20"/>
          <w:szCs w:val="20"/>
          <w:color w:val="auto"/>
        </w:rPr>
      </w:pPr>
      <w:r>
        <w:rPr>
          <w:rFonts w:ascii="Arial" w:cs="Arial" w:eastAsia="Arial" w:hAnsi="Arial"/>
          <w:sz w:val="18"/>
          <w:szCs w:val="18"/>
          <w:color w:val="auto"/>
        </w:rPr>
        <w:t>11.6 In order to protect the Employee against the possible consequences and uncertainties of a Change of Control of the Company and thereby induce the Employee to remain in the employ of the Company, the Company agrees that:</w:t>
      </w:r>
    </w:p>
    <w:p>
      <w:pPr>
        <w:spacing w:after="0" w:line="145" w:lineRule="exact"/>
        <w:rPr>
          <w:sz w:val="20"/>
          <w:szCs w:val="20"/>
          <w:color w:val="auto"/>
        </w:rPr>
      </w:pPr>
    </w:p>
    <w:p>
      <w:pPr>
        <w:ind w:right="60" w:firstLine="1953"/>
        <w:spacing w:after="0" w:line="289" w:lineRule="auto"/>
        <w:tabs>
          <w:tab w:leader="none" w:pos="2356"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during the Term, the Employee’s employment is terminated within eighteen (18) months subsequent to a Change of Control by the Company other than for Cause or by the Employee for Good Reason, the Company shall pay to the Employee an amount in cash equal to one and one-half (1.5) times the Base Salary (the “Change of Control Payment”). The Change of Control Payment shall be payable in one lump sum payment within ten (10) days following the date of termination of employment. In addition, in such event, the Company (or KINS) shall continue to pay for the Employee's health insurance premiums, including spousal coverage, for the remainder of the Term. The Change of Control Payment shall be in lieu of the amount payable to the Employee pursuant to Section 11.5 hereof; provided, however, that the Employee may elect to receive the amount payable pursuant to Section 11.5 hereof in lieu of the amount payable pursuant to this Section 11.6. The amount to be paid to the Employee pursuant to this Section 11.6 shall constitute the sole and exclusive remedy of the Employee, and the Employee shall not be entitled to any other or further compensation, rights or benefits hereunder or otherwise.</w:t>
      </w:r>
    </w:p>
    <w:p>
      <w:pPr>
        <w:spacing w:after="0" w:line="131" w:lineRule="exact"/>
        <w:rPr>
          <w:rFonts w:ascii="Arial" w:cs="Arial" w:eastAsia="Arial" w:hAnsi="Arial"/>
          <w:sz w:val="16"/>
          <w:szCs w:val="16"/>
          <w:color w:val="auto"/>
        </w:rPr>
      </w:pPr>
    </w:p>
    <w:p>
      <w:pPr>
        <w:ind w:left="2380" w:hanging="427"/>
        <w:spacing w:after="0"/>
        <w:tabs>
          <w:tab w:leader="none" w:pos="23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As used in this Section 11.6, a “Change of Control” shall be deemed to have occurred if:</w:t>
      </w:r>
    </w:p>
    <w:p>
      <w:pPr>
        <w:spacing w:after="0" w:line="184" w:lineRule="exact"/>
        <w:rPr>
          <w:rFonts w:ascii="Arial" w:cs="Arial" w:eastAsia="Arial" w:hAnsi="Arial"/>
          <w:sz w:val="18"/>
          <w:szCs w:val="18"/>
          <w:color w:val="auto"/>
        </w:rPr>
      </w:pPr>
    </w:p>
    <w:p>
      <w:pPr>
        <w:ind w:firstLine="2601"/>
        <w:spacing w:after="0" w:line="254" w:lineRule="auto"/>
        <w:tabs>
          <w:tab w:leader="none" w:pos="2975"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“person” or “group of persons” (as such terms are used in Sections 13(d) and 14(d) of the Securities Exchange Act of 1934, as amended (the “1934 Act”) (other than the Employee or any “group of persons” that includes the Employee), becomes the “beneficial owner” (as defined in Rule 13d-3 promulgated under the 1934 Act), directly or indirectly, of securities of KINS representing more than thirty-three and one-third percent (33-1/3%) of the then outstanding securities of KINS having the right to vote on the election of directors (“Voting Securities”), except that there shall be excluded from the calculation any Voting Securities acquired from KINS with respect to which the Employee gave his approval as a member of the Board of Directors of KINS (the “KINS Board”); or</w:t>
      </w:r>
    </w:p>
    <w:p>
      <w:pPr>
        <w:spacing w:after="0" w:line="157" w:lineRule="exact"/>
        <w:rPr>
          <w:rFonts w:ascii="Arial" w:cs="Arial" w:eastAsia="Arial" w:hAnsi="Arial"/>
          <w:sz w:val="18"/>
          <w:szCs w:val="18"/>
          <w:color w:val="auto"/>
        </w:rPr>
      </w:pPr>
    </w:p>
    <w:p>
      <w:pPr>
        <w:ind w:left="3040" w:hanging="439"/>
        <w:spacing w:after="0"/>
        <w:tabs>
          <w:tab w:leader="none" w:pos="3040" w:val="left"/>
        </w:tabs>
        <w:numPr>
          <w:ilvl w:val="2"/>
          <w:numId w:val="76"/>
        </w:numPr>
        <w:rPr>
          <w:rFonts w:ascii="Arial" w:cs="Arial" w:eastAsia="Arial" w:hAnsi="Arial"/>
          <w:sz w:val="16"/>
          <w:szCs w:val="16"/>
          <w:color w:val="auto"/>
        </w:rPr>
      </w:pPr>
      <w:r>
        <w:rPr>
          <w:rFonts w:ascii="Arial" w:cs="Arial" w:eastAsia="Arial" w:hAnsi="Arial"/>
          <w:sz w:val="16"/>
          <w:szCs w:val="16"/>
          <w:color w:val="auto"/>
        </w:rPr>
        <w:t>any person or group of persons (other than persons whose Voting Securities of KINS would be excluded under clause</w:t>
      </w:r>
    </w:p>
    <w:p>
      <w:pPr>
        <w:spacing w:after="0" w:line="38" w:lineRule="exact"/>
        <w:rPr>
          <w:rFonts w:ascii="Arial" w:cs="Arial" w:eastAsia="Arial" w:hAnsi="Arial"/>
          <w:sz w:val="16"/>
          <w:szCs w:val="16"/>
          <w:color w:val="auto"/>
        </w:rPr>
      </w:pPr>
    </w:p>
    <w:p>
      <w:pPr>
        <w:ind w:right="140" w:firstLine="8"/>
        <w:spacing w:after="0" w:line="261" w:lineRule="auto"/>
        <w:tabs>
          <w:tab w:leader="none" w:pos="2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above) becomes the beneficial owner, directly or indirectly, of securities representing a majority of the then outstanding securities of the Company having the right to vote on the election of directors; or</w:t>
      </w:r>
    </w:p>
    <w:p>
      <w:pPr>
        <w:spacing w:after="0" w:line="151" w:lineRule="exact"/>
        <w:rPr>
          <w:rFonts w:ascii="Arial" w:cs="Arial" w:eastAsia="Arial" w:hAnsi="Arial"/>
          <w:sz w:val="18"/>
          <w:szCs w:val="18"/>
          <w:color w:val="auto"/>
        </w:rPr>
      </w:pPr>
    </w:p>
    <w:p>
      <w:pPr>
        <w:ind w:right="100" w:firstLine="2601"/>
        <w:spacing w:after="0" w:line="291" w:lineRule="auto"/>
        <w:tabs>
          <w:tab w:leader="none" w:pos="3072" w:val="left"/>
        </w:tabs>
        <w:numPr>
          <w:ilvl w:val="2"/>
          <w:numId w:val="77"/>
        </w:numPr>
        <w:rPr>
          <w:rFonts w:ascii="Arial" w:cs="Arial" w:eastAsia="Arial" w:hAnsi="Arial"/>
          <w:sz w:val="16"/>
          <w:szCs w:val="16"/>
          <w:color w:val="auto"/>
        </w:rPr>
      </w:pPr>
      <w:r>
        <w:rPr>
          <w:rFonts w:ascii="Arial" w:cs="Arial" w:eastAsia="Arial" w:hAnsi="Arial"/>
          <w:sz w:val="16"/>
          <w:szCs w:val="16"/>
          <w:color w:val="auto"/>
        </w:rPr>
        <w:t>when individuals who, as of the date hereof, constitute the KINS Board (the “Incumbent KINS Board”) cease for any reason to constitute at least a majority of the KINS Board; provided, however, that any individual becoming a director subsequent to the date hereof whose election, or nomination for election by the stockholders of KINS, was approved by a vote of at least a majority of the directors then comprising the Incumbent KINS Board shall be considered as though such individual were a member of the Incumbent KINS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KINS Board; or</w:t>
      </w:r>
    </w:p>
    <w:p>
      <w:pPr>
        <w:spacing w:after="0" w:line="133" w:lineRule="exact"/>
        <w:rPr>
          <w:rFonts w:ascii="Arial" w:cs="Arial" w:eastAsia="Arial" w:hAnsi="Arial"/>
          <w:sz w:val="16"/>
          <w:szCs w:val="16"/>
          <w:color w:val="auto"/>
        </w:rPr>
      </w:pPr>
    </w:p>
    <w:p>
      <w:pPr>
        <w:ind w:right="120" w:firstLine="2601"/>
        <w:spacing w:after="0" w:line="255" w:lineRule="auto"/>
        <w:tabs>
          <w:tab w:leader="none" w:pos="3063" w:val="left"/>
        </w:tabs>
        <w:numPr>
          <w:ilvl w:val="2"/>
          <w:numId w:val="77"/>
        </w:numPr>
        <w:rPr>
          <w:rFonts w:ascii="Arial" w:cs="Arial" w:eastAsia="Arial" w:hAnsi="Arial"/>
          <w:sz w:val="18"/>
          <w:szCs w:val="18"/>
          <w:color w:val="auto"/>
        </w:rPr>
      </w:pPr>
      <w:r>
        <w:rPr>
          <w:rFonts w:ascii="Arial" w:cs="Arial" w:eastAsia="Arial" w:hAnsi="Arial"/>
          <w:sz w:val="18"/>
          <w:szCs w:val="18"/>
          <w:color w:val="auto"/>
        </w:rPr>
        <w:t>KINS consummates (A) a reorganization, merger or consolidation of KINS, with respect to which in each case all or substantially all of the Persons who were the beneficial owners of the Voting Securities of KINS immediately prior to such reorganization, merger or consolidation do not, following such reorganization, merger or consolidation, beneficially own, directly and indirectly, more than 50% of the then combined voting power of the then outstanding voting securities entitled to vote generally in the election of directors of the corporation or other Person resulting from such reorganization, merger of consolidation; or</w:t>
      </w:r>
    </w:p>
    <w:p>
      <w:pPr>
        <w:spacing w:after="0" w:line="156" w:lineRule="exact"/>
        <w:rPr>
          <w:rFonts w:ascii="Arial" w:cs="Arial" w:eastAsia="Arial" w:hAnsi="Arial"/>
          <w:sz w:val="18"/>
          <w:szCs w:val="18"/>
          <w:color w:val="auto"/>
        </w:rPr>
      </w:pPr>
    </w:p>
    <w:p>
      <w:pPr>
        <w:ind w:right="100" w:firstLine="2601"/>
        <w:spacing w:after="0" w:line="256" w:lineRule="auto"/>
        <w:tabs>
          <w:tab w:leader="none" w:pos="3014"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Company consummates a reorganization, merger or consolidation of the Company, with respect to which in each case KINS does not, following such reorganization, merger or consolidation, beneficially own, directly or indirectly, more than 50% of the then combined voting power of the then outstanding voting securities entitled to vote generally in the election of directors of the corporation or other Person resulting from such reorganization, merger or consolidation; or</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41" w:name="page142"/>
    <w:bookmarkEnd w:id="141"/>
    <w:p>
      <w:pPr>
        <w:ind w:left="3080" w:hanging="479"/>
        <w:spacing w:after="0"/>
        <w:tabs>
          <w:tab w:leader="none" w:pos="3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Company or KINS consummates the sale or other disposition of all or substantially all of the assets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or KINS.</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Notwithstanding the foregoing, no transaction or event shall constitute a Change of Control hereunder unless such transaction or event also constitutes a change in ownership or effective control of the Company or KINS within the meaning of Treasury Regulation Section 1.409A-3(i)(5)(v) or (vi)(A)(2).</w:t>
      </w:r>
    </w:p>
    <w:p>
      <w:pPr>
        <w:spacing w:after="0" w:line="166" w:lineRule="exact"/>
        <w:rPr>
          <w:sz w:val="20"/>
          <w:szCs w:val="20"/>
          <w:color w:val="auto"/>
        </w:rPr>
      </w:pPr>
    </w:p>
    <w:p>
      <w:pPr>
        <w:ind w:right="40" w:firstLine="1297"/>
        <w:spacing w:after="0" w:line="294" w:lineRule="auto"/>
        <w:rPr>
          <w:sz w:val="20"/>
          <w:szCs w:val="20"/>
          <w:color w:val="auto"/>
        </w:rPr>
      </w:pPr>
      <w:r>
        <w:rPr>
          <w:rFonts w:ascii="Arial" w:cs="Arial" w:eastAsia="Arial" w:hAnsi="Arial"/>
          <w:sz w:val="16"/>
          <w:szCs w:val="16"/>
          <w:color w:val="auto"/>
        </w:rPr>
        <w:t>11.1 In the event of the death of the Employee during the Term, as liquidated damages, the Employee’s estate (the “Estate”) shall be entitled to receive (a) the Base Salary to which the Employee is entitled until the date of death of the Employee pursuant to Section 4.2; and (b) the Bonus compensation to which the Employee is entitled through the date of death (i.e., the Termination Date shall be considered the date of death). The amount to be paid to the Estate pursuant to this Section 11.7 shall constitute the sole and exclusive remedy of the Estate and any beneficiaries thereof, and neither the Estate nor any beneficiaries thereof shall be entitled to any other or further compensation, rights or benefits hereunder or otherwise, including pursuant this to Article 11.</w:t>
      </w:r>
    </w:p>
    <w:p>
      <w:pPr>
        <w:spacing w:after="0" w:line="129"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11.2 The termination or expiration of this Agreement shall not affect the continuing operation and effect of Article 7 hereof, which shall continue in full force and effect according to its terms. In addition, the termination or expiration of this Agreement will not result in a termination or waiver of any rights and remedies that the Company may have under this Agreement and applicable law.</w:t>
      </w:r>
    </w:p>
    <w:p>
      <w:pPr>
        <w:spacing w:after="0" w:line="148" w:lineRule="exact"/>
        <w:rPr>
          <w:sz w:val="20"/>
          <w:szCs w:val="20"/>
          <w:color w:val="auto"/>
        </w:rPr>
      </w:pPr>
    </w:p>
    <w:p>
      <w:pPr>
        <w:ind w:left="1100" w:hanging="444"/>
        <w:spacing w:after="0"/>
        <w:tabs>
          <w:tab w:leader="none" w:pos="11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 REMEDIES</w:t>
      </w:r>
    </w:p>
    <w:p>
      <w:pPr>
        <w:spacing w:after="0" w:line="191" w:lineRule="exact"/>
        <w:rPr>
          <w:sz w:val="20"/>
          <w:szCs w:val="20"/>
          <w:color w:val="auto"/>
        </w:rPr>
      </w:pPr>
    </w:p>
    <w:p>
      <w:pPr>
        <w:ind w:firstLine="1297"/>
        <w:spacing w:after="0" w:line="306" w:lineRule="auto"/>
        <w:rPr>
          <w:sz w:val="20"/>
          <w:szCs w:val="20"/>
          <w:color w:val="auto"/>
        </w:rPr>
      </w:pPr>
      <w:r>
        <w:rPr>
          <w:rFonts w:ascii="Arial" w:cs="Arial" w:eastAsia="Arial" w:hAnsi="Arial"/>
          <w:sz w:val="16"/>
          <w:szCs w:val="16"/>
          <w:color w:val="auto"/>
        </w:rPr>
        <w:t>12.1 The Employee acknowledges and agrees that, in the event he shall violate or threaten to violate any of the restrictions of Article 3 or 7 hereof, the Company will be without an adequate remedy at law and will therefore be entitled to enforce such restrictions by temporary or permanent injunctive or mandatory relief in any court of competent jurisdiction without the necessity of proving monetary damages.</w:t>
      </w:r>
    </w:p>
    <w:p>
      <w:pPr>
        <w:spacing w:after="0" w:line="120"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The Employee agrees further that the Company shall have the following additional rights and remedies:</w:t>
      </w:r>
    </w:p>
    <w:p>
      <w:pPr>
        <w:spacing w:after="0" w:line="185" w:lineRule="exact"/>
        <w:rPr>
          <w:sz w:val="20"/>
          <w:szCs w:val="20"/>
          <w:color w:val="auto"/>
        </w:rPr>
      </w:pPr>
    </w:p>
    <w:p>
      <w:pPr>
        <w:ind w:right="40" w:firstLine="1953"/>
        <w:spacing w:after="0" w:line="306" w:lineRule="auto"/>
        <w:tabs>
          <w:tab w:leader="none" w:pos="232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right and remedy to require the Employee to account for and pay over to the Company all monies and other consideration derived or received by him as the result of any transactions determined by an arbitrator or a court of competent jurisdiction to be a breach of any of the provisions of Section 7.1, and the Employee hereby agrees to account for and pay over such monies and other consideration to the Company; and</w:t>
      </w:r>
    </w:p>
    <w:p>
      <w:pPr>
        <w:spacing w:after="0" w:line="120" w:lineRule="exact"/>
        <w:rPr>
          <w:rFonts w:ascii="Arial" w:cs="Arial" w:eastAsia="Arial" w:hAnsi="Arial"/>
          <w:sz w:val="16"/>
          <w:szCs w:val="16"/>
          <w:color w:val="auto"/>
        </w:rPr>
      </w:pPr>
    </w:p>
    <w:p>
      <w:pPr>
        <w:ind w:firstLine="1953"/>
        <w:spacing w:after="0" w:line="306" w:lineRule="auto"/>
        <w:tabs>
          <w:tab w:leader="none" w:pos="237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right to recover attorneys’ fees incurred in any action or proceeding in which it seeks to enforce its rights under Article 7 hereof and is successful on any grounds; provided, however, that, in the event the Employee is the prevailing party in any such action or proceeding, the Company will pay to the Employee all reasonable attorneys’ fees and costs incurred by the Employee in defending such action or proceeding.</w:t>
      </w:r>
    </w:p>
    <w:p>
      <w:pPr>
        <w:spacing w:after="0" w:line="120" w:lineRule="exact"/>
        <w:rPr>
          <w:sz w:val="20"/>
          <w:szCs w:val="20"/>
          <w:color w:val="auto"/>
        </w:rPr>
      </w:pPr>
    </w:p>
    <w:p>
      <w:pPr>
        <w:ind w:right="140" w:firstLine="1297"/>
        <w:spacing w:after="0" w:line="332" w:lineRule="auto"/>
        <w:rPr>
          <w:sz w:val="20"/>
          <w:szCs w:val="20"/>
          <w:color w:val="auto"/>
        </w:rPr>
      </w:pPr>
      <w:r>
        <w:rPr>
          <w:rFonts w:ascii="Arial" w:cs="Arial" w:eastAsia="Arial" w:hAnsi="Arial"/>
          <w:sz w:val="16"/>
          <w:szCs w:val="16"/>
          <w:color w:val="auto"/>
        </w:rPr>
        <w:t>12.3 Each of the rights and remedies enumerated above shall be independent of the other, and shall be severally enforceable, and all of such rights and remedies shall be in addition to, and not in lieu of, any other rights and remedies available to the Company under law or in equity.</w:t>
      </w:r>
    </w:p>
    <w:p>
      <w:pPr>
        <w:spacing w:after="0" w:line="99" w:lineRule="exact"/>
        <w:rPr>
          <w:sz w:val="20"/>
          <w:szCs w:val="20"/>
          <w:color w:val="auto"/>
        </w:rPr>
      </w:pPr>
    </w:p>
    <w:p>
      <w:pPr>
        <w:ind w:right="40" w:firstLine="1297"/>
        <w:spacing w:after="0" w:line="294" w:lineRule="auto"/>
        <w:rPr>
          <w:sz w:val="20"/>
          <w:szCs w:val="20"/>
          <w:color w:val="auto"/>
        </w:rPr>
      </w:pPr>
      <w:r>
        <w:rPr>
          <w:rFonts w:ascii="Arial" w:cs="Arial" w:eastAsia="Arial" w:hAnsi="Arial"/>
          <w:sz w:val="16"/>
          <w:szCs w:val="16"/>
          <w:color w:val="auto"/>
        </w:rPr>
        <w:t>12.4 The parties hereto intend to and hereby confer jurisdiction to enforce the covenants contained in Section 7.1 upon the courts of any jurisdiction within the geographical scope of such covenants (a “Jurisdiction”). In the event that the courts of any one or more of such Jurisdictions shall hold such covenants unenforceable by reason of the breadth of their scope or otherwise, it is the intention of the parties hereto that such determination not bar or in any way affect the Company’s right to the relief provided above in the courts of any other Jurisdiction, as to breaches of such covenants in such other respective Jurisdictions, the above covenants as they relate to each Jurisdiction being, for this purpose, severable into diverse and independent covenants.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42" w:name="page143"/>
    <w:bookmarkEnd w:id="142"/>
    <w:p>
      <w:pPr>
        <w:ind w:left="1100" w:hanging="444"/>
        <w:spacing w:after="0"/>
        <w:tabs>
          <w:tab w:leader="none" w:pos="11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RESTRICTIONS</w:t>
      </w:r>
    </w:p>
    <w:p>
      <w:pPr>
        <w:spacing w:after="0" w:line="191" w:lineRule="exact"/>
        <w:rPr>
          <w:sz w:val="20"/>
          <w:szCs w:val="20"/>
          <w:color w:val="auto"/>
        </w:rPr>
      </w:pPr>
    </w:p>
    <w:p>
      <w:pPr>
        <w:ind w:right="60" w:firstLine="1297"/>
        <w:spacing w:after="0" w:line="284" w:lineRule="auto"/>
        <w:rPr>
          <w:sz w:val="20"/>
          <w:szCs w:val="20"/>
          <w:color w:val="auto"/>
        </w:rPr>
      </w:pPr>
      <w:r>
        <w:rPr>
          <w:rFonts w:ascii="Arial" w:cs="Arial" w:eastAsia="Arial" w:hAnsi="Arial"/>
          <w:sz w:val="16"/>
          <w:szCs w:val="16"/>
          <w:color w:val="auto"/>
        </w:rPr>
        <w:t>13.1 The Employee hereby represents that neither the execution of this Agreement nor his performance hereunder will (a) violate, conflict with or result in a breach of any provision of, or constitute a default (or an event which, with notice or lapse of time or both, would constitute a default) under the terms, conditions or provisions of any contract, agreement or other instrument or obligation to which the Employee is a party, or by which he may be bound, or</w:t>
      </w:r>
    </w:p>
    <w:p>
      <w:pPr>
        <w:spacing w:after="0" w:line="1" w:lineRule="exact"/>
        <w:rPr>
          <w:sz w:val="20"/>
          <w:szCs w:val="20"/>
          <w:color w:val="auto"/>
        </w:rPr>
      </w:pPr>
    </w:p>
    <w:p>
      <w:pPr>
        <w:jc w:val="both"/>
        <w:ind w:right="20" w:firstLine="8"/>
        <w:spacing w:after="0" w:line="254" w:lineRule="auto"/>
        <w:tabs>
          <w:tab w:leader="none" w:pos="2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violate any order, judgment, writ, injunction or decree applicable to the Employee. In the event of a breach hereof, in addition to the Company’s right to terminate this Agreement, the Employee shall indemnify the Company and hold it harmless from and against any and all claims, losses, liabilities, costs and expenses (including reasonable attorneys’ fees) incurred or suffered in connection with or as a result of the Company’s entering into this Agreement or employing the Employee hereunder.</w:t>
      </w:r>
    </w:p>
    <w:p>
      <w:pPr>
        <w:spacing w:after="0" w:line="151" w:lineRule="exact"/>
        <w:rPr>
          <w:rFonts w:ascii="Arial" w:cs="Arial" w:eastAsia="Arial" w:hAnsi="Arial"/>
          <w:sz w:val="18"/>
          <w:szCs w:val="18"/>
          <w:color w:val="auto"/>
        </w:rPr>
      </w:pPr>
    </w:p>
    <w:p>
      <w:pPr>
        <w:ind w:left="1100" w:hanging="444"/>
        <w:spacing w:after="0"/>
        <w:tabs>
          <w:tab w:leader="none" w:pos="1100"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191" w:lineRule="exact"/>
        <w:rPr>
          <w:sz w:val="20"/>
          <w:szCs w:val="20"/>
          <w:color w:val="auto"/>
        </w:rPr>
      </w:pPr>
    </w:p>
    <w:p>
      <w:pPr>
        <w:ind w:right="280" w:firstLine="1297"/>
        <w:spacing w:after="0" w:line="298" w:lineRule="auto"/>
        <w:rPr>
          <w:sz w:val="20"/>
          <w:szCs w:val="20"/>
          <w:color w:val="auto"/>
        </w:rPr>
      </w:pPr>
      <w:r>
        <w:rPr>
          <w:rFonts w:ascii="Arial" w:cs="Arial" w:eastAsia="Arial" w:hAnsi="Arial"/>
          <w:sz w:val="16"/>
          <w:szCs w:val="16"/>
          <w:color w:val="auto"/>
        </w:rPr>
        <w:t>14.1 Except with regard to Section 12.1 hereof and any other matters that are not a proper subject of arbitration, all disputes between the parties hereto concerning the performance, breach, construction or interpretation of this Agreement or any portion thereof, or in any manner arising out of this Agreement or the performance thereof, shall be submitted to binding arbitration, in accordance with the rules of the American Arbitration Association. The arbitration proceeding shall take place at a mutually agreeable location in Nassau County, New York or such other location as agreed to by the parties.</w:t>
      </w:r>
    </w:p>
    <w:p>
      <w:pPr>
        <w:spacing w:after="0" w:line="126" w:lineRule="exact"/>
        <w:rPr>
          <w:sz w:val="20"/>
          <w:szCs w:val="20"/>
          <w:color w:val="auto"/>
        </w:rPr>
      </w:pPr>
    </w:p>
    <w:p>
      <w:pPr>
        <w:ind w:right="380" w:firstLine="1297"/>
        <w:spacing w:after="0" w:line="332" w:lineRule="auto"/>
        <w:rPr>
          <w:sz w:val="20"/>
          <w:szCs w:val="20"/>
          <w:color w:val="auto"/>
        </w:rPr>
      </w:pPr>
      <w:r>
        <w:rPr>
          <w:rFonts w:ascii="Arial" w:cs="Arial" w:eastAsia="Arial" w:hAnsi="Arial"/>
          <w:sz w:val="16"/>
          <w:szCs w:val="16"/>
          <w:color w:val="auto"/>
        </w:rPr>
        <w:t>14.2 The award rendered by the arbitrator shall be final, binding and conclusive, shall be specifically enforceable, and judgment may be entered upon it in accordance with applicable law in an appropriate court in the State of New York, with no right of appeal therefrom.</w:t>
      </w:r>
    </w:p>
    <w:p>
      <w:pPr>
        <w:spacing w:after="0" w:line="99" w:lineRule="exact"/>
        <w:rPr>
          <w:sz w:val="20"/>
          <w:szCs w:val="20"/>
          <w:color w:val="auto"/>
        </w:rPr>
      </w:pPr>
    </w:p>
    <w:p>
      <w:pPr>
        <w:ind w:right="40" w:firstLine="1297"/>
        <w:spacing w:after="0" w:line="288" w:lineRule="auto"/>
        <w:rPr>
          <w:sz w:val="20"/>
          <w:szCs w:val="20"/>
          <w:color w:val="auto"/>
        </w:rPr>
      </w:pPr>
      <w:r>
        <w:rPr>
          <w:rFonts w:ascii="Arial" w:cs="Arial" w:eastAsia="Arial" w:hAnsi="Arial"/>
          <w:sz w:val="16"/>
          <w:szCs w:val="16"/>
          <w:color w:val="auto"/>
        </w:rPr>
        <w:t>14.3 Each party shall pay its or his own expenses of arbitration, and the expenses of the arbitrator and the arbitration proceeding shall be equally shared; provided, however, that, if, in the opinion of the arbitrator (or a majority of the arbitrators if more than one), any claim or defense was unreasonable, the arbitrator(s) may assess, as part of their award, all or any part of the arbitration expenses of the other party (including reasonable attorneys’ fees) and of the arbitrator(s) and the arbitration proceeding against the party raising such unreasonable claim or defense; provided, further, that, if the arbitration proceeding relates to the issue of Cause for termination of employment, (a) if, in the opinion of the arbitrator (or a majority of the arbitrators if more than one), Cause existed, the arbitrator(s) shall assess, as part of their award, all of the arbitration expenses of the Company (including reasonable attorneys’ fees) and of the arbitrator(s) and the arbitration proceeding against the Employee or (b) if, in the opinion of the arbitrator (or a majority of the arbitrators if more than one), Cause did not exist, the arbitrator(s) shall assess, as part of their award, all of the arbitration expenses of the Employee (including reasonable attorneys’ fees) and of the arbitrator(s) and the arbitration proceeding against the Company.</w:t>
      </w:r>
    </w:p>
    <w:p>
      <w:pPr>
        <w:spacing w:after="0" w:line="127" w:lineRule="exact"/>
        <w:rPr>
          <w:sz w:val="20"/>
          <w:szCs w:val="20"/>
          <w:color w:val="auto"/>
        </w:rPr>
      </w:pPr>
    </w:p>
    <w:p>
      <w:pPr>
        <w:ind w:left="1100" w:hanging="444"/>
        <w:spacing w:after="0"/>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CODE SECTIONS 409A, 280G AND 4999</w:t>
      </w:r>
      <w:r>
        <w:rPr>
          <w:rFonts w:ascii="Arial" w:cs="Arial" w:eastAsia="Arial" w:hAnsi="Arial"/>
          <w:sz w:val="18"/>
          <w:szCs w:val="18"/>
          <w:color w:val="auto"/>
        </w:rPr>
        <w:t>.</w:t>
      </w:r>
    </w:p>
    <w:p>
      <w:pPr>
        <w:spacing w:after="0" w:line="191"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15.1 The intent of the parties is that payments and benefits under this Agreement comply with Section 409A of the Code (together with the regulations and guidance promulgated thereunder, “Code Section 409A”),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parties hereto of the applicable provision without violating the provisions of Code Section 409A. In no event whatsoever shall the Company be liable for any additional tax, interest or penalty that may be imposed on the Employee by Code Section 409A as a result of the Company’s compliance with the terms of this Agreement.</w:t>
      </w:r>
    </w:p>
    <w:p>
      <w:pPr>
        <w:spacing w:after="0" w:line="134"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15.2 A termination of employment shall not be deemed to have occurred for purposes of any provision of this Agreement providing for the payment of any amounts or benefits constituting deferred compensation under Code Section 409A upon or following a termination of employment unless such termination of employment is also a “separation from service” within the meaning of Code Section 409A and, for purposes of any such provision of this Agreement, references to a termination of employment or like terms shall mean “separation from service.” If the Employee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be made or provided at the date which is the earlier of (i) the expiration of the six (6) month period measured from the date of such “separation from service” of the Employee, and (ii) the date of the Employee’s death (the “Delay Period”). Upon the expiration of the Delay Period, all payments and benefits delayed pursuant to this Section 15.2 (whether they would have otherwise been payable in a single sum or in installments in the absence of such delay) shall be paid or reimbursed to the Employee in a lump sum, and any remaining payments and benefits due under this Agreement shall be paid or provided in accordance with the normal payment dates specified herein.</w:t>
      </w:r>
    </w:p>
    <w:p>
      <w:pPr>
        <w:spacing w:after="0" w:line="141"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15.3 All expenses or other reimbursements under this Agreement shall be made on or prior to the last day of the taxable year following the taxable year in which such expenses were incurred by the Employee (provided that if any such reimbursements constitute taxable income to the Employee,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56"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15.4 For purposes of Code Section 409A, the Employee’s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sixty (60) days”), the actual date of payment within the specified period shall be within the sole discretion of the Company.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43" w:name="page144"/>
    <w:bookmarkEnd w:id="143"/>
    <w:p>
      <w:pPr>
        <w:ind w:right="240" w:firstLine="1297"/>
        <w:spacing w:after="0" w:line="268" w:lineRule="auto"/>
        <w:rPr>
          <w:sz w:val="20"/>
          <w:szCs w:val="20"/>
          <w:color w:val="auto"/>
        </w:rPr>
      </w:pPr>
      <w:r>
        <w:rPr>
          <w:rFonts w:ascii="Arial" w:cs="Arial" w:eastAsia="Arial" w:hAnsi="Arial"/>
          <w:sz w:val="18"/>
          <w:szCs w:val="18"/>
          <w:color w:val="auto"/>
        </w:rPr>
        <w:t>15.5 In no event shall any payment under this Agreement that constitutes “deferred compensation” for purposes of Code Section 409A be offset by any other payment pursuant to this Agreement or otherwise.</w:t>
      </w:r>
    </w:p>
    <w:p>
      <w:pPr>
        <w:spacing w:after="0" w:line="145"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15.6 Notwithstanding any other provisions of this Agreement to the contrary, in the event that any payments or benefits received or to be received by the Employee in connection with the Employee’s employment with the Company (or termination thereof) would subject the Employee to the excise tax imposed under Section 280G or 4999 of the Code (the “Excise Tax”), and, if the net-after tax amount (taking into account all applicable taxes payable by the Employee, including any Excise Tax) that the Employee would receive with respect to such payments or benefits does not exceed the net-after tax amount the Employee would receive if the amount of such payment and benefits were reduced to the maximum amount which could otherwise be payable to the Employee without the imposition of the Excise Tax, then, to the extent necessary to eliminate the imposition of the Excise Tax, (i) such cash payments and benefits shall first be reduced (if necessary, to zero) and (ii) all other non-cash payments and benefits shall next be reduced. The determination of whether any reduction in such payments or benefits to be provided under this Agreement or otherwise is required pursuant to the preceding sentence will be made at the expense of the Company by independent accountants or benefits consultants selected by the Company, and the Employee shall have the right to review such determination.</w:t>
      </w:r>
    </w:p>
    <w:p>
      <w:pPr>
        <w:spacing w:after="0" w:line="127" w:lineRule="exact"/>
        <w:rPr>
          <w:sz w:val="20"/>
          <w:szCs w:val="20"/>
          <w:color w:val="auto"/>
        </w:rPr>
      </w:pPr>
    </w:p>
    <w:p>
      <w:pPr>
        <w:ind w:left="1100" w:hanging="444"/>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p>
    <w:p>
      <w:pPr>
        <w:spacing w:after="0" w:line="191" w:lineRule="exact"/>
        <w:rPr>
          <w:sz w:val="20"/>
          <w:szCs w:val="20"/>
          <w:color w:val="auto"/>
        </w:rPr>
      </w:pPr>
    </w:p>
    <w:p>
      <w:pPr>
        <w:ind w:right="280" w:firstLine="1297"/>
        <w:spacing w:after="0" w:line="268" w:lineRule="auto"/>
        <w:rPr>
          <w:sz w:val="20"/>
          <w:szCs w:val="20"/>
          <w:color w:val="auto"/>
        </w:rPr>
      </w:pPr>
      <w:r>
        <w:rPr>
          <w:rFonts w:ascii="Arial" w:cs="Arial" w:eastAsia="Arial" w:hAnsi="Arial"/>
          <w:sz w:val="18"/>
          <w:szCs w:val="18"/>
          <w:color w:val="auto"/>
        </w:rPr>
        <w:t>16.1 This Agreement, as it relates to the employment of the Employee, is a personal contract and the rights and interests of the Employee hereunder may not be sold, transferred, assigned, pledged or hypothecated.</w:t>
      </w:r>
    </w:p>
    <w:p>
      <w:pPr>
        <w:spacing w:after="0" w:line="139" w:lineRule="exact"/>
        <w:rPr>
          <w:sz w:val="20"/>
          <w:szCs w:val="20"/>
          <w:color w:val="auto"/>
        </w:rPr>
      </w:pPr>
    </w:p>
    <w:p>
      <w:pPr>
        <w:ind w:left="1100" w:hanging="444"/>
        <w:spacing w:after="0"/>
        <w:tabs>
          <w:tab w:leader="none" w:pos="11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91" w:lineRule="exact"/>
        <w:rPr>
          <w:sz w:val="20"/>
          <w:szCs w:val="20"/>
          <w:color w:val="auto"/>
        </w:rPr>
      </w:pPr>
    </w:p>
    <w:p>
      <w:pPr>
        <w:ind w:right="220" w:firstLine="1297"/>
        <w:spacing w:after="0" w:line="332" w:lineRule="auto"/>
        <w:rPr>
          <w:sz w:val="20"/>
          <w:szCs w:val="20"/>
          <w:color w:val="auto"/>
        </w:rPr>
      </w:pPr>
      <w:r>
        <w:rPr>
          <w:rFonts w:ascii="Arial" w:cs="Arial" w:eastAsia="Arial" w:hAnsi="Arial"/>
          <w:sz w:val="16"/>
          <w:szCs w:val="16"/>
          <w:color w:val="auto"/>
        </w:rPr>
        <w:t>17.1 Any notice required or permitted to be given pursuant to this Agreement shall be deemed to have been duly given when delivered by hand or sent by certified or registered mail, return receipt requested and postage prepaid, overnight mail or courier, e-mail, or fax as follows:</w:t>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Employee: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450</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Hewlett, New York 11557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bgoldstein@kingstonecompanies.com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Number: (516) 374-4484</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Dentons US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10020-1089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Brian S. Cousin,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Brian.Cousin@Dentons.com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Number: (212) 768-6800</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36" w:right="279" w:bottom="1440" w:gutter="0" w:footer="0" w:header="0"/>
        </w:sectPr>
      </w:pPr>
    </w:p>
    <w:bookmarkStart w:id="144" w:name="page145"/>
    <w:bookmarkEnd w:id="144"/>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Victor Brodsky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Compensation Committee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 Joys Lane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Kingston, New York 12401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vbrodsky@kingstonecompanies.com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Number: (845) 853-1890</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Certilman Balin Adler &amp; Hyman,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 Merrick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East Meadow, New York 11554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Fred Skolnik,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fskolnik@certilmanbalin.com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Number: (516) 296-7111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 at such other address as any party shall designate by notice to the other party given in accordance with this Section 17.1.</w:t>
      </w:r>
    </w:p>
    <w:p>
      <w:pPr>
        <w:spacing w:after="0" w:line="179" w:lineRule="exact"/>
        <w:rPr>
          <w:sz w:val="20"/>
          <w:szCs w:val="20"/>
          <w:color w:val="auto"/>
        </w:rPr>
      </w:pPr>
    </w:p>
    <w:p>
      <w:pPr>
        <w:ind w:left="1100" w:hanging="444"/>
        <w:spacing w:after="0"/>
        <w:tabs>
          <w:tab w:leader="none" w:pos="11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91" w:lineRule="exact"/>
        <w:rPr>
          <w:sz w:val="20"/>
          <w:szCs w:val="20"/>
          <w:color w:val="auto"/>
        </w:rPr>
      </w:pPr>
    </w:p>
    <w:p>
      <w:pPr>
        <w:ind w:right="160" w:firstLine="1297"/>
        <w:spacing w:after="0" w:line="268" w:lineRule="auto"/>
        <w:rPr>
          <w:sz w:val="20"/>
          <w:szCs w:val="20"/>
          <w:color w:val="auto"/>
        </w:rPr>
      </w:pPr>
      <w:r>
        <w:rPr>
          <w:rFonts w:ascii="Arial" w:cs="Arial" w:eastAsia="Arial" w:hAnsi="Arial"/>
          <w:sz w:val="18"/>
          <w:szCs w:val="18"/>
          <w:color w:val="auto"/>
        </w:rPr>
        <w:t>18.1 This Agreement shall be governed by, and construed and enforced in accordance with, the laws of the State of New York applicable to agreements made and to be performed entirely in New York without regard to conflicts of laws principles.</w:t>
      </w:r>
    </w:p>
    <w:p>
      <w:pPr>
        <w:spacing w:after="0" w:line="139" w:lineRule="exact"/>
        <w:rPr>
          <w:sz w:val="20"/>
          <w:szCs w:val="20"/>
          <w:color w:val="auto"/>
        </w:rPr>
      </w:pPr>
    </w:p>
    <w:p>
      <w:pPr>
        <w:ind w:left="1100" w:hanging="444"/>
        <w:spacing w:after="0"/>
        <w:tabs>
          <w:tab w:leader="none" w:pos="11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 PARTIAL INVALIDITY</w:t>
      </w:r>
    </w:p>
    <w:p>
      <w:pPr>
        <w:spacing w:after="0" w:line="191"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19.1 The waiver by either party of a breach of any provision of this Agreement shall not operate or be construed as a waiver of any subsequent breach. If any provision, or part thereof, of this Agreement shall be held to be invalid or unenforceable, such invalidity or unenforceability shall attach only to such provision and not in any way affect or render invalid or unenforceable any other provisions of this Agreement, and this Agreement shall be carried out as if such invalid or unenforceable provision, or part thereof, had been reformed, and any court of competent jurisdiction or arbitrators, as the case may be, are authorized to so reform such invalid or unenforceable provision, or part thereof, so that it would be valid, legal and enforceable to the fullest extent permitted by applicable law.</w:t>
      </w:r>
    </w:p>
    <w:p>
      <w:pPr>
        <w:spacing w:after="0" w:line="152" w:lineRule="exact"/>
        <w:rPr>
          <w:sz w:val="20"/>
          <w:szCs w:val="20"/>
          <w:color w:val="auto"/>
        </w:rPr>
      </w:pPr>
    </w:p>
    <w:p>
      <w:pPr>
        <w:ind w:left="1100" w:hanging="444"/>
        <w:spacing w:after="0"/>
        <w:tabs>
          <w:tab w:leader="none" w:pos="11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p>
    <w:p>
      <w:pPr>
        <w:spacing w:after="0" w:line="191" w:lineRule="exact"/>
        <w:rPr>
          <w:sz w:val="20"/>
          <w:szCs w:val="20"/>
          <w:color w:val="auto"/>
        </w:rPr>
      </w:pPr>
    </w:p>
    <w:p>
      <w:pPr>
        <w:ind w:right="120" w:firstLine="1297"/>
        <w:spacing w:after="0" w:line="294" w:lineRule="auto"/>
        <w:rPr>
          <w:sz w:val="20"/>
          <w:szCs w:val="20"/>
          <w:color w:val="auto"/>
        </w:rPr>
      </w:pPr>
      <w:r>
        <w:rPr>
          <w:rFonts w:ascii="Arial" w:cs="Arial" w:eastAsia="Arial" w:hAnsi="Arial"/>
          <w:sz w:val="16"/>
          <w:szCs w:val="16"/>
          <w:color w:val="auto"/>
        </w:rPr>
        <w:t>20.1 This Agreement constitutes the entire agreement between the parties with respect to the subject matter hereof and there are no representations, warranties or commitments except as set forth herein. This Agreement supersedes all prior agreements, understandings, negotiations and discussions, whether written or oral, of the parties hereto relating to the subject matter hereof, including the Existing Employment Agreement, with regard to the Employee’s employment with the Company effective as of January 1, 2017. This Agreement may be amended, and any provision hereof waived, only by a writing executed by the party sought to be charged. No amendment or waiver on the part of the Company shall be valid unless approved by its Board.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45" w:name="page146"/>
    <w:bookmarkEnd w:id="145"/>
    <w:p>
      <w:pPr>
        <w:ind w:left="1100" w:hanging="444"/>
        <w:spacing w:after="0"/>
        <w:tabs>
          <w:tab w:leader="none" w:pos="11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191" w:lineRule="exact"/>
        <w:rPr>
          <w:sz w:val="20"/>
          <w:szCs w:val="20"/>
          <w:color w:val="auto"/>
        </w:rPr>
      </w:pPr>
    </w:p>
    <w:p>
      <w:pPr>
        <w:ind w:right="520" w:firstLine="1297"/>
        <w:spacing w:after="0" w:line="268" w:lineRule="auto"/>
        <w:rPr>
          <w:sz w:val="20"/>
          <w:szCs w:val="20"/>
          <w:color w:val="auto"/>
        </w:rPr>
      </w:pPr>
      <w:r>
        <w:rPr>
          <w:rFonts w:ascii="Arial" w:cs="Arial" w:eastAsia="Arial" w:hAnsi="Arial"/>
          <w:sz w:val="18"/>
          <w:szCs w:val="18"/>
          <w:color w:val="auto"/>
        </w:rPr>
        <w:t>21.1 This Agreement may be executed in one or more counterparts, each of which shall be deemed an original, and all of which taken together shall constitute one and the same instrument.</w:t>
      </w:r>
    </w:p>
    <w:p>
      <w:pPr>
        <w:spacing w:after="0" w:line="139" w:lineRule="exact"/>
        <w:rPr>
          <w:sz w:val="20"/>
          <w:szCs w:val="20"/>
          <w:color w:val="auto"/>
        </w:rPr>
      </w:pPr>
    </w:p>
    <w:p>
      <w:pPr>
        <w:ind w:left="1100" w:hanging="444"/>
        <w:spacing w:after="0"/>
        <w:tabs>
          <w:tab w:leader="none" w:pos="11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 AND EMAIL SIGNATURES</w:t>
      </w:r>
    </w:p>
    <w:p>
      <w:pPr>
        <w:spacing w:after="0" w:line="191"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Signatures hereon which are transmitted via facsimile or email shall be deemed original signatures.</w:t>
      </w:r>
    </w:p>
    <w:p>
      <w:pPr>
        <w:spacing w:after="0" w:line="179" w:lineRule="exact"/>
        <w:rPr>
          <w:sz w:val="20"/>
          <w:szCs w:val="20"/>
          <w:color w:val="auto"/>
        </w:rPr>
      </w:pPr>
    </w:p>
    <w:p>
      <w:pPr>
        <w:ind w:left="1100" w:hanging="444"/>
        <w:spacing w:after="0"/>
        <w:tabs>
          <w:tab w:leader="none" w:pos="11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191"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23.1 In addition to the right to indemnification conferred in Article X of the By-Laws of the Company, as amended (the “By-Laws”), the Employee shall have the right to have his expenses (including reasonable attorneys’ fees) incurred in defending any action or proceeding as to which the Employee is entitled to be indemnified in advance of its final disposition advanced and paid promptly as set forth below upon incurring such expenses; provided, however, that an advancement of expenses incurred by the Employee shall be made only upon delivery to the Company of an undertaking by the Employee to repay all amounts so advanced if it shall ultimately be determined by final judicial decision from which there is no further right to appeal that the Employee is not entitled to be indemnified for such expenses under the By-Laws. The Company shall make advance payments of such expenses (including reasonable attorneys' fees) incurred within thirty (30) days of the Employee’s presentation of an invoice for such expenses.</w:t>
      </w:r>
    </w:p>
    <w:p>
      <w:pPr>
        <w:spacing w:after="0" w:line="126" w:lineRule="exact"/>
        <w:rPr>
          <w:sz w:val="20"/>
          <w:szCs w:val="20"/>
          <w:color w:val="auto"/>
        </w:rPr>
      </w:pPr>
    </w:p>
    <w:p>
      <w:pPr>
        <w:ind w:left="1100" w:hanging="444"/>
        <w:spacing w:after="0"/>
        <w:tabs>
          <w:tab w:leader="none" w:pos="11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w:t>
      </w:r>
    </w:p>
    <w:p>
      <w:pPr>
        <w:spacing w:after="0" w:line="185"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color w:val="auto"/>
        </w:rPr>
        <w:t>All references in this Agreement to “includes” and “including” shall be construed to include the words “without limitation.</w:t>
      </w:r>
    </w:p>
    <w:p>
      <w:pPr>
        <w:spacing w:after="0" w:line="185" w:lineRule="exact"/>
        <w:rPr>
          <w:sz w:val="20"/>
          <w:szCs w:val="20"/>
          <w:color w:val="auto"/>
        </w:rPr>
      </w:pPr>
    </w:p>
    <w:p>
      <w:pPr>
        <w:ind w:left="1100" w:hanging="444"/>
        <w:spacing w:after="0"/>
        <w:tabs>
          <w:tab w:leader="none" w:pos="11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 BY COUNSEL; INTERPRETATION</w:t>
      </w:r>
    </w:p>
    <w:p>
      <w:pPr>
        <w:spacing w:after="0" w:line="191"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25.1 The Employee acknowledges that he has been represented by counsel, or has been afforded the opportunity to be represented by counsel, in connection with this Agreement. Accordingly, any rule of law or any legal decision that would require the interpretation of any claimed ambiguities in this Agreement against the party that drafted it has no application and is expressly waived by the Employee. The provisions of this Agreement shall be interpreted in a reasonable manner to give effect to the intent of the parties hereto.</w:t>
      </w:r>
    </w:p>
    <w:p>
      <w:pPr>
        <w:spacing w:after="0" w:line="151" w:lineRule="exact"/>
        <w:rPr>
          <w:sz w:val="20"/>
          <w:szCs w:val="20"/>
          <w:color w:val="auto"/>
        </w:rPr>
      </w:pPr>
    </w:p>
    <w:p>
      <w:pPr>
        <w:ind w:left="1100" w:hanging="444"/>
        <w:spacing w:after="0"/>
        <w:tabs>
          <w:tab w:leader="none" w:pos="11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p>
    <w:p>
      <w:pPr>
        <w:spacing w:after="0" w:line="191" w:lineRule="exact"/>
        <w:rPr>
          <w:sz w:val="20"/>
          <w:szCs w:val="20"/>
          <w:color w:val="auto"/>
        </w:rPr>
      </w:pPr>
    </w:p>
    <w:p>
      <w:pPr>
        <w:ind w:right="200" w:firstLine="1297"/>
        <w:spacing w:after="0" w:line="268" w:lineRule="auto"/>
        <w:rPr>
          <w:sz w:val="20"/>
          <w:szCs w:val="20"/>
          <w:color w:val="auto"/>
        </w:rPr>
      </w:pPr>
      <w:r>
        <w:rPr>
          <w:rFonts w:ascii="Arial" w:cs="Arial" w:eastAsia="Arial" w:hAnsi="Arial"/>
          <w:sz w:val="18"/>
          <w:szCs w:val="18"/>
          <w:color w:val="auto"/>
        </w:rPr>
        <w:t>26.1 The headings and captions under articles and sections of this Agreement are for convenience of reference only and do not in any way modify, interpret or construe the intent of the parties or affect any of the provisions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 Signature page follows.]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46" w:name="page147"/>
    <w:bookmarkEnd w:id="146"/>
    <w:p>
      <w:pPr>
        <w:spacing w:after="0"/>
        <w:rPr>
          <w:sz w:val="20"/>
          <w:szCs w:val="20"/>
          <w:color w:val="auto"/>
        </w:rPr>
      </w:pPr>
      <w:r>
        <w:rPr>
          <w:rFonts w:ascii="Arial" w:cs="Arial" w:eastAsia="Arial" w:hAnsi="Arial"/>
          <w:sz w:val="15"/>
          <w:szCs w:val="15"/>
          <w:color w:val="auto"/>
        </w:rPr>
        <w:t>IN WITNESS WHEREOF, the undersigned have executed this Agreement as of the day and year above written.</w:t>
      </w:r>
    </w:p>
    <w:p>
      <w:pPr>
        <w:sectPr>
          <w:pgSz w:w="11900" w:h="16838" w:orient="portrait"/>
          <w:cols w:equalWidth="0" w:num="1">
            <w:col w:w="9559"/>
          </w:cols>
          <w:pgMar w:left="900" w:top="347" w:right="1440" w:bottom="1440" w:gutter="0" w:footer="0" w:header="0"/>
        </w:sectPr>
      </w:pPr>
    </w:p>
    <w:p>
      <w:pPr>
        <w:spacing w:after="0" w:line="1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KINGSTONE INSURANCE COMPANY</w:t>
      </w:r>
    </w:p>
    <w:p>
      <w:pPr>
        <w:spacing w:after="0" w:line="200" w:lineRule="exact"/>
        <w:rPr>
          <w:sz w:val="20"/>
          <w:szCs w:val="20"/>
          <w:color w:val="auto"/>
        </w:rPr>
      </w:pPr>
    </w:p>
    <w:p>
      <w:pPr>
        <w:spacing w:after="0" w:line="26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Victor J. Brodsky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Barry B. Goldstein</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347" w:right="1440" w:bottom="1440" w:gutter="0" w:footer="0" w:header="0"/>
          <w:type w:val="continuous"/>
        </w:sectPr>
      </w:pPr>
    </w:p>
    <w:bookmarkStart w:id="147" w:name="page148"/>
    <w:bookmarkEnd w:id="147"/>
    <w:p>
      <w:pPr>
        <w:ind w:left="10460"/>
        <w:spacing w:after="0"/>
        <w:rPr>
          <w:sz w:val="20"/>
          <w:szCs w:val="20"/>
          <w:color w:val="auto"/>
        </w:rPr>
      </w:pPr>
      <w:r>
        <w:rPr>
          <w:rFonts w:ascii="Arial" w:cs="Arial" w:eastAsia="Arial" w:hAnsi="Arial"/>
          <w:sz w:val="16"/>
          <w:szCs w:val="16"/>
          <w:b w:val="1"/>
          <w:bCs w:val="1"/>
          <w:color w:val="auto"/>
        </w:rPr>
        <w:t>Exhibit 10(j)</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EMPLOYMENT AGREEMENT</w:t>
      </w:r>
      <w:r>
        <w:rPr>
          <w:rFonts w:ascii="Arial" w:cs="Arial" w:eastAsia="Arial" w:hAnsi="Arial"/>
          <w:sz w:val="18"/>
          <w:szCs w:val="18"/>
          <w:color w:val="auto"/>
        </w:rPr>
        <w:t>, dated March 14, 2018, by and between</w:t>
      </w:r>
      <w:r>
        <w:rPr>
          <w:rFonts w:ascii="Arial" w:cs="Arial" w:eastAsia="Arial" w:hAnsi="Arial"/>
          <w:sz w:val="18"/>
          <w:szCs w:val="18"/>
          <w:b w:val="1"/>
          <w:bCs w:val="1"/>
          <w:color w:val="auto"/>
        </w:rPr>
        <w:t xml:space="preserve"> KINGSTONE COMPANIES,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and </w:t>
      </w:r>
      <w:r>
        <w:rPr>
          <w:rFonts w:ascii="Arial" w:cs="Arial" w:eastAsia="Arial" w:hAnsi="Arial"/>
          <w:sz w:val="18"/>
          <w:szCs w:val="18"/>
          <w:b w:val="1"/>
          <w:bCs w:val="1"/>
          <w:color w:val="auto"/>
        </w:rPr>
        <w:t>DALE A. THATCHER</w:t>
      </w:r>
      <w:r>
        <w:rPr>
          <w:rFonts w:ascii="Arial" w:cs="Arial" w:eastAsia="Arial" w:hAnsi="Arial"/>
          <w:sz w:val="18"/>
          <w:szCs w:val="18"/>
          <w:color w:val="auto"/>
        </w:rPr>
        <w:t xml:space="preserve"> (the “Employee” or the “Executive”).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Employee desire to enter into an employment agreement which will set forth the terms and conditions upon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shall be employed by the Company and upon which the Company shall compensate the Employee for his services.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mutual covenants hereinafter set forth, the parties hereto hereby agree as follows:</w:t>
      </w:r>
    </w:p>
    <w:p>
      <w:pPr>
        <w:spacing w:after="0" w:line="181" w:lineRule="exact"/>
        <w:rPr>
          <w:sz w:val="20"/>
          <w:szCs w:val="20"/>
          <w:color w:val="auto"/>
        </w:rPr>
      </w:pPr>
    </w:p>
    <w:p>
      <w:pPr>
        <w:ind w:left="1320" w:hanging="664"/>
        <w:spacing w:after="0"/>
        <w:tabs>
          <w:tab w:leader="none" w:pos="13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TERM</w:t>
      </w:r>
    </w:p>
    <w:p>
      <w:pPr>
        <w:spacing w:after="0" w:line="164"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1.1. The Company will employ the Employee in its business, and the Employee will work for the Company therein, as its Chief Operating Officer for a term commencing as of March 15, 2018 (the “Effective Date”) and terminating on December 31, 2018 (the “Expiration Date”), subject to earlier termination as hereinafter provided (the employment period, as earlier terminated as provided for herein, being referred to as the “Term”).</w:t>
      </w:r>
    </w:p>
    <w:p>
      <w:pPr>
        <w:spacing w:after="0" w:line="130"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1.2. Upon the expiration of the Term or the termination of the Employee’s employment with the Company for any reason whatsoever, whether during or following the Term, he shall be deemed to have resigned all of his positions as an employee, officer and director of the Company and of each and every subsidiary thereof.</w:t>
      </w:r>
    </w:p>
    <w:p>
      <w:pPr>
        <w:spacing w:after="0" w:line="121" w:lineRule="exact"/>
        <w:rPr>
          <w:sz w:val="20"/>
          <w:szCs w:val="20"/>
          <w:color w:val="auto"/>
        </w:rPr>
      </w:pPr>
    </w:p>
    <w:p>
      <w:pPr>
        <w:ind w:left="1320" w:hanging="664"/>
        <w:spacing w:after="0"/>
        <w:tabs>
          <w:tab w:leader="none" w:pos="13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w:t>
      </w:r>
    </w:p>
    <w:p>
      <w:pPr>
        <w:spacing w:after="0" w:line="164"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2.1. During the Term, the Employee shall serve as the Company’s Chief Operating Officer and shall have and perform executive, administrative, and managerial duties customary for such a position, and such further duties of an executive character as shall, from time to time, be delegated or assigned to him by the Board of Directors of the Company (the “Board”) or the Chief Executive Officer of the Company (the “CEO”) consistent with the Employee’s position.</w:t>
      </w:r>
    </w:p>
    <w:p>
      <w:pPr>
        <w:spacing w:after="0" w:line="124" w:lineRule="exact"/>
        <w:rPr>
          <w:sz w:val="20"/>
          <w:szCs w:val="20"/>
          <w:color w:val="auto"/>
        </w:rPr>
      </w:pPr>
    </w:p>
    <w:p>
      <w:pPr>
        <w:ind w:left="1320" w:hanging="664"/>
        <w:spacing w:after="0"/>
        <w:tabs>
          <w:tab w:leader="none" w:pos="13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DEVOTION OF TIME</w:t>
      </w:r>
    </w:p>
    <w:p>
      <w:pPr>
        <w:spacing w:after="0" w:line="164"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3.1. During the Term, the Employee shall expend substantially all of his working time for the Company, shall devote his best efforts, energy and skill to the services of the Company and the promotion of its interests and shall not take part in activities detrimental to the best interests of the Company. Notwithstanding the foregoing, during the term of the Employment Agreement between Kingstone Insurance Company (“KICO”) and the Employee of even date (the “KICO Employment Agreement”), the Employee shall be entitled to devote such time as is necessary to the fulfillment of his duties and responsibilities as President of KICO, it being understood and agreed that such permitted activity is subject to the reduction in Base Salary (as hereinafter defined) provided for in Section 4.2 hereof.</w:t>
      </w:r>
    </w:p>
    <w:p>
      <w:pPr>
        <w:spacing w:after="0" w:line="131"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3.2. The Employee shall be permitted to engage in the following activities: (a) charity, social or civic work, (b) tend to personal financial and legal affairs, (c) serve on the Board of Directors of Service King, Inc., and (d) subject to the prior written consent of the Company (following Board approval), serve on the Board of Directors of, or advisor to, other business organizations, in each case (i.e., (a) through (d) above), provided that such activities do not interfere or conflict with his full-time services to the Company.</w:t>
      </w:r>
    </w:p>
    <w:p>
      <w:pPr>
        <w:spacing w:after="0" w:line="124" w:lineRule="exact"/>
        <w:rPr>
          <w:sz w:val="20"/>
          <w:szCs w:val="20"/>
          <w:color w:val="auto"/>
        </w:rPr>
      </w:pPr>
    </w:p>
    <w:p>
      <w:pPr>
        <w:ind w:left="1320" w:hanging="664"/>
        <w:spacing w:after="0"/>
        <w:tabs>
          <w:tab w:leader="none" w:pos="13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164" w:lineRule="exact"/>
        <w:rPr>
          <w:sz w:val="20"/>
          <w:szCs w:val="20"/>
          <w:color w:val="auto"/>
        </w:rPr>
      </w:pPr>
    </w:p>
    <w:p>
      <w:pPr>
        <w:jc w:val="both"/>
        <w:ind w:left="660" w:right="20" w:firstLine="648"/>
        <w:spacing w:after="0" w:line="332" w:lineRule="auto"/>
        <w:rPr>
          <w:sz w:val="20"/>
          <w:szCs w:val="20"/>
          <w:color w:val="auto"/>
        </w:rPr>
      </w:pPr>
      <w:r>
        <w:rPr>
          <w:rFonts w:ascii="Arial" w:cs="Arial" w:eastAsia="Arial" w:hAnsi="Arial"/>
          <w:sz w:val="16"/>
          <w:szCs w:val="16"/>
          <w:color w:val="auto"/>
        </w:rPr>
        <w:t>4.1. For all services to be rendered by the Employee during the Term, and in consideration of the Employee’s representations and covenants set forth in this Agreement, the Employee shall be entitled to receive from the Company compensation as set forth in Section 4.2 below.</w:t>
      </w:r>
    </w:p>
    <w:p>
      <w:pPr>
        <w:spacing w:after="0" w:line="72"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4.2. During the Term, the Employee shall be entitled to receive a salary at the rate of five hundred thousand dollars ($500,000) per annum (the “Base Salary”); provided, however, the Base Salary shall be reduced on a dollar-for-dollar basis to the extent of the salary payable by KICO to the Employee pursuant to the KICO Employment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8" w:name="page149"/>
    <w:bookmarkEnd w:id="148"/>
    <w:p>
      <w:pPr>
        <w:ind w:left="664" w:hanging="664"/>
        <w:spacing w:after="0"/>
        <w:tabs>
          <w:tab w:leader="none" w:pos="66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 OF EXPENSES</w:t>
      </w:r>
    </w:p>
    <w:p>
      <w:pPr>
        <w:spacing w:after="0" w:line="164" w:lineRule="exact"/>
        <w:rPr>
          <w:sz w:val="20"/>
          <w:szCs w:val="20"/>
          <w:color w:val="auto"/>
        </w:rPr>
      </w:pPr>
    </w:p>
    <w:p>
      <w:pPr>
        <w:jc w:val="both"/>
        <w:ind w:left="4" w:firstLine="648"/>
        <w:spacing w:after="0" w:line="332" w:lineRule="auto"/>
        <w:rPr>
          <w:sz w:val="20"/>
          <w:szCs w:val="20"/>
          <w:color w:val="auto"/>
        </w:rPr>
      </w:pPr>
      <w:r>
        <w:rPr>
          <w:rFonts w:ascii="Arial" w:cs="Arial" w:eastAsia="Arial" w:hAnsi="Arial"/>
          <w:sz w:val="16"/>
          <w:szCs w:val="16"/>
          <w:color w:val="auto"/>
        </w:rPr>
        <w:t>5.1. Subject to Section 5.3 hereof, the Company shall pay directly, or reimburse the Employee for, all reasonable and necessary expenses and disbursements incurred by the Employee for and on behalf of the Company in the performance of his duties during the Term.</w:t>
      </w:r>
    </w:p>
    <w:p>
      <w:pPr>
        <w:spacing w:after="0" w:line="72"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5.2. The Employee shall periodically submit to the Company reports of such expenses and disbursements in a form and at a frequency normally used by the Company, and receipts with respect thereto, and the Company’s obligations under Section 5.1 hereof shall be subject to compliance therewith</w:t>
      </w:r>
    </w:p>
    <w:p>
      <w:pPr>
        <w:spacing w:after="0" w:line="127"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5.3. During the Term, the Employee shall be entitled to receive a monthly automobile allowance of one thousand dollars ($1,000) for any and all expenses related to the Employee’s automobile (i.e., lease payments, insurance, gas, tolls, parking and the like). Except for reimbursement of directly related automobile expenses (i.e., parking and tolls) incurred by the Employee while fulfilling his duties and responsibilities to the Company, but which are outside of the Employee’s normal day to day commuting usage of his automobile, the Employee will not be entitled to any additional or alternative reimbursement for any other automobile related expenses.</w:t>
      </w:r>
    </w:p>
    <w:p>
      <w:pPr>
        <w:spacing w:after="0" w:line="123" w:lineRule="exact"/>
        <w:rPr>
          <w:sz w:val="20"/>
          <w:szCs w:val="20"/>
          <w:color w:val="auto"/>
        </w:rPr>
      </w:pPr>
    </w:p>
    <w:p>
      <w:pPr>
        <w:ind w:left="664" w:hanging="664"/>
        <w:spacing w:after="0"/>
        <w:tabs>
          <w:tab w:leader="none" w:pos="66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DISABILITY; INSURANCE</w:t>
      </w:r>
    </w:p>
    <w:p>
      <w:pPr>
        <w:spacing w:after="0" w:line="164"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6"/>
          <w:szCs w:val="16"/>
          <w:color w:val="auto"/>
        </w:rPr>
        <w:t>6.1. If, during the Term, the Employee, in the opinion of a majority of all of the members of the Board (excluding the Employee if he is a member), as confirmed by competent medical evidence, shall become physically or mentally incapacitated to perform his duties for the Company hereunder (“Disabled”) for a continuous period, then for the first three (3) months of such period he shall receive his full salary (subject to the following sentence, the “Salary Continuation Period”). In no event, however, shall the Employee be entitled to receive any payments under this Section 6.1 beyond the expiration or termination date of this Agreement. Effective with the date of his resumption of full employment, the Employee shall be re-entitled to receive his full salary. If such illness or other incapacity shall endure for a continuous period of at least three (3) months or for at least sixty (60) business days during any six (6) month period, the Company shall have the right, by written notice, to terminate the Employee’s employment hereunder as of a date (not less than thirty (30) days after the date of the sending of such notice) to be specified in such notice. The Employee agrees to submit himself for appropriate medical examination to a physician of the Company’s designation as necessary for purposes of this Section 6.1.</w:t>
      </w:r>
    </w:p>
    <w:p>
      <w:pPr>
        <w:spacing w:after="0" w:line="106"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8"/>
          <w:szCs w:val="18"/>
          <w:color w:val="auto"/>
        </w:rPr>
        <w:t>6.2. The obligations of the Company under this Article 6 may be satisfied, in whole or in part, by payments to the Employee under a disability insurance policy provided by the Company and/or KICO.</w:t>
      </w:r>
    </w:p>
    <w:p>
      <w:pPr>
        <w:spacing w:after="0" w:line="118" w:lineRule="exact"/>
        <w:rPr>
          <w:sz w:val="20"/>
          <w:szCs w:val="20"/>
          <w:color w:val="auto"/>
        </w:rPr>
      </w:pPr>
    </w:p>
    <w:p>
      <w:pPr>
        <w:jc w:val="both"/>
        <w:ind w:left="4" w:right="20" w:firstLine="648"/>
        <w:spacing w:after="0" w:line="259" w:lineRule="auto"/>
        <w:rPr>
          <w:sz w:val="20"/>
          <w:szCs w:val="20"/>
          <w:color w:val="auto"/>
        </w:rPr>
      </w:pPr>
      <w:r>
        <w:rPr>
          <w:rFonts w:ascii="Arial" w:cs="Arial" w:eastAsia="Arial" w:hAnsi="Arial"/>
          <w:sz w:val="18"/>
          <w:szCs w:val="18"/>
          <w:color w:val="auto"/>
        </w:rPr>
        <w:t>6.3. Notwithstanding the foregoing, in the event that, at the time of any apparent incapacity, the Company has in effect a disability policy with respect to the Employee, the Employee shall be considered Disabled for purposes of Section 6.1 only if he is considered disabled for purposes of the policy.</w:t>
      </w:r>
    </w:p>
    <w:p>
      <w:pPr>
        <w:spacing w:after="0" w:line="121" w:lineRule="exact"/>
        <w:rPr>
          <w:sz w:val="20"/>
          <w:szCs w:val="20"/>
          <w:color w:val="auto"/>
        </w:rPr>
      </w:pPr>
    </w:p>
    <w:p>
      <w:pPr>
        <w:ind w:left="664" w:hanging="664"/>
        <w:spacing w:after="0"/>
        <w:tabs>
          <w:tab w:leader="none" w:pos="66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COVENANTS</w:t>
      </w:r>
    </w:p>
    <w:p>
      <w:pPr>
        <w:spacing w:after="0" w:line="164"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7.1. (a) The services of the Employee are unique and extraordinary and essential to the business of the Company, especially since the Employee shall have access to the Company’s customer lists, producer lists, trade secrets and other privileged and confidential information essential to the Company’s business. Therefore, the Employee agrees that, if the term of his employment hereunder shall expire or his employment shall at any time terminate for any reason whatsoever, with or without Cause (as hereinafter defined) and with or without Good Reason (as hereinafter defined), the Employee will not at any time during the Restrictive Covenant Period (as hereinafter defined), without the prior written consent of the Company, directly or indirectly, whether individually or as a principal, officer, employee, partner, shareholder, member, manager, director, agent of, or consultant or independent contractor to, any person, corporation, limited liability company, partnership, limited partnership or other entity (collectively, “Person”):</w:t>
      </w:r>
    </w:p>
    <w:p>
      <w:pPr>
        <w:spacing w:after="0" w:line="105" w:lineRule="exact"/>
        <w:rPr>
          <w:sz w:val="20"/>
          <w:szCs w:val="20"/>
          <w:color w:val="auto"/>
        </w:rPr>
      </w:pPr>
    </w:p>
    <w:p>
      <w:pPr>
        <w:jc w:val="both"/>
        <w:ind w:left="4" w:right="20" w:firstLine="1941"/>
        <w:spacing w:after="0" w:line="306" w:lineRule="auto"/>
        <w:tabs>
          <w:tab w:leader="none" w:pos="270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cause or seek to persuade any director, officer, employee, customer, client, account, agent, producer, reinsurer or supplier of, or consultant or independent contractor to, the Company, or others with whom the Company has a business relationship (collectively, “Business Associates”), to discontinue or materially modify the status, employment or relationship of such Person with the Company;</w:t>
      </w:r>
    </w:p>
    <w:p>
      <w:pPr>
        <w:spacing w:after="0" w:line="93" w:lineRule="exact"/>
        <w:rPr>
          <w:rFonts w:ascii="Arial" w:cs="Arial" w:eastAsia="Arial" w:hAnsi="Arial"/>
          <w:sz w:val="16"/>
          <w:szCs w:val="16"/>
          <w:color w:val="auto"/>
        </w:rPr>
      </w:pPr>
    </w:p>
    <w:p>
      <w:pPr>
        <w:jc w:val="both"/>
        <w:ind w:left="4" w:firstLine="1941"/>
        <w:spacing w:after="0" w:line="259" w:lineRule="auto"/>
        <w:tabs>
          <w:tab w:leader="none" w:pos="272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cause or seek to persuade any prospective customer, client, account or other Business Associate of the Company (which at or about the Cessation Date was then actively being solicited by the Company) to determine not to enter into a business relationship with the Company or to materially modify its contemplated business relationship; or</w:t>
      </w:r>
    </w:p>
    <w:p>
      <w:pPr>
        <w:spacing w:after="0" w:line="126" w:lineRule="exact"/>
        <w:rPr>
          <w:rFonts w:ascii="Arial" w:cs="Arial" w:eastAsia="Arial" w:hAnsi="Arial"/>
          <w:sz w:val="18"/>
          <w:szCs w:val="18"/>
          <w:color w:val="auto"/>
        </w:rPr>
      </w:pPr>
    </w:p>
    <w:p>
      <w:pPr>
        <w:ind w:left="2764" w:hanging="819"/>
        <w:spacing w:after="0"/>
        <w:tabs>
          <w:tab w:leader="none" w:pos="276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hire, retain or associate in a business relationship with, directly or indirectly, any director, officer or employee of</w:t>
      </w:r>
    </w:p>
    <w:p>
      <w:pPr>
        <w:spacing w:after="0" w:line="38"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15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foregoing restrictions set forth in this Section 7.1(a) shall apply likewise during the Term.</w:t>
      </w:r>
    </w:p>
    <w:p>
      <w:pPr>
        <w:spacing w:after="0" w:line="158" w:lineRule="exact"/>
        <w:rPr>
          <w:sz w:val="20"/>
          <w:szCs w:val="20"/>
          <w:color w:val="auto"/>
        </w:rPr>
      </w:pPr>
    </w:p>
    <w:p>
      <w:pPr>
        <w:jc w:val="both"/>
        <w:ind w:left="4" w:firstLine="1293"/>
        <w:spacing w:after="0" w:line="256" w:lineRule="auto"/>
        <w:tabs>
          <w:tab w:leader="none" w:pos="206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purposes hereof, the term “Restrictive Covenant Period” shall mean the eighteen (18) month period commencing with the Cessation Date; provided, however, that, except with respect to clause (iii) of paragraph (a) hereof, in the event that the Employee’s employment is terminated by the Company without Cause or by the Employee for Good Reason, the term “Restrictive Covenant Period” shall mean the period commencing with the Cessation Date and ending on the Expiration Date.</w:t>
      </w:r>
    </w:p>
    <w:p>
      <w:pPr>
        <w:spacing w:after="0" w:line="292"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652" w:right="239" w:bottom="1440" w:gutter="0" w:footer="0" w:header="0"/>
        </w:sectPr>
      </w:pPr>
    </w:p>
    <w:bookmarkStart w:id="149" w:name="page150"/>
    <w:bookmarkEnd w:id="149"/>
    <w:p>
      <w:pPr>
        <w:jc w:val="both"/>
        <w:ind w:firstLine="648"/>
        <w:spacing w:after="0" w:line="286" w:lineRule="auto"/>
        <w:rPr>
          <w:sz w:val="20"/>
          <w:szCs w:val="20"/>
          <w:color w:val="auto"/>
        </w:rPr>
      </w:pPr>
      <w:r>
        <w:rPr>
          <w:rFonts w:ascii="Arial" w:cs="Arial" w:eastAsia="Arial" w:hAnsi="Arial"/>
          <w:sz w:val="16"/>
          <w:szCs w:val="16"/>
          <w:color w:val="auto"/>
        </w:rPr>
        <w:t>7.2. The Employee agrees to timely disclose to the Board and the CEO all material ideas, processes, methods, devices, business concepts, inventions, improvements, discoveries, know-how and other creative achievements, whether or not the same or any part thereof is capable of being patented, trademarked, copyrighted, or otherwise protected, which the Employee, while employed by the Company, conceives, makes, develops, acquires or reduces to practice, whether acting alone or with others and whether during or after usual working hours, and which are related to the Company’s business or interests, or are used or usable by the Company, or arise out of or in connection with the duties performed by the Employee (hereinafter referred to collectively as “Discoveries”). The Employee hereby transfers and assigns to the Company all right, title and interest in and to such Discoveries, including any and all domestic and foreign copyrights and patent and trademark rights therein and any renewals thereof. On request of the Company, the Employee will, without any additional compensation, from time to time during, and after the expiration or termination of, the Term, execute such further instruments (including, without limitation, applications for copyrights, patents, trademarks and assignments thereof) and do all such other acts and things as may be deemed necessary or desirable by the Company to protect and/or enforce its right in respect of such Discoveries. All expenses of filing or prosecuting any patent, trademark or copyright application shall be borne by the Company, but the Employee shall cooperate, at the Company’s expense, in filing and/or prosecuting any such application.</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7.3. (a) The Employee represents that he has been informed that it is the policy of the Company to maintain as confidential all confidential and/or proprietary information relating to the Company, including, without limitation, any and all knowledge or information with respect to confidential methods, processes, plans, materials, customer, producer and reinsurer lists or data, or with respect to any other confidential or secret aspect of the Company’s activities, and further acknowledges that such confidential information is of great value to the Company. The Employee recognizes that, by reason of his employment with the Company, he has acquired and will acquire confidential information as aforesaid. The Employee confirms that it is reasonably necessary to protect the Company’s goodwill, and, accordingly, hereby agrees that he will not, directly or indirectly (except where authorized by the Board), at any time during the Term or thereafter divulge to any Person, or use, or cause or authorize any Person to use, any such confidential information.</w:t>
      </w:r>
    </w:p>
    <w:p>
      <w:pPr>
        <w:spacing w:after="0" w:line="132" w:lineRule="exact"/>
        <w:rPr>
          <w:sz w:val="20"/>
          <w:szCs w:val="20"/>
          <w:color w:val="auto"/>
        </w:rPr>
      </w:pPr>
    </w:p>
    <w:p>
      <w:pPr>
        <w:jc w:val="both"/>
        <w:ind w:firstLine="1293"/>
        <w:spacing w:after="0" w:line="259" w:lineRule="auto"/>
        <w:tabs>
          <w:tab w:leader="none" w:pos="224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Employee agrees that he will not, at any time, remove from the Company’s premises any drawings, notebooks, software, data or other confidential information relating to the business and procedures heretofore or hereafter acquired, developed and/or used by the Company, except where necessary in the fulfillment of his duties hereunder.</w:t>
      </w:r>
    </w:p>
    <w:p>
      <w:pPr>
        <w:spacing w:after="0" w:line="126" w:lineRule="exact"/>
        <w:rPr>
          <w:rFonts w:ascii="Arial" w:cs="Arial" w:eastAsia="Arial" w:hAnsi="Arial"/>
          <w:sz w:val="18"/>
          <w:szCs w:val="18"/>
          <w:color w:val="auto"/>
        </w:rPr>
      </w:pPr>
    </w:p>
    <w:p>
      <w:pPr>
        <w:jc w:val="both"/>
        <w:ind w:firstLine="1293"/>
        <w:spacing w:after="0" w:line="256" w:lineRule="auto"/>
        <w:tabs>
          <w:tab w:leader="none" w:pos="20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Employee agrees that, upon the expiration or termination of this Agreement or the termination of his employment with the Company for any reason whatsoever, he shall promptly deliver to the Company any and all drawings, notebooks, software, data and other documents and material, including all copies thereof, in his possession or under his control relating to any confidential information or discoveries, or which is otherwise the property of the Company.</w:t>
      </w:r>
    </w:p>
    <w:p>
      <w:pPr>
        <w:spacing w:after="0" w:line="129" w:lineRule="exact"/>
        <w:rPr>
          <w:rFonts w:ascii="Arial" w:cs="Arial" w:eastAsia="Arial" w:hAnsi="Arial"/>
          <w:sz w:val="18"/>
          <w:szCs w:val="18"/>
          <w:color w:val="auto"/>
        </w:rPr>
      </w:pPr>
    </w:p>
    <w:p>
      <w:pPr>
        <w:jc w:val="both"/>
        <w:ind w:firstLine="1293"/>
        <w:spacing w:after="0" w:line="255" w:lineRule="auto"/>
        <w:tabs>
          <w:tab w:leader="none" w:pos="2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purposes hereof, the term “confidential information” shall mean all information given to the Employee, directly or indirectly, by the Company and all other information relating to the Company otherwise acquired by the Employee during the course of his employment with the Company (whether on or prior to the Effective Date or hereafter), other than information which (i) was in the public domain at the time furnished to, or acquired by, the Employee, or (ii) thereafter enters the public domain other than through disclosure, directly or indirectly, by the Employee or others in violation of an agreement of confidentiality or nondisclosure.</w:t>
      </w:r>
    </w:p>
    <w:p>
      <w:pPr>
        <w:spacing w:after="0" w:line="1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7.4. For purposes of this Article 7, the term “Company” shall mean and include the Company and any and all subsidiaries and affiliated entities of the Company in existence from time to time.</w:t>
      </w:r>
    </w:p>
    <w:p>
      <w:pPr>
        <w:spacing w:after="0" w:line="11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7.5. In connection with his agreement to the restrictions set forth in this Article 7, the Employee acknowledges the benefits accorded to him pursuant to the provisions of this Agreement, including, without limitation, the agreement on the part of the Company to employ the Employee during the Term (subject to the terms and conditions hereof). The Employee also acknowledges and agrees that the covenants set forth in this Article 7 are reasonable and necessary in order to protect and maintain the proprietary and other legitimate business interests of the Company and that the enforcement thereof would not prevent the Employee from earning a livelihood.</w:t>
      </w:r>
    </w:p>
    <w:p>
      <w:pPr>
        <w:spacing w:after="0" w:line="1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7.6. Notwithstanding any other provision of this Article 7 to the contrary, the Executive may disclose confidential or proprietary information of the Company and its subsidiaries as follows: (a) disclosures to directors, officers, key employees, independent accountants and counsel of the Company and its subsidiaries as may be necessary or appropriate in the performance of the Executive’s duties hereunder, (b) disclosures that do not have a material adverse effect on the business or operations of the Company and its subsidiaries taken as a whole, (c) disclosures that the Executive is required to make by law or by any court, arbitrator or administrative or legislative body (including any committee thereof) with apparent jurisdiction to order the Executive to disclose or make accessible any information, (d) disclosures with respect to any other litigation, arbitration or mediation involving this Agreement, and (e) disclosures of any such confidential or proprietary information that is, at the time of such disclosure, generally known to and available for use by the public and not by the Executive’s wrongful act or omission.</w:t>
      </w:r>
    </w:p>
    <w:p>
      <w:pPr>
        <w:spacing w:after="0" w:line="1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7.7. If Executive believes that he may be required to disclose any such confidential or proprietary information pursuant to applicable law, court order or subpoena, he shall immediately notify the Company in writing by overnight delivery, directed to the CEO, of any such perceived requirement so that the Company may seek an appropriate protective order or other appropriate remedy or waive compliance with this confidentiality requirement. Executive shall also reasonably cooperate with the Company to obtain such a protective order or other remedy.</w:t>
      </w:r>
    </w:p>
    <w:p>
      <w:pPr>
        <w:spacing w:after="0" w:line="9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7.8. Notwithstanding any other provision of this Article 7 to the contrary, the Executive upon leaving the employ of the Company shall be entitled to retain (i) papers and other materials of a personal nature, including but not limited to, photographs, correspondence, personal diaries, personal contact lists, calendars and personal files, except to the extent business-related information is set forth therein, (ii) information showing his compensation or relating to his reimbursement of expenses, (iii) information that he reasonably believes may be needed for tax purposes, and (iv) copies of plans, programs and agreements relating to his employment, or termination thereof, with the Company.</w:t>
      </w:r>
    </w:p>
    <w:p>
      <w:pPr>
        <w:spacing w:after="0" w:line="1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7.9. This Agreement does not prohibit Executive from making any disclosure required by law, communicating with, making a report to, or otherwise participating in any investigation or proceeding that may be conducted by the Company’s designated legal, compliance or human resources personnel, the Securities and Exchange Commission (“SEC”) and/or its Office of the Whistleblower, the Equal Employment Opportunity Commission (“EEOC”), the Occupational Safety and Health Administration (“OSHA”), the National Labor Relations Board (“NLRB”), or other federal, state or local government agencies or entities. Executive is not prohibited from disclosing this Agreement or its contents, or from providing documents or other information, to the SEC and/or the Office of the Whistleblower, EEOC, OSHA, NLRB or any other such federal, state or local governmental entity. Executive does not need to provide notice to or obtain the prior authorization of Company’s CEO or General Counsel to make any such report or disclosure and Executive is not required to notify the Company that Executive has made such reports or disclosures.</w:t>
      </w:r>
    </w:p>
    <w:p>
      <w:pPr>
        <w:spacing w:after="0" w:line="26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09" w:right="239" w:bottom="0" w:gutter="0" w:footer="0" w:header="0"/>
        </w:sectPr>
      </w:pPr>
    </w:p>
    <w:bookmarkStart w:id="150" w:name="page151"/>
    <w:bookmarkEnd w:id="150"/>
    <w:p>
      <w:pPr>
        <w:jc w:val="both"/>
        <w:ind w:firstLine="648"/>
        <w:spacing w:after="0" w:line="252"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Notice Under Defend Trade Secrets Act</w:t>
      </w:r>
      <w:r>
        <w:rPr>
          <w:rFonts w:ascii="Arial" w:cs="Arial" w:eastAsia="Arial" w:hAnsi="Arial"/>
          <w:sz w:val="18"/>
          <w:szCs w:val="18"/>
          <w:color w:val="auto"/>
        </w:rPr>
        <w:t>: Notwithstanding the requirements contained in this Agreement, in accordance with the Defend Trade Secrets Act, Executive will not be held criminally or civilly liable under any federal or state trade secret law if Executive discloses a Trade Secret in confidence to federal, state or local government officials, to Executive’s attorney solely for the purpose of reporting or investigating a suspected violation of law, or in a sealed complaint or other document filed in a lawsuit or other proceeding. Further, if Executive files a lawsuit alleging retaliation by the Company for reporting a suspected violation of law, Executive may disclose the Trade Secret to his attorney and use the Trade Secret information in the court proceeding if Executive: (i) files the document containing the Trade Secret in a sealed court document; and (ii) does not disclose the Trade Secret, except pursuant to court order. However, if Executive engages in conduct otherwise prohibited by law, such as, but not limited to, accessing Trade Secrets unlawfully or by unauthorized means, no immunity shall apply and the Company reserves the right to pursue all available remedies.</w:t>
      </w:r>
    </w:p>
    <w:p>
      <w:pPr>
        <w:spacing w:after="0" w:line="13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Notwithstanding anything to the contrary in this Agreement, Executive has the right to:</w:t>
      </w:r>
    </w:p>
    <w:p>
      <w:pPr>
        <w:spacing w:after="0" w:line="158" w:lineRule="exact"/>
        <w:rPr>
          <w:sz w:val="20"/>
          <w:szCs w:val="20"/>
          <w:color w:val="auto"/>
        </w:rPr>
      </w:pPr>
    </w:p>
    <w:p>
      <w:pPr>
        <w:jc w:val="both"/>
        <w:ind w:firstLine="1293"/>
        <w:spacing w:after="0" w:line="256" w:lineRule="auto"/>
        <w:tabs>
          <w:tab w:leader="none" w:pos="19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Report, respond to or cooperate with an investigation into possible violations of state or federal laws or regulations involving a governmental agency or entity including the Congress, the Department of Justice, the SEC and/or its Office of the Whistleblower (www.sec.gov/whistleblower); Office of the Whistleblower Hotline (202) 551-4790, the EEOC, the OSHA, the NLRB, and any other such federal, state or local agency. This includes reporting violations of the federal securities laws or regulations;</w:t>
      </w:r>
    </w:p>
    <w:p>
      <w:pPr>
        <w:spacing w:after="0" w:line="129" w:lineRule="exact"/>
        <w:rPr>
          <w:rFonts w:ascii="Arial" w:cs="Arial" w:eastAsia="Arial" w:hAnsi="Arial"/>
          <w:sz w:val="18"/>
          <w:szCs w:val="18"/>
          <w:color w:val="auto"/>
        </w:rPr>
      </w:pPr>
    </w:p>
    <w:p>
      <w:pPr>
        <w:ind w:left="1980" w:hanging="687"/>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Make disclosures that are protected by federal, state or local whistleblower laws;</w:t>
      </w:r>
    </w:p>
    <w:p>
      <w:pPr>
        <w:spacing w:after="0" w:line="157" w:lineRule="exact"/>
        <w:rPr>
          <w:rFonts w:ascii="Arial" w:cs="Arial" w:eastAsia="Arial" w:hAnsi="Arial"/>
          <w:sz w:val="18"/>
          <w:szCs w:val="18"/>
          <w:color w:val="auto"/>
        </w:rPr>
      </w:pPr>
    </w:p>
    <w:p>
      <w:pPr>
        <w:ind w:right="20" w:firstLine="1293"/>
        <w:spacing w:after="0" w:line="268" w:lineRule="auto"/>
        <w:tabs>
          <w:tab w:leader="none" w:pos="20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Cooperate in an investigation, respond to an inquiry, or provide testimony before the SEC or any other federal, state or local regulatory or law enforcement authority; and</w:t>
      </w:r>
    </w:p>
    <w:p>
      <w:pPr>
        <w:spacing w:after="0" w:line="118" w:lineRule="exact"/>
        <w:rPr>
          <w:rFonts w:ascii="Arial" w:cs="Arial" w:eastAsia="Arial" w:hAnsi="Arial"/>
          <w:sz w:val="18"/>
          <w:szCs w:val="18"/>
          <w:color w:val="auto"/>
        </w:rPr>
      </w:pPr>
    </w:p>
    <w:p>
      <w:pPr>
        <w:ind w:right="20" w:firstLine="1293"/>
        <w:spacing w:after="0" w:line="332" w:lineRule="auto"/>
        <w:tabs>
          <w:tab w:leader="none" w:pos="205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Make reports or disclosures to law enforcement or regulatory authorities without authorization from the Company, without notifying the Company that a report or disclosure will be or was made, and without revealing the substance of the report or disclosure to the Company.</w:t>
      </w:r>
    </w:p>
    <w:p>
      <w:pPr>
        <w:spacing w:after="0" w:line="7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Executive will not be retaliated against for reporting to the Company or to any governmental agency or entity, including the SEC, information that Executive reasonably believes relates to a possible violation of securities laws or for reporting misconduct. Retaliation under such circumstances is prohibited by law.</w:t>
      </w:r>
    </w:p>
    <w:p>
      <w:pPr>
        <w:spacing w:after="0" w:line="12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7.12 This Agreement does not prevent, interfere with or limit Executive’s ability to file a charge or complaint with, report conduct to, provide information to or participate in any investigation or proceeding conducted by the Equal Employment Opportunity Commission, the National Labor Relations Board, the Occupational Safety and Health Administrative, the Securities and Exchange Commission or any other federal, state or local government agency or commission. Executive agrees that, if such a charge or complaint is made, or investigation or proceeding is initiated against the Company, Executive will not accept, be entitled to, receive, or recover any monetary damages or any other form of relief or remedy to the fullest extent permitted by law EXCEPT THAT THIS AGREEMENT DOES NOT WAIVE OR LIMIT EXECUTIVE’S RIGHT TO RECEIVE A MONETARY AWARD FOR INFORMATION PROVIDED TO THE SEC AS AN SEC WHISTLEBLOWER OR TO RECEIVE A MONETARY AWARD FROM ANY OTHER FEDERAL OR STATE AGENCY PURSUANT TO A SIMILAR WHISTLEBLOWER PROGRAM.</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6542371.7</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09" w:right="239" w:bottom="1440" w:gutter="0" w:footer="0" w:header="0"/>
        </w:sectPr>
      </w:pPr>
    </w:p>
    <w:bookmarkStart w:id="151" w:name="page152"/>
    <w:bookmarkEnd w:id="151"/>
    <w:p>
      <w:pPr>
        <w:ind w:left="664" w:hanging="664"/>
        <w:spacing w:after="0"/>
        <w:tabs>
          <w:tab w:leader="none" w:pos="66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VACATIONS; LEAVE</w:t>
      </w:r>
    </w:p>
    <w:p>
      <w:pPr>
        <w:spacing w:after="0" w:line="164" w:lineRule="exact"/>
        <w:rPr>
          <w:sz w:val="20"/>
          <w:szCs w:val="20"/>
          <w:color w:val="auto"/>
        </w:rPr>
      </w:pPr>
    </w:p>
    <w:p>
      <w:pPr>
        <w:jc w:val="both"/>
        <w:ind w:left="4" w:firstLine="648"/>
        <w:spacing w:after="0" w:line="298" w:lineRule="auto"/>
        <w:rPr>
          <w:sz w:val="20"/>
          <w:szCs w:val="20"/>
          <w:color w:val="auto"/>
        </w:rPr>
      </w:pPr>
      <w:r>
        <w:rPr>
          <w:rFonts w:ascii="Arial" w:cs="Arial" w:eastAsia="Arial" w:hAnsi="Arial"/>
          <w:sz w:val="16"/>
          <w:szCs w:val="16"/>
          <w:color w:val="auto"/>
        </w:rPr>
        <w:t>8.1. The Employee shall be entitled to an aggregate of five (5) weeks vacation time during the Term, the time and duration thereof to be determined by mutual agreement between the Employee and the CEO. Any vacation time not used by the end of the Term shall be forfeited without compensation. In addition, the Employee shall not be entitled to carry over or use any vacation time that is unused as of the end of the Term. Further, the Employee shall be entitled to the number of sick, personal, family and other days off during the Term as set forth in KICO’s employee handbook.</w:t>
      </w:r>
    </w:p>
    <w:p>
      <w:pPr>
        <w:spacing w:after="0" w:line="93" w:lineRule="exact"/>
        <w:rPr>
          <w:sz w:val="20"/>
          <w:szCs w:val="20"/>
          <w:color w:val="auto"/>
        </w:rPr>
      </w:pPr>
    </w:p>
    <w:p>
      <w:pPr>
        <w:ind w:left="664" w:hanging="664"/>
        <w:spacing w:after="0"/>
        <w:tabs>
          <w:tab w:leader="none" w:pos="66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 IN EMPLOYEE BENEFIT PLANS; RESTRICTED STOCK GRANT</w:t>
      </w:r>
    </w:p>
    <w:p>
      <w:pPr>
        <w:spacing w:after="0" w:line="164"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9.1. The Employee shall be accorded the right to participate in and receive benefits under and in accordance with the provisions of any pension, profit sharing, insurance, medical and dental insurance or reimbursement (with family coverage) or other plan or program of the Company or KICO, either in existence as of the Effective Date or thereafter adopted for the benefit generally of its executive employees. Additionally, in the event of termination of the Employee's employment by the Company without Cause, or by the Employee for Good Reason, the Company or KICO shall continue to provide to the Employee health, dental, and vision insurance coverage at no cost to the Employee (with family coverage) until the Expiration Date or such time as the Employee becomes eligible for similar coverage, whichever is sooner.</w:t>
      </w:r>
    </w:p>
    <w:p>
      <w:pPr>
        <w:spacing w:after="0" w:line="107"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9.2. In the event the Company elects to discontinue any term life insurance policy purchased by it during the Term with respect to the Employee, prior to any such discontinuance and/or in the event the Employee’s employment with the Company ceases for any reason, the Employee shall be offered the opportunity to have such policy transferred to him without cost, it being understood that the Employee shall be responsible for the payment of any and all premiums thereafter due.</w:t>
      </w:r>
    </w:p>
    <w:p>
      <w:pPr>
        <w:spacing w:after="0" w:line="130"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9.3. Concurrently herewith, pursuant to the Company’s 2014 Equity Participation Plan and a Stock Grant Agreement of even date between the Company and the Employee, the Company is granting to the Employee thirty-five thousand seven hundred fifteen (35,715) shares of restricted common stock of the Company, such shares to vest in three (3) equal annual installments commencing one (1) year from the date of the grant, subject to the provisions of the Stock Grant Agreement.</w:t>
      </w:r>
    </w:p>
    <w:p>
      <w:pPr>
        <w:spacing w:after="0" w:line="124" w:lineRule="exact"/>
        <w:rPr>
          <w:sz w:val="20"/>
          <w:szCs w:val="20"/>
          <w:color w:val="auto"/>
        </w:rPr>
      </w:pPr>
    </w:p>
    <w:p>
      <w:pPr>
        <w:ind w:left="764" w:hanging="764"/>
        <w:spacing w:after="0"/>
        <w:tabs>
          <w:tab w:leader="none" w:pos="76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AS OFFICER AND DIRECTOR</w:t>
      </w:r>
    </w:p>
    <w:p>
      <w:pPr>
        <w:spacing w:after="0" w:line="164"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10.1. During the Term, the Employee shall, if elected or appointed, serve as (a) an officer of the Company and/or any subsidiaries of the Company in existence or hereafter created or acquired and (b) a director of the Company and/or any such subsidiaries of the Company in existence or hereafter created or acquired, in each case without any additional compensation for such services. During the Term the Company shall maintain in effect a directors and officers liability insurance policy of not less than $10 million in coverage limits, and the Company will include the Employee therein as a named insured.</w:t>
      </w:r>
    </w:p>
    <w:p>
      <w:pPr>
        <w:spacing w:after="0" w:line="123" w:lineRule="exact"/>
        <w:rPr>
          <w:sz w:val="20"/>
          <w:szCs w:val="20"/>
          <w:color w:val="auto"/>
        </w:rPr>
      </w:pPr>
    </w:p>
    <w:p>
      <w:pPr>
        <w:ind w:left="744" w:hanging="744"/>
        <w:spacing w:after="0"/>
        <w:tabs>
          <w:tab w:leader="none" w:pos="74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EARLIER TERMINATION</w:t>
      </w:r>
    </w:p>
    <w:p>
      <w:pPr>
        <w:spacing w:after="0" w:line="164"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11.1. The Employee’s employment hereunder (a) shall automatically terminate upon his death, (b) may terminate at any time during the Term at the option of the Company upon written notice to the Employee for Cause or without Cause, (c) may terminate at any time during the Term at the option of the Employee upon written notice to the Company for Good Reason or without Good Reason and (d) may terminate at the option of the Company in the event the Employee becomes Disabled, as provided for in Article 6.</w:t>
      </w:r>
    </w:p>
    <w:p>
      <w:pPr>
        <w:spacing w:after="0" w:line="130"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11.2. As used in this Agreement, “Cause” shall mean (a) the Employee’s conviction by a court of competent jurisdiction of the commission of any act in the performance of his duties constituting common law fraud or a felony, (b) the Employee’s commission of any act involving moral turpitude which the Company’s Board of Directors reasonably believes may have a material adverse effect on the Company and its subsidiaries taken as a whole (“Material Adverse Effect”), (c) any misrepresentation by the Employee (including, without limitation, a breach of any representation set forth in Section 13.1 hereof) which the Company’s Board of Directors reasonably believes may have a Material Adverse Effect, (d) any breach of any material covenant on the Employee’s part herein set forth (which breach, if curable, is not cured by the Employee within thirty (30) days of the Employee’s receipt of written notice thereof from the Company), or (e) the Employee’s engagement in gross negligence or willful misconduct which the Company’s Board of Directors reasonably believes may have a Material Adverse Effect. The parties agree that the term “Material Adverse Effect” includes the loss or suspension of any license for the Company or KICO to operate or any disqualification or suspension for the Employee to serve as an officer or director thereof under applicable law. No act or failure to act by the Executive shall be considered “Cause” if the Executive’s act or failure to act was based on authority or express direction given by the CEO or the advice of counsel for the Company.</w:t>
      </w:r>
    </w:p>
    <w:p>
      <w:pPr>
        <w:spacing w:after="0" w:line="114"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11.3. As used in this Agreement, “Good Reason” shall mean (a) any breach of any material obligation on the Company’s part (which breach, if curable, is not cured by the Company within thirty (30) days of the Company’s receipt of written notice thereof from the Employee),</w:t>
      </w:r>
    </w:p>
    <w:p>
      <w:pPr>
        <w:jc w:val="both"/>
        <w:ind w:left="4" w:hanging="4"/>
        <w:spacing w:after="0" w:line="302" w:lineRule="auto"/>
        <w:tabs>
          <w:tab w:leader="none" w:pos="2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material diminution in the Employee’s duties and responsibilities (other than following an event constituting Cause) in his capacity as Chief Operating Officer of the Company, (c) a change in the Employee's current reporting structure (other than following an event constituting Cause), or (d) a decrease in the compensation payable to the Employee from the compensation payable pursuant to this Agreement.</w:t>
      </w:r>
    </w:p>
    <w:p>
      <w:pPr>
        <w:spacing w:after="0" w:line="25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52" w:name="page153"/>
    <w:bookmarkEnd w:id="152"/>
    <w:p>
      <w:pPr>
        <w:jc w:val="both"/>
        <w:ind w:firstLine="648"/>
        <w:spacing w:after="0" w:line="291" w:lineRule="auto"/>
        <w:rPr>
          <w:sz w:val="20"/>
          <w:szCs w:val="20"/>
          <w:color w:val="auto"/>
        </w:rPr>
      </w:pPr>
      <w:r>
        <w:rPr>
          <w:rFonts w:ascii="Arial" w:cs="Arial" w:eastAsia="Arial" w:hAnsi="Arial"/>
          <w:sz w:val="16"/>
          <w:szCs w:val="16"/>
          <w:color w:val="auto"/>
        </w:rPr>
        <w:t>11.4. In the event of the termination of the Employee’s employment by the Company for Cause or by the Employee without Good Reason, the Company shall have no further obligations to the Employee, and the Employee shall be entitled to no further compensation from the Company, except for any pro-rata amounts due to the Employee at such date of termination, as provided for in Section 4.2 hereof. In the event of the termination of the Employee’s employment by the Company for Cause or by the Employee without Good Reason, the amount to be paid to the Employee pursuant to this Section 11.4 shall constitute the sole and exclusive remedy of the Employee, and the Employee shall not be entitled to any other or further compensation, rights or benefits hereunder or otherwise.</w:t>
      </w:r>
    </w:p>
    <w:p>
      <w:pPr>
        <w:spacing w:after="0" w:line="1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11.5. In the event of the termination of the Employee’s employment by the Company without Cause or by the Employee for Good Reason, as liquidated damages, the Employee shall be entitled to receive the compensation to which he would have been entitled until the expiration of the Term pursuant to Section 4.2. The compensation payable pursuant to this Section 11.5 shall be payable to the Employee in accordance with the Company’s standard payroll practices as if his employment had continued. The amount to be paid to the Employee pursuant to this Section 11.5 shall constitute the sole and exclusive remedy of the Employee, and the Employee shall not be entitled to any other or further compensation, rights or benefits hereunder or otherwise other than as provided in the concurrently executed Stock Grant Agreement.</w:t>
      </w:r>
    </w:p>
    <w:p>
      <w:pPr>
        <w:spacing w:after="0" w:line="1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11.6. In order to protect the Employee against the possible consequences and uncertainties of a Change of Control of the Company and thereby induce the Employee to remain in the employ of the Company, the Company agrees that:</w:t>
      </w:r>
    </w:p>
    <w:p>
      <w:pPr>
        <w:spacing w:after="0" w:line="118" w:lineRule="exact"/>
        <w:rPr>
          <w:sz w:val="20"/>
          <w:szCs w:val="20"/>
          <w:color w:val="auto"/>
        </w:rPr>
      </w:pPr>
    </w:p>
    <w:p>
      <w:pPr>
        <w:jc w:val="both"/>
        <w:ind w:firstLine="1293"/>
        <w:spacing w:after="0" w:line="289" w:lineRule="auto"/>
        <w:tabs>
          <w:tab w:leader="none" w:pos="215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during the Term, the Employee’s employment is terminated within eighteen (18) months subsequent to a Change of Control by the Company other than for Cause or by the Employee for Good Reason, the Company shall pay to the Employee an amount in cash equal to one and one-half (1.5) times the Base Salary (as reduced pursuant to Section 4.2) (the “Change of Control Payment”). The Change of Control Payment shall be payable in one lump sum payment within ten (10) days following the date of termination of employment. In addition, in such event, the Company shall continue to pay for the Employee's health insurance premiums, including family coverage, for the remainder of the Term. The Change of Control Payment shall be in lieu of the amount payable to the Employee pursuant to Section 11.5 hereof. The amount to be paid to the Employee pursuant to this Section 11.6 shall constitute the sole and exclusive remedy of the Employee, and the Employee shall not be entitled to any other or further compensation, rights or benefits hereunder or otherwise other than as provided in the concurrently executed Stock Grant Agreement.</w:t>
      </w:r>
    </w:p>
    <w:p>
      <w:pPr>
        <w:spacing w:after="0" w:line="104" w:lineRule="exact"/>
        <w:rPr>
          <w:rFonts w:ascii="Arial" w:cs="Arial" w:eastAsia="Arial" w:hAnsi="Arial"/>
          <w:sz w:val="16"/>
          <w:szCs w:val="16"/>
          <w:color w:val="auto"/>
        </w:rPr>
      </w:pPr>
    </w:p>
    <w:p>
      <w:pPr>
        <w:ind w:left="1980" w:hanging="687"/>
        <w:spacing w:after="0"/>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used in this Section 11.6, a “Change of Control” shall be deemed to have occurred if:</w:t>
      </w:r>
    </w:p>
    <w:p>
      <w:pPr>
        <w:spacing w:after="0" w:line="157" w:lineRule="exact"/>
        <w:rPr>
          <w:rFonts w:ascii="Arial" w:cs="Arial" w:eastAsia="Arial" w:hAnsi="Arial"/>
          <w:sz w:val="18"/>
          <w:szCs w:val="18"/>
          <w:color w:val="auto"/>
        </w:rPr>
      </w:pPr>
    </w:p>
    <w:p>
      <w:pPr>
        <w:jc w:val="both"/>
        <w:ind w:firstLine="1941"/>
        <w:spacing w:after="0" w:line="298" w:lineRule="auto"/>
        <w:tabs>
          <w:tab w:leader="none" w:pos="2634"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“person” or “group of persons” (as such terms are used in Sections 13(d) and 14(d) of the Securities Exchange Act of 1934, as amended (the “1934 Act”) (other than the Employee or any “group of persons” that includes the Employee), becomes the “beneficial owner” (as defined in Rule 13d-3 promulgated under the 1934 Act), directly or indirectly, of securities of the Company representing more than twenty-five percent (25%) of the Company’s then outstanding securities having the right to vote on the election of directors (“Voting Securities”);</w:t>
      </w:r>
    </w:p>
    <w:p>
      <w:pPr>
        <w:spacing w:after="0" w:line="99" w:lineRule="exact"/>
        <w:rPr>
          <w:rFonts w:ascii="Arial" w:cs="Arial" w:eastAsia="Arial" w:hAnsi="Arial"/>
          <w:sz w:val="16"/>
          <w:szCs w:val="16"/>
          <w:color w:val="auto"/>
        </w:rPr>
      </w:pPr>
    </w:p>
    <w:p>
      <w:pPr>
        <w:jc w:val="both"/>
        <w:ind w:firstLine="1941"/>
        <w:spacing w:after="0" w:line="291" w:lineRule="auto"/>
        <w:tabs>
          <w:tab w:leader="none" w:pos="268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when 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06" w:lineRule="exact"/>
        <w:rPr>
          <w:rFonts w:ascii="Arial" w:cs="Arial" w:eastAsia="Arial" w:hAnsi="Arial"/>
          <w:sz w:val="16"/>
          <w:szCs w:val="16"/>
          <w:color w:val="auto"/>
        </w:rPr>
      </w:pPr>
    </w:p>
    <w:p>
      <w:pPr>
        <w:jc w:val="both"/>
        <w:ind w:firstLine="1941"/>
        <w:spacing w:after="0" w:line="254" w:lineRule="auto"/>
        <w:tabs>
          <w:tab w:leader="none" w:pos="274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consummates (A) a reorganization, merger or consolidation of the Company, with respect to which in each case all or substantially all of the Persons who were the beneficial owners of the Voting Securities of the Company immediately prior to such reorganization, merger or consolidation do not, following such reorganization, merger or consolidation, beneficially own, directly and indirectly, more than 50% of the then combined voting power of the then outstanding voting securities entitled to vote generally in the election of directors of the corporation or other Person resulting from such reorganization, merger of consolidation, or (B) the sale or other disposition of all or substantially all of the assets of the Company.</w:t>
      </w:r>
    </w:p>
    <w:p>
      <w:pPr>
        <w:spacing w:after="0" w:line="1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Notwithstanding the foregoing, no transaction or event shall constitute a Change of Control hereunder unless such transaction or event also constitutes a change in ownership or effective control of the Company within the meaning of Treasury Regulation Section 1.409A-3(i)(5)(v) or (vi)(A)(2).</w:t>
      </w:r>
    </w:p>
    <w:p>
      <w:pPr>
        <w:spacing w:after="0" w:line="1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11.7. In the event of the death of the Employee during the Term, as liquidated damages, the Employee’s estate (the “Estate”) shall be entitled to receive the Base Salary to which the Employee is entitled until the date of death of the Employee pursuant to Section 4.2. The amount to be paid to the Estate pursuant to this Section 11.7 shall constitute the sole and exclusive remedy of the Estate and any beneficiaries thereof, and neither the Estate nor any beneficiaries thereof shall be entitled to any other or further compensation, rights or benefits hereunder or otherwise, including pursuant to this Article 11 other than as provided in the concurrently executed Stock Grant Agreement.</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11.8. The termination or expiration of this Agreement shall not affect the continuing operation and effect of Article 7 hereof, which shall continue in full force and effect according to its terms. In addition, the termination or expiration of this Agreement will not result in a termination or waiver of any rights and remedies that the Company may have under this Agreement and applicable law.</w:t>
      </w:r>
    </w:p>
    <w:p>
      <w:pPr>
        <w:spacing w:after="0" w:line="28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09" w:right="239" w:bottom="1440" w:gutter="0" w:footer="0" w:header="0"/>
        </w:sectPr>
      </w:pPr>
    </w:p>
    <w:bookmarkStart w:id="153" w:name="page154"/>
    <w:bookmarkEnd w:id="153"/>
    <w:p>
      <w:pPr>
        <w:ind w:left="764" w:hanging="764"/>
        <w:spacing w:after="0"/>
        <w:tabs>
          <w:tab w:leader="none" w:pos="76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 REMEDIES</w:t>
      </w:r>
    </w:p>
    <w:p>
      <w:pPr>
        <w:spacing w:after="0" w:line="164" w:lineRule="exact"/>
        <w:rPr>
          <w:sz w:val="20"/>
          <w:szCs w:val="20"/>
          <w:color w:val="auto"/>
        </w:rPr>
      </w:pPr>
    </w:p>
    <w:p>
      <w:pPr>
        <w:jc w:val="both"/>
        <w:ind w:left="4" w:firstLine="648"/>
        <w:spacing w:after="0" w:line="306" w:lineRule="auto"/>
        <w:rPr>
          <w:sz w:val="20"/>
          <w:szCs w:val="20"/>
          <w:color w:val="auto"/>
        </w:rPr>
      </w:pPr>
      <w:r>
        <w:rPr>
          <w:rFonts w:ascii="Arial" w:cs="Arial" w:eastAsia="Arial" w:hAnsi="Arial"/>
          <w:sz w:val="16"/>
          <w:szCs w:val="16"/>
          <w:color w:val="auto"/>
        </w:rPr>
        <w:t>12.1. The Employee acknowledges and agrees that, in the event he shall violate or threaten to violate any of the restrictions of Article 3 or 7 hereof, the Company will be without an adequate remedy at law and will therefore be entitled to enforce such restrictions by temporary or permanent injunctive or mandatory relief in any court of competent jurisdiction without the necessity of proving monetary damages.</w:t>
      </w:r>
    </w:p>
    <w:p>
      <w:pPr>
        <w:spacing w:after="0" w:line="93" w:lineRule="exact"/>
        <w:rPr>
          <w:sz w:val="20"/>
          <w:szCs w:val="20"/>
          <w:color w:val="auto"/>
        </w:rPr>
      </w:pPr>
    </w:p>
    <w:p>
      <w:pPr>
        <w:ind w:left="644"/>
        <w:spacing w:after="0"/>
        <w:tabs>
          <w:tab w:leader="none" w:pos="1943"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The Employee agrees further that the Company shall have the following additional rights and remedies:</w:t>
      </w:r>
    </w:p>
    <w:p>
      <w:pPr>
        <w:spacing w:after="0" w:line="158" w:lineRule="exact"/>
        <w:rPr>
          <w:sz w:val="20"/>
          <w:szCs w:val="20"/>
          <w:color w:val="auto"/>
        </w:rPr>
      </w:pPr>
    </w:p>
    <w:p>
      <w:pPr>
        <w:jc w:val="both"/>
        <w:ind w:left="4" w:firstLine="1941"/>
        <w:spacing w:after="0" w:line="256" w:lineRule="auto"/>
        <w:tabs>
          <w:tab w:leader="none" w:pos="271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 and remedy to require the Employee to account for and pay over to the Company all monies and other consideration derived or received by him as the result of any transactions determined by an arbitrator or a court of competent jurisdiction to be a breach of any of the provisions of Section 7.1, and the Employee hereby agrees to account for and pay over such monies and other consideration to the Company; and</w:t>
      </w:r>
    </w:p>
    <w:p>
      <w:pPr>
        <w:spacing w:after="0" w:line="129" w:lineRule="exact"/>
        <w:rPr>
          <w:rFonts w:ascii="Arial" w:cs="Arial" w:eastAsia="Arial" w:hAnsi="Arial"/>
          <w:sz w:val="18"/>
          <w:szCs w:val="18"/>
          <w:color w:val="auto"/>
        </w:rPr>
      </w:pPr>
    </w:p>
    <w:p>
      <w:pPr>
        <w:jc w:val="both"/>
        <w:ind w:left="4" w:firstLine="1941"/>
        <w:spacing w:after="0" w:line="256" w:lineRule="auto"/>
        <w:tabs>
          <w:tab w:leader="none" w:pos="265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 to recover attorneys’ fees incurred in any action or proceeding in which it seeks to enforce its rights under Article 7 hereof and is successful on any grounds; provided, however, that, in the event the Employee is the prevailing party in any such action or proceeding, the Company will pay to the Employee all reasonable attorneys’ fees and costs incurred by the Employee in defending such action or proceeding.</w:t>
      </w:r>
    </w:p>
    <w:p>
      <w:pPr>
        <w:spacing w:after="0" w:line="130" w:lineRule="exact"/>
        <w:rPr>
          <w:sz w:val="20"/>
          <w:szCs w:val="20"/>
          <w:color w:val="auto"/>
        </w:rPr>
      </w:pPr>
    </w:p>
    <w:p>
      <w:pPr>
        <w:ind w:left="4" w:firstLine="648"/>
        <w:spacing w:after="0" w:line="332" w:lineRule="auto"/>
        <w:rPr>
          <w:sz w:val="20"/>
          <w:szCs w:val="20"/>
          <w:color w:val="auto"/>
        </w:rPr>
      </w:pPr>
      <w:r>
        <w:rPr>
          <w:rFonts w:ascii="Arial" w:cs="Arial" w:eastAsia="Arial" w:hAnsi="Arial"/>
          <w:sz w:val="16"/>
          <w:szCs w:val="16"/>
          <w:color w:val="auto"/>
        </w:rPr>
        <w:t>12.3. Each of the rights and remedies enumerated above shall be independent of the other, and shall be severally enforceable, and all of such rights and remedies shall be in addition to, and not in lieu of, any other rights and remedies available to the Company under law or in equity.</w:t>
      </w:r>
    </w:p>
    <w:p>
      <w:pPr>
        <w:spacing w:after="0" w:line="66" w:lineRule="exact"/>
        <w:rPr>
          <w:sz w:val="20"/>
          <w:szCs w:val="20"/>
          <w:color w:val="auto"/>
        </w:rPr>
      </w:pPr>
    </w:p>
    <w:p>
      <w:pPr>
        <w:ind w:left="764" w:hanging="764"/>
        <w:spacing w:after="0"/>
        <w:tabs>
          <w:tab w:leader="none" w:pos="76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RESTRICTIONS</w:t>
      </w:r>
    </w:p>
    <w:p>
      <w:pPr>
        <w:spacing w:after="0" w:line="164"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13.1. The Employee hereby represents that neither the execution of this Agreement nor his performance hereunder will (a) violate, conflict with or result in a breach of any provision of, or constitute a default (or an event which, with notice or lapse of time or both, would constitute a default) under the terms, conditions or provisions of any contract, agreement or other instrument or obligation to which the Employee is a party, or by which he may be bound, or (b) violate any order, judgment, writ, injunction or decree applicable to the Employee. In the event of a breach hereof, in addition to the Company’s right to terminate this Agreement, the Employee shall indemnify the Company and hold it harmless from and against any and all claims, losses, liabilities, costs and expenses (including reasonable attorneys’ fees) incurred or suffered in connection with or as a result of the Company’s entering into this Agreement or employing the Employee hereunder.</w:t>
      </w:r>
    </w:p>
    <w:p>
      <w:pPr>
        <w:spacing w:after="0" w:line="99" w:lineRule="exact"/>
        <w:rPr>
          <w:sz w:val="20"/>
          <w:szCs w:val="20"/>
          <w:color w:val="auto"/>
        </w:rPr>
      </w:pPr>
    </w:p>
    <w:p>
      <w:pPr>
        <w:ind w:left="1304" w:hanging="1304"/>
        <w:spacing w:after="0"/>
        <w:tabs>
          <w:tab w:leader="none" w:pos="130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164"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14.1. Except with regard to Section 12.1 hereof and any other matters that are not a proper subject of arbitration, all disputes between the parties hereto concerning the performance, breach, construction or interpretation of this Agreement or any portion thereof, or in any manner arising out of this Agreement or the performance thereof, shall be submitted to binding arbitration, in accordance with the rules of the American Arbitration Association. The arbitration proceeding shall take place at a mutually agreeable location in Nassau County, New York or such other location as agreed to by the parties.</w:t>
      </w:r>
    </w:p>
    <w:p>
      <w:pPr>
        <w:spacing w:after="0" w:line="129" w:lineRule="exact"/>
        <w:rPr>
          <w:sz w:val="20"/>
          <w:szCs w:val="20"/>
          <w:color w:val="auto"/>
        </w:rPr>
      </w:pPr>
    </w:p>
    <w:p>
      <w:pPr>
        <w:jc w:val="both"/>
        <w:ind w:left="4" w:right="20" w:firstLine="648"/>
        <w:spacing w:after="0" w:line="332" w:lineRule="auto"/>
        <w:rPr>
          <w:sz w:val="20"/>
          <w:szCs w:val="20"/>
          <w:color w:val="auto"/>
        </w:rPr>
      </w:pPr>
      <w:r>
        <w:rPr>
          <w:rFonts w:ascii="Arial" w:cs="Arial" w:eastAsia="Arial" w:hAnsi="Arial"/>
          <w:sz w:val="16"/>
          <w:szCs w:val="16"/>
          <w:color w:val="auto"/>
        </w:rPr>
        <w:t>14.2. The award rendered by the arbitrator shall be final, binding and conclusive, shall be specifically enforceable, and judgment may be entered upon it in accordance with applicable law in an appropriate court in the State of New York, with no right of appeal therefrom.</w:t>
      </w:r>
    </w:p>
    <w:p>
      <w:pPr>
        <w:spacing w:after="0" w:line="72"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6"/>
          <w:szCs w:val="16"/>
          <w:color w:val="auto"/>
        </w:rPr>
        <w:t>14.3. Each party shall pay its or his own expenses of arbitration, and the expenses of the arbitrator and the arbitration proceeding shall be equally shared; provided, however, that, if, in the opinion of the arbitrator (or a majority of the arbitrators if more than one), any claim or defense was unreasonable, the arbitrator(s) may assess, as part of their award, all or any part of the arbitration expenses of the other party (including reasonable attorneys’ fees) and of the arbitrator(s) and the arbitration proceeding against the party raising such unreasonable claim or defense; provided, further, that, if the arbitration proceeding relates to the issue of Cause for termination of employment, (a) if, in the opinion of the arbitrator (or a majority of the arbitrators if more than one), Cause existed, the arbitrator(s) shall assess, as part of their award, all of the arbitration expenses of the Company (including reasonable attorneys’ fees) and of the arbitrator(s) and the arbitration proceeding against the Employee or (b) if, in the opinion of the arbitrator (or a majority of the arbitrators if more than one), Cause did not exist, the arbitrator(s) shall assess, as part of their award, all of the arbitration expenses of the Employee (including reasonable attorneys’ fees) and of the arbitrator(s) and the arbitration proceeding against the Company.</w:t>
      </w:r>
    </w:p>
    <w:p>
      <w:pPr>
        <w:spacing w:after="0" w:line="100" w:lineRule="exact"/>
        <w:rPr>
          <w:sz w:val="20"/>
          <w:szCs w:val="20"/>
          <w:color w:val="auto"/>
        </w:rPr>
      </w:pPr>
    </w:p>
    <w:p>
      <w:pPr>
        <w:ind w:left="764" w:hanging="764"/>
        <w:spacing w:after="0"/>
        <w:tabs>
          <w:tab w:leader="none" w:pos="76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SECTIONS 409A, 280G AND 4999</w:t>
      </w:r>
      <w:r>
        <w:rPr>
          <w:rFonts w:ascii="Arial" w:cs="Arial" w:eastAsia="Arial" w:hAnsi="Arial"/>
          <w:sz w:val="18"/>
          <w:szCs w:val="18"/>
          <w:color w:val="auto"/>
        </w:rPr>
        <w:t>.</w:t>
      </w:r>
    </w:p>
    <w:p>
      <w:pPr>
        <w:spacing w:after="0" w:line="164"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15.1. The intent of the parties is that payments and benefits under this Agreement comply with Section 409A of the Code (together with the regulations and guidance promulgated thereunder, “Code Section 409A”),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parties hereto of the applicable provision without violating the provisions of Code Section 409A. In no event whatsoever shall the Company be liable for any additional tax, interest or penalty that may be imposed on the Employee by Code Section 409A as a result of the Company’s compliance with the terms of this Agreement.</w:t>
      </w:r>
    </w:p>
    <w:p>
      <w:pPr>
        <w:spacing w:after="0" w:line="296"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04" w:right="239" w:bottom="1440" w:gutter="0" w:footer="0" w:header="0"/>
        </w:sectPr>
      </w:pPr>
    </w:p>
    <w:bookmarkStart w:id="154" w:name="page155"/>
    <w:bookmarkEnd w:id="154"/>
    <w:p>
      <w:pPr>
        <w:jc w:val="both"/>
        <w:ind w:left="4" w:firstLine="648"/>
        <w:spacing w:after="0" w:line="286" w:lineRule="auto"/>
        <w:rPr>
          <w:sz w:val="20"/>
          <w:szCs w:val="20"/>
          <w:color w:val="auto"/>
        </w:rPr>
      </w:pPr>
      <w:r>
        <w:rPr>
          <w:rFonts w:ascii="Arial" w:cs="Arial" w:eastAsia="Arial" w:hAnsi="Arial"/>
          <w:sz w:val="16"/>
          <w:szCs w:val="16"/>
          <w:color w:val="auto"/>
        </w:rPr>
        <w:t>15.2. A termination of employment shall not be deemed to have occurred for purposes of any provision of this Agreement providing for the payment of any amounts or benefits constituting deferred compensation under Code Section 409A upon or following a termination of employment unless such termination of employment is also a “separation from service” within the meaning of Code Section 409A and, for purposes of any such provision of this Agreement, references to a termination of employment or like terms shall mean “separation from service.” If the Employee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be made or provided at the date which is the earlier of (i) the expiration of the six (6) month period measured from the date of such “separation from service” of the Employee, and (ii) the date of the Employee’s death (the “Delay Period”). Upon the expiration of the Delay Period, all payments and benefits delayed pursuant to this Section 15.2 (whether they would have otherwise been payable in a single sum or in installments in the absence of such delay) shall be paid or reimbursed to the Employee in a lump sum, and any remaining payments and benefits due under this Agreement shall be paid or provided in accordance with the normal payment dates specified herein.</w:t>
      </w:r>
    </w:p>
    <w:p>
      <w:pPr>
        <w:spacing w:after="0" w:line="114"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15.3. All expenses or other reimbursements under this Agreement shall be made on or prior to the last day of the taxable year following the taxable year in which such expenses were incurred by the Employee (provided that if any such reimbursements constitute taxable income to the Employee,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29"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15.4. For purposes of Code Section 409A, the Employee’s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sixty (60) days”), the actual date of payment within the specified period shall be within the sole discretion of the Company.</w:t>
      </w:r>
    </w:p>
    <w:p>
      <w:pPr>
        <w:spacing w:after="0" w:line="130" w:lineRule="exact"/>
        <w:rPr>
          <w:sz w:val="20"/>
          <w:szCs w:val="20"/>
          <w:color w:val="auto"/>
        </w:rPr>
      </w:pPr>
    </w:p>
    <w:p>
      <w:pPr>
        <w:ind w:left="644"/>
        <w:spacing w:after="0"/>
        <w:tabs>
          <w:tab w:leader="none" w:pos="2003"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In no event shall any payment under this Agreement that constitutes “deferred compensation” for purposes of Code Section</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8"/>
          <w:szCs w:val="18"/>
          <w:color w:val="auto"/>
        </w:rPr>
        <w:t>409A be offset by any other payment pursuant to this Agreement or otherwise.</w:t>
      </w:r>
    </w:p>
    <w:p>
      <w:pPr>
        <w:spacing w:after="0" w:line="151"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16"/>
          <w:szCs w:val="16"/>
          <w:color w:val="auto"/>
        </w:rPr>
        <w:t>15.6. Notwithstanding any other provisions of this Agreement to the contrary, in the event that any payments or benefits received or to be received by the Employee in connection with the Employee’s employment with the Company (or termination thereof) would subject the Employee to the excise tax imposed under Section 280G or 4999 of the Code (the “Excise Tax”), and, if the net-after tax amount (taking into account all applicable taxes payable by the Employee, including any Excise Tax) that the Employee would receive with respect to such payments or benefits does not exceed the net-after tax amount the Employee would receive if the amount of such payment and benefits were reduced to the maximum amount which could otherwise be payable to the Employee without the imposition of the Excise Tax, then, to the extent necessary to eliminate the imposition of the Excise Tax, (i) such cash payments and benefits shall first be reduced (if necessary, to zero) and (ii) all other non-cash payments and benefits shall next be reduced. The determination of whether any reduction in such payments or benefits to be provided under this Agreement or otherwise is required pursuant to the preceding sentence will be made at the expense of the Company by independent accountants or benefits consultants selected by the Company, and the Employee shall have the right to review such determination.</w:t>
      </w:r>
    </w:p>
    <w:p>
      <w:pPr>
        <w:spacing w:after="0" w:line="103" w:lineRule="exact"/>
        <w:rPr>
          <w:sz w:val="20"/>
          <w:szCs w:val="20"/>
          <w:color w:val="auto"/>
        </w:rPr>
      </w:pPr>
    </w:p>
    <w:p>
      <w:pPr>
        <w:ind w:left="764" w:hanging="764"/>
        <w:spacing w:after="0"/>
        <w:tabs>
          <w:tab w:leader="none" w:pos="76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164" w:lineRule="exact"/>
        <w:rPr>
          <w:sz w:val="20"/>
          <w:szCs w:val="20"/>
          <w:color w:val="auto"/>
        </w:rPr>
      </w:pPr>
    </w:p>
    <w:p>
      <w:pPr>
        <w:ind w:left="4" w:right="20" w:firstLine="648"/>
        <w:spacing w:after="0" w:line="268" w:lineRule="auto"/>
        <w:rPr>
          <w:sz w:val="20"/>
          <w:szCs w:val="20"/>
          <w:color w:val="auto"/>
        </w:rPr>
      </w:pPr>
      <w:r>
        <w:rPr>
          <w:rFonts w:ascii="Arial" w:cs="Arial" w:eastAsia="Arial" w:hAnsi="Arial"/>
          <w:sz w:val="18"/>
          <w:szCs w:val="18"/>
          <w:color w:val="auto"/>
        </w:rPr>
        <w:t>16.1. This Agreement, as it relates to the employment of the Employee, is a personal contract and the rights and interests of the Employee hereunder may not be sold, transferred, assigned, pledged or hypothecated.</w:t>
      </w:r>
    </w:p>
    <w:p>
      <w:pPr>
        <w:spacing w:after="0" w:line="281"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09" w:right="239" w:bottom="1440" w:gutter="0" w:footer="0" w:header="0"/>
        </w:sectPr>
      </w:pPr>
    </w:p>
    <w:bookmarkStart w:id="155" w:name="page156"/>
    <w:bookmarkEnd w:id="155"/>
    <w:p>
      <w:pPr>
        <w:ind w:left="764" w:hanging="764"/>
        <w:spacing w:after="0"/>
        <w:tabs>
          <w:tab w:leader="none" w:pos="76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6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17.1. Any notice required or permitted to be given pursuant to this Agreement shall be deemed to have been duly given when delivered by hand or sent by certified or registered mail, return receipt requested and postage prepaid, overnight mail or courier, e-mail, or fax as follows:</w:t>
      </w:r>
    </w:p>
    <w:p>
      <w:pPr>
        <w:spacing w:after="0" w:line="12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to the Employee:</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212 Third Street</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Milford, PA 18337</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Dale.thatcher@atherstonepartners.com</w:t>
      </w:r>
    </w:p>
    <w:p>
      <w:pPr>
        <w:spacing w:after="0" w:line="21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Sidley Austin LLP</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Eric Hoffman, Esq.</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Eric.hoffman@sidley.com</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Fax Number: (212) 839-5599</w:t>
      </w:r>
    </w:p>
    <w:p>
      <w:pPr>
        <w:spacing w:after="0" w:line="21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c/o William Yankus</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Chairman, Compensation Committee</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10 Pheasant Hill Road</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Farmington, Connecticut 06032</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wyankus@comcast.net</w:t>
      </w:r>
    </w:p>
    <w:p>
      <w:pPr>
        <w:spacing w:after="0" w:line="21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Certilman Balin Adler &amp; Hyman, LLP</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90 Merrick Avenue</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East Meadow, New York 11554</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Fred Skolnik, Esq.</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0000FF"/>
        </w:rPr>
        <w:t>fskolnik@certilmanbalin.com</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Fax Number: (516) 296-7111</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at such other address as any party shall designate by notice to the other party given in accordance with this Section 17.1.</w:t>
      </w:r>
    </w:p>
    <w:p>
      <w:pPr>
        <w:spacing w:after="0" w:line="320"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03" w:right="239" w:bottom="1440" w:gutter="0" w:footer="0" w:header="0"/>
        </w:sectPr>
      </w:pPr>
    </w:p>
    <w:bookmarkStart w:id="156" w:name="page157"/>
    <w:bookmarkEnd w:id="156"/>
    <w:p>
      <w:pPr>
        <w:ind w:left="764" w:hanging="764"/>
        <w:spacing w:after="0"/>
        <w:tabs>
          <w:tab w:leader="none" w:pos="76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64" w:lineRule="exact"/>
        <w:rPr>
          <w:sz w:val="20"/>
          <w:szCs w:val="20"/>
          <w:color w:val="auto"/>
        </w:rPr>
      </w:pPr>
    </w:p>
    <w:p>
      <w:pPr>
        <w:ind w:left="4" w:firstLine="648"/>
        <w:spacing w:after="0" w:line="268" w:lineRule="auto"/>
        <w:rPr>
          <w:sz w:val="20"/>
          <w:szCs w:val="20"/>
          <w:color w:val="auto"/>
        </w:rPr>
      </w:pPr>
      <w:r>
        <w:rPr>
          <w:rFonts w:ascii="Arial" w:cs="Arial" w:eastAsia="Arial" w:hAnsi="Arial"/>
          <w:sz w:val="18"/>
          <w:szCs w:val="18"/>
          <w:color w:val="auto"/>
        </w:rPr>
        <w:t>18.1. This Agreement shall be governed by, and construed and enforced in accordance with, the laws of the State of New York applicable to agreements made and to be performed entirely in New York without regard to conflicts of laws principles.</w:t>
      </w:r>
    </w:p>
    <w:p>
      <w:pPr>
        <w:spacing w:after="0" w:line="112" w:lineRule="exact"/>
        <w:rPr>
          <w:sz w:val="20"/>
          <w:szCs w:val="20"/>
          <w:color w:val="auto"/>
        </w:rPr>
      </w:pPr>
    </w:p>
    <w:p>
      <w:pPr>
        <w:ind w:left="764" w:hanging="764"/>
        <w:spacing w:after="0"/>
        <w:tabs>
          <w:tab w:leader="none" w:pos="76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 PARTIAL INVALIDITY</w:t>
      </w:r>
    </w:p>
    <w:p>
      <w:pPr>
        <w:spacing w:after="0" w:line="164"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19.1. The waiver by either party of a breach of any provision of this Agreement shall not operate or be construed as a waiver of any subsequent breach. If any provision, or part thereof, of this Agreement shall be held to be invalid or unenforceable, such invalidity or unenforceability shall attach only to such provision and not in any way affect or render invalid or unenforceable any other provisions of this Agreement, and this Agreement shall be carried out as if such invalid or unenforceable provision, or part thereof, had been reformed, and any court of competent jurisdiction or arbitrators, as the case may be, are authorized to so reform such invalid or unenforceable provision, or part thereof, so that it would be valid, legal and enforceable to the fullest extent permitted by applicable law.</w:t>
      </w:r>
    </w:p>
    <w:p>
      <w:pPr>
        <w:spacing w:after="0" w:line="101" w:lineRule="exact"/>
        <w:rPr>
          <w:sz w:val="20"/>
          <w:szCs w:val="20"/>
          <w:color w:val="auto"/>
        </w:rPr>
      </w:pPr>
    </w:p>
    <w:p>
      <w:pPr>
        <w:ind w:left="764" w:hanging="764"/>
        <w:spacing w:after="0"/>
        <w:tabs>
          <w:tab w:leader="none" w:pos="76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p>
    <w:p>
      <w:pPr>
        <w:spacing w:after="0" w:line="164"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20.1. This Agreement constitutes the entire agreement between the parties with respect to the subject matter hereof and there are no representations, warranties or commitments except as set forth herein. This Agreement supersedes all prior agreements, understandings, negotiations and discussions, whether written or oral, of the parties hereto relating to the subject matter hereof. This Agreement may be amended, and any provision hereof waived, only by a writing executed by the party sought to be charged. No amendment or waiver on the part of the Company shall be valid unless approved by its Board.</w:t>
      </w:r>
    </w:p>
    <w:p>
      <w:pPr>
        <w:spacing w:after="0" w:line="123" w:lineRule="exact"/>
        <w:rPr>
          <w:sz w:val="20"/>
          <w:szCs w:val="20"/>
          <w:color w:val="auto"/>
        </w:rPr>
      </w:pPr>
    </w:p>
    <w:p>
      <w:pPr>
        <w:ind w:left="764" w:hanging="764"/>
        <w:spacing w:after="0"/>
        <w:tabs>
          <w:tab w:leader="none" w:pos="76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164" w:lineRule="exact"/>
        <w:rPr>
          <w:sz w:val="20"/>
          <w:szCs w:val="20"/>
          <w:color w:val="auto"/>
        </w:rPr>
      </w:pPr>
    </w:p>
    <w:p>
      <w:pPr>
        <w:ind w:left="4" w:firstLine="648"/>
        <w:spacing w:after="0" w:line="268" w:lineRule="auto"/>
        <w:rPr>
          <w:sz w:val="20"/>
          <w:szCs w:val="20"/>
          <w:color w:val="auto"/>
        </w:rPr>
      </w:pPr>
      <w:r>
        <w:rPr>
          <w:rFonts w:ascii="Arial" w:cs="Arial" w:eastAsia="Arial" w:hAnsi="Arial"/>
          <w:sz w:val="18"/>
          <w:szCs w:val="18"/>
          <w:color w:val="auto"/>
        </w:rPr>
        <w:t>21.1. This Agreement may be executed in one or more counterparts, each of which shall be deemed an original, and all of which taken together shall constitute one and the same instrument.</w:t>
      </w:r>
    </w:p>
    <w:p>
      <w:pPr>
        <w:spacing w:after="0" w:line="112" w:lineRule="exact"/>
        <w:rPr>
          <w:sz w:val="20"/>
          <w:szCs w:val="20"/>
          <w:color w:val="auto"/>
        </w:rPr>
      </w:pPr>
    </w:p>
    <w:p>
      <w:pPr>
        <w:ind w:left="764" w:hanging="764"/>
        <w:spacing w:after="0"/>
        <w:tabs>
          <w:tab w:leader="none" w:pos="76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 AND EMAIL SIGNATURES</w:t>
      </w:r>
    </w:p>
    <w:p>
      <w:pPr>
        <w:spacing w:after="0" w:line="164" w:lineRule="exact"/>
        <w:rPr>
          <w:sz w:val="20"/>
          <w:szCs w:val="20"/>
          <w:color w:val="auto"/>
        </w:rPr>
      </w:pPr>
    </w:p>
    <w:p>
      <w:pPr>
        <w:ind w:left="644"/>
        <w:spacing w:after="0"/>
        <w:tabs>
          <w:tab w:leader="none" w:pos="1943"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Signatures hereon which are transmitted via facsimile or email shall be deemed original signatures.</w:t>
      </w:r>
    </w:p>
    <w:p>
      <w:pPr>
        <w:spacing w:after="0" w:line="152" w:lineRule="exact"/>
        <w:rPr>
          <w:sz w:val="20"/>
          <w:szCs w:val="20"/>
          <w:color w:val="auto"/>
        </w:rPr>
      </w:pPr>
    </w:p>
    <w:p>
      <w:pPr>
        <w:ind w:left="764" w:hanging="764"/>
        <w:spacing w:after="0"/>
        <w:tabs>
          <w:tab w:leader="none" w:pos="76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16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23.1. The Company agrees to pay the reasonable fees and expenses of legal counsel and a compensation consultant incurred by the Employee in connection with the drafting and negotiation of this Agreement; provided, however, that the amount payable pursuant to this Section 23.1 shall not exceed $5,000.</w:t>
      </w:r>
    </w:p>
    <w:p>
      <w:pPr>
        <w:spacing w:after="0" w:line="127"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6"/>
          <w:szCs w:val="16"/>
          <w:color w:val="auto"/>
        </w:rPr>
        <w:t>23.2. In addition to the right to indemnification conferred in Article Thirteenth of the Restated Certificate of Incorporation of the Company, as amended (the “Certificate of Incorporation”), and Article VII, Section 7 of the By-Laws of the Company, as amended (the “By-Laws”), the Employee shall have the right to have his expenses (including reasonable attorneys’ fees) incurred in defending any action or proceeding as to which the Employee is entitled to be indemnified in advance of its final disposition advanced and paid promptly as set forth below upon incurring such expenses; provided, however, that an advancement of expenses incurred by the Employee shall be made only upon delivery to the Company of an undertaking by the Employee to repay all amounts so advanced if it shall ultimately be determined by final judicial decision from which there is no further right to appeal that the Employee is not entitled to be indemnified for such expenses under the Certificate of Incorporation or the By-Laws. The Company shall make advance payments of such expenses (including reasonable attorneys' fees) incurred within thirty (30) days of the Employee’s presentation of an invoice for such expenses.</w:t>
      </w:r>
    </w:p>
    <w:p>
      <w:pPr>
        <w:spacing w:after="0" w:line="26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03" w:right="239" w:bottom="1440" w:gutter="0" w:footer="0" w:header="0"/>
        </w:sectPr>
      </w:pPr>
    </w:p>
    <w:bookmarkStart w:id="157" w:name="page158"/>
    <w:bookmarkEnd w:id="157"/>
    <w:p>
      <w:pPr>
        <w:ind w:left="764" w:hanging="764"/>
        <w:spacing w:after="0"/>
        <w:tabs>
          <w:tab w:leader="none" w:pos="76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w:t>
      </w:r>
    </w:p>
    <w:p>
      <w:pPr>
        <w:spacing w:after="0" w:line="164" w:lineRule="exact"/>
        <w:rPr>
          <w:sz w:val="20"/>
          <w:szCs w:val="20"/>
          <w:color w:val="auto"/>
        </w:rPr>
      </w:pPr>
    </w:p>
    <w:p>
      <w:pPr>
        <w:ind w:left="644"/>
        <w:spacing w:after="0"/>
        <w:tabs>
          <w:tab w:leader="none" w:pos="1943"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All references in this Agreement to “includes” and “including” shall be construed to include the words “without limitation.</w:t>
      </w:r>
    </w:p>
    <w:p>
      <w:pPr>
        <w:spacing w:after="0" w:line="152" w:lineRule="exact"/>
        <w:rPr>
          <w:sz w:val="20"/>
          <w:szCs w:val="20"/>
          <w:color w:val="auto"/>
        </w:rPr>
      </w:pPr>
    </w:p>
    <w:p>
      <w:pPr>
        <w:ind w:left="764" w:hanging="764"/>
        <w:spacing w:after="0"/>
        <w:tabs>
          <w:tab w:leader="none" w:pos="76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 BY COUNSEL; INTERPRETATION</w:t>
      </w:r>
    </w:p>
    <w:p>
      <w:pPr>
        <w:spacing w:after="0" w:line="164"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25.1. The Employee acknowledges that he has been represented by counsel in connection with this Agreement. Accordingly, any rule of law or any legal decision that would require the interpretation of any claimed ambiguities in this Agreement against the party that drafted it has no application and is expressly waived by the Employee. The provisions of this Agreement shall be interpreted in a reasonable manner to give effect to the intent of the parties hereto.</w:t>
      </w:r>
    </w:p>
    <w:p>
      <w:pPr>
        <w:spacing w:after="0" w:line="124" w:lineRule="exact"/>
        <w:rPr>
          <w:sz w:val="20"/>
          <w:szCs w:val="20"/>
          <w:color w:val="auto"/>
        </w:rPr>
      </w:pPr>
    </w:p>
    <w:p>
      <w:pPr>
        <w:ind w:left="764" w:hanging="764"/>
        <w:spacing w:after="0"/>
        <w:tabs>
          <w:tab w:leader="none" w:pos="76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p>
    <w:p>
      <w:pPr>
        <w:spacing w:after="0" w:line="164" w:lineRule="exact"/>
        <w:rPr>
          <w:sz w:val="20"/>
          <w:szCs w:val="20"/>
          <w:color w:val="auto"/>
        </w:rPr>
      </w:pPr>
    </w:p>
    <w:p>
      <w:pPr>
        <w:ind w:left="4" w:firstLine="648"/>
        <w:spacing w:after="0" w:line="268" w:lineRule="auto"/>
        <w:rPr>
          <w:sz w:val="20"/>
          <w:szCs w:val="20"/>
          <w:color w:val="auto"/>
        </w:rPr>
      </w:pPr>
      <w:r>
        <w:rPr>
          <w:rFonts w:ascii="Arial" w:cs="Arial" w:eastAsia="Arial" w:hAnsi="Arial"/>
          <w:sz w:val="18"/>
          <w:szCs w:val="18"/>
          <w:color w:val="auto"/>
        </w:rPr>
        <w:t>26.1. The headings and captions under articles and sections of this Agreement are for convenience of reference only and do not in any way modify, interpret or construe the intent of the parties or affect any of the provisions of this Agreement.</w:t>
      </w:r>
    </w:p>
    <w:p>
      <w:pPr>
        <w:spacing w:after="0" w:line="118"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[Remainder of page intentionally left blank. Signature page follows.]</w:t>
      </w:r>
    </w:p>
    <w:p>
      <w:pPr>
        <w:spacing w:after="0" w:line="37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03" w:right="23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color w:val="auto"/>
        </w:rPr>
        <w:t>IN WITNESS WHEREOF, the undersigned have executed this Agreement as of the day and year above written.</w:t>
      </w:r>
    </w:p>
    <w:p>
      <w:pPr>
        <w:sectPr>
          <w:pgSz w:w="11900" w:h="16838" w:orient="portrait"/>
          <w:cols w:equalWidth="0" w:num="1">
            <w:col w:w="9559"/>
          </w:cols>
          <w:pgMar w:left="900" w:top="348" w:right="1440" w:bottom="1440" w:gutter="0" w:footer="0" w:header="0"/>
        </w:sectPr>
      </w:pPr>
    </w:p>
    <w:p>
      <w:pPr>
        <w:spacing w:after="0" w:line="1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KINGSTONE COMPANIES, INC.</w:t>
      </w:r>
    </w:p>
    <w:p>
      <w:pPr>
        <w:spacing w:after="0" w:line="200" w:lineRule="exact"/>
        <w:rPr>
          <w:sz w:val="20"/>
          <w:szCs w:val="20"/>
          <w:color w:val="auto"/>
        </w:rPr>
      </w:pPr>
    </w:p>
    <w:p>
      <w:pPr>
        <w:spacing w:after="0" w:line="26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Barry B. Goldstein</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Dale A. Thatcher</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348" w:right="1440" w:bottom="1440" w:gutter="0" w:footer="0" w:header="0"/>
          <w:type w:val="continuous"/>
        </w:sectPr>
      </w:pPr>
    </w:p>
    <w:bookmarkStart w:id="159" w:name="page160"/>
    <w:bookmarkEnd w:id="159"/>
    <w:p>
      <w:pPr>
        <w:ind w:left="10420"/>
        <w:spacing w:after="0"/>
        <w:rPr>
          <w:sz w:val="20"/>
          <w:szCs w:val="20"/>
          <w:color w:val="auto"/>
        </w:rPr>
      </w:pPr>
      <w:r>
        <w:rPr>
          <w:rFonts w:ascii="Arial" w:cs="Arial" w:eastAsia="Arial" w:hAnsi="Arial"/>
          <w:sz w:val="16"/>
          <w:szCs w:val="16"/>
          <w:b w:val="1"/>
          <w:bCs w:val="1"/>
          <w:color w:val="auto"/>
        </w:rPr>
        <w:t>Exhibit 10(k)</w:t>
      </w:r>
    </w:p>
    <w:p>
      <w:pPr>
        <w:spacing w:after="0" w:line="18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STOCK GRANT AGREEMENT </w:t>
      </w:r>
      <w:r>
        <w:rPr>
          <w:rFonts w:ascii="Arial" w:cs="Arial" w:eastAsia="Arial" w:hAnsi="Arial"/>
          <w:sz w:val="18"/>
          <w:szCs w:val="18"/>
          <w:color w:val="auto"/>
        </w:rPr>
        <w:t>made as of the 14</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2018 between</w:t>
      </w:r>
      <w:r>
        <w:rPr>
          <w:rFonts w:ascii="Arial" w:cs="Arial" w:eastAsia="Arial" w:hAnsi="Arial"/>
          <w:sz w:val="18"/>
          <w:szCs w:val="18"/>
          <w:b w:val="1"/>
          <w:bCs w:val="1"/>
          <w:color w:val="auto"/>
        </w:rPr>
        <w:t xml:space="preserve"> KINGSTONE COMPANIES,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and </w:t>
      </w:r>
      <w:r>
        <w:rPr>
          <w:rFonts w:ascii="Arial" w:cs="Arial" w:eastAsia="Arial" w:hAnsi="Arial"/>
          <w:sz w:val="18"/>
          <w:szCs w:val="18"/>
          <w:b w:val="1"/>
          <w:bCs w:val="1"/>
          <w:color w:val="auto"/>
        </w:rPr>
        <w:t>DALE A. THATCHER</w:t>
      </w:r>
      <w:r>
        <w:rPr>
          <w:rFonts w:ascii="Arial" w:cs="Arial" w:eastAsia="Arial" w:hAnsi="Arial"/>
          <w:sz w:val="18"/>
          <w:szCs w:val="18"/>
          <w:color w:val="auto"/>
        </w:rPr>
        <w:t xml:space="preserve"> (the “Grantee”).</w:t>
      </w:r>
    </w:p>
    <w:p>
      <w:pPr>
        <w:spacing w:after="0" w:line="1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herewith, the Grantee is being appointed Chief Operating Officer of the Company and President of its subsidiary, Kingstone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Company (“KICO”);</w:t>
      </w:r>
    </w:p>
    <w:p>
      <w:pPr>
        <w:spacing w:after="0" w:line="1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herewith, the Company and the Grantee are entering into an Employment Agreement of even date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0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Compensation Committee of the Board of Directors of the Company has approved the grant to the Grantee of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(“Common Stock”) pursuant to the Company’s 2014 Equity Participation Plan (the “Plan”).</w:t>
      </w:r>
    </w:p>
    <w:p>
      <w:pPr>
        <w:spacing w:after="0" w:line="1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Company hereby grants to the Grantee an award of shares of Common Stock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terms and conditions:</w:t>
      </w:r>
    </w:p>
    <w:p>
      <w:pPr>
        <w:spacing w:after="0" w:line="133" w:lineRule="exact"/>
        <w:rPr>
          <w:sz w:val="20"/>
          <w:szCs w:val="20"/>
          <w:color w:val="auto"/>
        </w:rPr>
      </w:pPr>
    </w:p>
    <w:p>
      <w:pPr>
        <w:ind w:left="1000" w:hanging="344"/>
        <w:spacing w:after="0"/>
        <w:tabs>
          <w:tab w:leader="none" w:pos="100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All terms used, but not otherwise defined, herein shall have the meanings ascribed to them in the Plan or the Employment</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Agreement.</w:t>
      </w:r>
    </w:p>
    <w:p>
      <w:pPr>
        <w:spacing w:after="0" w:line="172" w:lineRule="exact"/>
        <w:rPr>
          <w:rFonts w:ascii="Arial" w:cs="Arial" w:eastAsia="Arial" w:hAnsi="Arial"/>
          <w:sz w:val="16"/>
          <w:szCs w:val="16"/>
          <w:b w:val="1"/>
          <w:bCs w:val="1"/>
          <w:color w:val="auto"/>
        </w:rPr>
      </w:pPr>
    </w:p>
    <w:p>
      <w:pPr>
        <w:jc w:val="both"/>
        <w:ind w:firstLine="656"/>
        <w:spacing w:after="0" w:line="310" w:lineRule="auto"/>
        <w:tabs>
          <w:tab w:leader="none" w:pos="996"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Subject to the terms and conditions of the Plan and the provisions hereof, the Company hereby agrees to grant to the Grantee,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16 of the Plan, an award of thirty-five thousand seven hundred fifteen (35,715) shares of Common Stock (the “Shares”), such Shares being issuable on the Vesting Dates (as hereinafter defined) set forth in, and subject to the provisions of, Section 3 hereof.</w:t>
      </w:r>
    </w:p>
    <w:p>
      <w:pPr>
        <w:spacing w:after="0" w:line="110" w:lineRule="exact"/>
        <w:rPr>
          <w:rFonts w:ascii="Arial" w:cs="Arial" w:eastAsia="Arial" w:hAnsi="Arial"/>
          <w:sz w:val="16"/>
          <w:szCs w:val="16"/>
          <w:b w:val="1"/>
          <w:bCs w:val="1"/>
          <w:color w:val="auto"/>
        </w:rPr>
      </w:pPr>
    </w:p>
    <w:p>
      <w:pPr>
        <w:ind w:right="620" w:firstLine="656"/>
        <w:spacing w:after="0" w:line="275" w:lineRule="auto"/>
        <w:tabs>
          <w:tab w:leader="none" w:pos="996"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SHARES</w:t>
      </w:r>
      <w:r>
        <w:rPr>
          <w:rFonts w:ascii="Arial" w:cs="Arial" w:eastAsia="Arial" w:hAnsi="Arial"/>
          <w:sz w:val="18"/>
          <w:szCs w:val="18"/>
          <w:color w:val="auto"/>
        </w:rPr>
        <w:t>. (a) The Shares shall vest on the Vesting Dates set forth below, provided that the Grantee continues to serve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and KICO as of the applicable Vesting Date (subject to paragraph (c) hereof):</w:t>
      </w:r>
    </w:p>
    <w:p>
      <w:pPr>
        <w:spacing w:after="0" w:line="112" w:lineRule="exact"/>
        <w:rPr>
          <w:rFonts w:ascii="Arial" w:cs="Arial" w:eastAsia="Arial" w:hAnsi="Arial"/>
          <w:sz w:val="18"/>
          <w:szCs w:val="18"/>
          <w:color w:val="auto"/>
        </w:rPr>
      </w:pPr>
    </w:p>
    <w:p>
      <w:pPr>
        <w:ind w:left="2600" w:hanging="647"/>
        <w:spacing w:after="0" w:line="268" w:lineRule="auto"/>
        <w:tabs>
          <w:tab w:leader="none" w:pos="26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eleven thousand nine hundred five (11,905) of the Shares on the first anniversary of the date hereof (the “First Vesting Date”);</w:t>
      </w:r>
    </w:p>
    <w:p>
      <w:pPr>
        <w:spacing w:after="0" w:line="185" w:lineRule="exact"/>
        <w:rPr>
          <w:rFonts w:ascii="Arial" w:cs="Arial" w:eastAsia="Arial" w:hAnsi="Arial"/>
          <w:sz w:val="18"/>
          <w:szCs w:val="18"/>
          <w:color w:val="auto"/>
        </w:rPr>
      </w:pPr>
    </w:p>
    <w:p>
      <w:pPr>
        <w:ind w:left="2600" w:hanging="647"/>
        <w:spacing w:after="0" w:line="268" w:lineRule="auto"/>
        <w:tabs>
          <w:tab w:leader="none" w:pos="26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eleven thousand nine hundred five (11,905) of the Shares on the second anniversary of the date hereof (the “Second Vesting Date”); and</w:t>
      </w:r>
    </w:p>
    <w:p>
      <w:pPr>
        <w:spacing w:after="0" w:line="185" w:lineRule="exact"/>
        <w:rPr>
          <w:rFonts w:ascii="Arial" w:cs="Arial" w:eastAsia="Arial" w:hAnsi="Arial"/>
          <w:sz w:val="18"/>
          <w:szCs w:val="18"/>
          <w:color w:val="auto"/>
        </w:rPr>
      </w:pPr>
    </w:p>
    <w:p>
      <w:pPr>
        <w:jc w:val="both"/>
        <w:ind w:left="2600" w:hanging="647"/>
        <w:spacing w:after="0" w:line="259" w:lineRule="auto"/>
        <w:tabs>
          <w:tab w:leader="none" w:pos="26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eleven thousand nine hundred five (11,905) of the Shares on the third anniversary of the date hereof (the “Third Vesting Date”); each of the First Vesting Date, the Second Vesting Date and the Third Vesting Date is referred to hereinafter as a “Vesting Date”).</w:t>
      </w:r>
    </w:p>
    <w:p>
      <w:pPr>
        <w:spacing w:after="0" w:line="221" w:lineRule="exact"/>
        <w:rPr>
          <w:rFonts w:ascii="Arial" w:cs="Arial" w:eastAsia="Arial" w:hAnsi="Arial"/>
          <w:sz w:val="18"/>
          <w:szCs w:val="18"/>
          <w:color w:val="auto"/>
        </w:rPr>
      </w:pPr>
    </w:p>
    <w:p>
      <w:pPr>
        <w:ind w:firstLine="1305"/>
        <w:spacing w:after="0" w:line="294" w:lineRule="auto"/>
        <w:tabs>
          <w:tab w:leader="none" w:pos="171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In the event that the Grantee does not continue to serve as an employee of the Company or KICO as of a Vesting Date as a result of the termination of the Grantee’s employment for Cause or the Grantee’s Voluntary Resignation (as hereinafter defined) (except in connection with a Change of Control, as provided for in paragraph (c) hereof), the Grantee shall not be entitled to receive any of the Shares issuable on such Vesting Date, and this Agreement shall terminate and be of no further force or effect. For the purposes hereof, the term “Voluntary Resignation” shall mean the Grantee’s resignation of employment (except following a request by the Company that he resign other than based upon Cause).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0" w:name="page161"/>
    <w:bookmarkEnd w:id="160"/>
    <w:p>
      <w:pPr>
        <w:ind w:firstLine="1305"/>
        <w:spacing w:after="0" w:line="254" w:lineRule="auto"/>
        <w:tabs>
          <w:tab w:leader="none" w:pos="170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the event that (i) the Grantee’s employment with the Company and KICO is terminated other than for Cause (whether prior to or following a Change of Control), (ii) the Grantee’s employment with the Company and KICO is terminated as a result of the Grantee having become Disabled, (iii) the Grantee dies while an employee of the Company and KICO, (iv) the Company does not offer the Grantee the position of Chief Executive Officer by December 31, 2018 (and Cause does not exist) or (v) the Grantee resigns his employment with the Company and KICO (A) other than pursuant to a Voluntary Resignation or (B) within six (6) months following a Change of Control, the Shares shall vest on the date of termination of employment, the date of death or December 31, 2018, as the case may be (the “Termination Date”).</w:t>
      </w:r>
    </w:p>
    <w:p>
      <w:pPr>
        <w:spacing w:after="0" w:line="157" w:lineRule="exact"/>
        <w:rPr>
          <w:rFonts w:ascii="Arial" w:cs="Arial" w:eastAsia="Arial" w:hAnsi="Arial"/>
          <w:sz w:val="18"/>
          <w:szCs w:val="18"/>
          <w:color w:val="auto"/>
        </w:rPr>
      </w:pPr>
    </w:p>
    <w:p>
      <w:pPr>
        <w:ind w:right="140" w:firstLine="1305"/>
        <w:spacing w:after="0" w:line="268" w:lineRule="auto"/>
        <w:tabs>
          <w:tab w:leader="none" w:pos="171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the event that Shares vest on a Vesting Date or the Termination Date, the certificate representing the portion of the Shares then vested shall be issued by the Company as soon as reasonably practicable thereafter.</w:t>
      </w:r>
    </w:p>
    <w:p>
      <w:pPr>
        <w:spacing w:after="0" w:line="145" w:lineRule="exact"/>
        <w:rPr>
          <w:rFonts w:ascii="Arial" w:cs="Arial" w:eastAsia="Arial" w:hAnsi="Arial"/>
          <w:sz w:val="18"/>
          <w:szCs w:val="18"/>
          <w:color w:val="auto"/>
        </w:rPr>
      </w:pPr>
    </w:p>
    <w:p>
      <w:pPr>
        <w:ind w:right="100" w:firstLine="1305"/>
        <w:spacing w:after="0" w:line="268" w:lineRule="auto"/>
        <w:tabs>
          <w:tab w:leader="none" w:pos="170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number of Shares issuable to the Grantee is subject to adjustment for any stock splits, reverse stock splits and other recapitalizations that take effect prior to a particular Vesting Date or the Termination Date, as the case may be.</w:t>
      </w:r>
    </w:p>
    <w:p>
      <w:pPr>
        <w:spacing w:after="0" w:line="139" w:lineRule="exact"/>
        <w:rPr>
          <w:rFonts w:ascii="Arial" w:cs="Arial" w:eastAsia="Arial" w:hAnsi="Arial"/>
          <w:sz w:val="18"/>
          <w:szCs w:val="18"/>
          <w:color w:val="auto"/>
        </w:rPr>
      </w:pPr>
    </w:p>
    <w:p>
      <w:pPr>
        <w:ind w:left="1000" w:hanging="344"/>
        <w:spacing w:after="0"/>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INCORPORATION BY REFERENCE</w:t>
      </w:r>
      <w:r>
        <w:rPr>
          <w:rFonts w:ascii="Arial" w:cs="Arial" w:eastAsia="Arial" w:hAnsi="Arial"/>
          <w:sz w:val="16"/>
          <w:szCs w:val="16"/>
          <w:color w:val="auto"/>
        </w:rPr>
        <w:t>. The terms and conditions of the Plan are hereby incorporated by reference and made a part hereof.</w:t>
      </w:r>
    </w:p>
    <w:p>
      <w:pPr>
        <w:spacing w:after="0" w:line="207" w:lineRule="exact"/>
        <w:rPr>
          <w:rFonts w:ascii="Arial" w:cs="Arial" w:eastAsia="Arial" w:hAnsi="Arial"/>
          <w:sz w:val="16"/>
          <w:szCs w:val="16"/>
          <w:color w:val="auto"/>
        </w:rPr>
      </w:pPr>
    </w:p>
    <w:p>
      <w:pPr>
        <w:ind w:right="40" w:firstLine="656"/>
        <w:spacing w:after="0" w:line="256" w:lineRule="auto"/>
        <w:tabs>
          <w:tab w:leader="none" w:pos="996"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given hereunder shall be deemed sufficient if in writing and hand delivered or sent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return receipt requested, addressed to the Company, 15 Joys Lane,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52" w:lineRule="exact"/>
        <w:rPr>
          <w:rFonts w:ascii="Arial" w:cs="Arial" w:eastAsia="Arial" w:hAnsi="Arial"/>
          <w:sz w:val="18"/>
          <w:szCs w:val="18"/>
          <w:color w:val="auto"/>
        </w:rPr>
      </w:pPr>
    </w:p>
    <w:p>
      <w:pPr>
        <w:ind w:right="320" w:firstLine="656"/>
        <w:spacing w:after="0" w:line="275" w:lineRule="auto"/>
        <w:tabs>
          <w:tab w:leader="none" w:pos="996"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Stock Grant Agreement shall be binding upon and inure to the benefit of the parties hereto and their respective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and assigns.</w:t>
      </w:r>
    </w:p>
    <w:p>
      <w:pPr>
        <w:spacing w:after="0" w:line="133" w:lineRule="exact"/>
        <w:rPr>
          <w:rFonts w:ascii="Arial" w:cs="Arial" w:eastAsia="Arial" w:hAnsi="Arial"/>
          <w:sz w:val="18"/>
          <w:szCs w:val="18"/>
          <w:color w:val="auto"/>
        </w:rPr>
      </w:pPr>
    </w:p>
    <w:p>
      <w:pPr>
        <w:ind w:right="60" w:firstLine="656"/>
        <w:spacing w:after="0" w:line="275" w:lineRule="auto"/>
        <w:tabs>
          <w:tab w:leader="none" w:pos="996"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Stock Grant Agreement, together with the Plan, contains the entire understanding of the parties hereto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subject matter hereof and may be modified only by an instrument executed by the party sought to be charged.</w:t>
      </w:r>
    </w:p>
    <w:p>
      <w:pPr>
        <w:spacing w:after="0" w:line="133" w:lineRule="exact"/>
        <w:rPr>
          <w:rFonts w:ascii="Arial" w:cs="Arial" w:eastAsia="Arial" w:hAnsi="Arial"/>
          <w:sz w:val="18"/>
          <w:szCs w:val="18"/>
          <w:color w:val="auto"/>
        </w:rPr>
      </w:pPr>
    </w:p>
    <w:p>
      <w:pPr>
        <w:ind w:right="360" w:firstLine="656"/>
        <w:spacing w:after="0" w:line="275" w:lineRule="auto"/>
        <w:tabs>
          <w:tab w:leader="none" w:pos="996"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Stock Grant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choice of law rules thereof.</w:t>
      </w:r>
    </w:p>
    <w:p>
      <w:pPr>
        <w:spacing w:after="0" w:line="133" w:lineRule="exact"/>
        <w:rPr>
          <w:rFonts w:ascii="Arial" w:cs="Arial" w:eastAsia="Arial" w:hAnsi="Arial"/>
          <w:sz w:val="18"/>
          <w:szCs w:val="18"/>
          <w:color w:val="auto"/>
        </w:rPr>
      </w:pPr>
    </w:p>
    <w:p>
      <w:pPr>
        <w:ind w:right="360" w:firstLine="656"/>
        <w:spacing w:after="0" w:line="275" w:lineRule="auto"/>
        <w:tabs>
          <w:tab w:leader="none" w:pos="996"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Stock Grant Agreement may be executed in counterparts, each of which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both of which together shall constitute one and the same instrument.</w:t>
      </w:r>
    </w:p>
    <w:p>
      <w:pPr>
        <w:spacing w:after="0" w:line="133" w:lineRule="exact"/>
        <w:rPr>
          <w:rFonts w:ascii="Arial" w:cs="Arial" w:eastAsia="Arial" w:hAnsi="Arial"/>
          <w:sz w:val="18"/>
          <w:szCs w:val="18"/>
          <w:color w:val="auto"/>
        </w:rPr>
      </w:pPr>
    </w:p>
    <w:p>
      <w:pPr>
        <w:ind w:left="1100" w:hanging="444"/>
        <w:spacing w:after="0"/>
        <w:tabs>
          <w:tab w:leader="none" w:pos="1100"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FACSIMILE SIGNATURES</w:t>
      </w:r>
      <w:r>
        <w:rPr>
          <w:rFonts w:ascii="Arial" w:cs="Arial" w:eastAsia="Arial" w:hAnsi="Arial"/>
          <w:sz w:val="16"/>
          <w:szCs w:val="16"/>
          <w:color w:val="auto"/>
        </w:rPr>
        <w:t>. Signatures hereon which are transmitted via facsimile, or other electronic image, shall be deemed original</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signatures.</w:t>
      </w:r>
    </w:p>
    <w:p>
      <w:pPr>
        <w:spacing w:after="0" w:line="172" w:lineRule="exact"/>
        <w:rPr>
          <w:rFonts w:ascii="Arial" w:cs="Arial" w:eastAsia="Arial" w:hAnsi="Arial"/>
          <w:sz w:val="16"/>
          <w:szCs w:val="16"/>
          <w:color w:val="auto"/>
        </w:rPr>
      </w:pPr>
    </w:p>
    <w:p>
      <w:pPr>
        <w:ind w:right="20" w:firstLine="656"/>
        <w:spacing w:after="0" w:line="310" w:lineRule="auto"/>
        <w:tabs>
          <w:tab w:leader="none" w:pos="1077"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9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Remainder of page intentionally left blank; 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Stock Grant Agreement as of the day and year first above written.</w:t>
      </w:r>
    </w:p>
    <w:p>
      <w:pPr>
        <w:sectPr>
          <w:pgSz w:w="11900" w:h="16838" w:orient="portrait"/>
          <w:cols w:equalWidth="0" w:num="1">
            <w:col w:w="9559"/>
          </w:cols>
          <w:pgMar w:left="900" w:top="557" w:right="1440" w:bottom="1440" w:gutter="0" w:footer="0" w:header="0"/>
        </w:sectPr>
      </w:pPr>
    </w:p>
    <w:p>
      <w:pPr>
        <w:spacing w:after="0" w:line="397"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KINGSTONE COMPANIES, INC.</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Barry B. Goldstein,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of Grantee</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Dale A. Thatcher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of Grantee</w:t>
      </w:r>
    </w:p>
    <w:p>
      <w:pPr>
        <w:spacing w:after="0" w:line="21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212 Third Street</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Milford, PA 18337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557" w:right="1440" w:bottom="1440" w:gutter="0" w:footer="0" w:header="0"/>
          <w:type w:val="continuous"/>
        </w:sectPr>
      </w:pPr>
    </w:p>
    <w:bookmarkStart w:id="162" w:name="page163"/>
    <w:bookmarkEnd w:id="162"/>
    <w:p>
      <w:pPr>
        <w:ind w:left="10480"/>
        <w:spacing w:after="0"/>
        <w:rPr>
          <w:sz w:val="20"/>
          <w:szCs w:val="20"/>
          <w:color w:val="auto"/>
        </w:rPr>
      </w:pPr>
      <w:r>
        <w:rPr>
          <w:rFonts w:ascii="Arial" w:cs="Arial" w:eastAsia="Arial" w:hAnsi="Arial"/>
          <w:sz w:val="16"/>
          <w:szCs w:val="16"/>
          <w:b w:val="1"/>
          <w:bCs w:val="1"/>
          <w:color w:val="auto"/>
        </w:rPr>
        <w:t>Exhibit 10(l)</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b w:val="1"/>
          <w:bCs w:val="1"/>
          <w:color w:val="auto"/>
        </w:rPr>
        <w:t>EMPLOYMENT AGREEMENT</w:t>
      </w:r>
      <w:r>
        <w:rPr>
          <w:rFonts w:ascii="Arial" w:cs="Arial" w:eastAsia="Arial" w:hAnsi="Arial"/>
          <w:sz w:val="18"/>
          <w:szCs w:val="18"/>
          <w:color w:val="auto"/>
        </w:rPr>
        <w:t>, dated March 14, 2018, by and between</w:t>
      </w:r>
      <w:r>
        <w:rPr>
          <w:rFonts w:ascii="Arial" w:cs="Arial" w:eastAsia="Arial" w:hAnsi="Arial"/>
          <w:sz w:val="18"/>
          <w:szCs w:val="18"/>
          <w:b w:val="1"/>
          <w:bCs w:val="1"/>
          <w:color w:val="auto"/>
        </w:rPr>
        <w:t xml:space="preserve"> KINGSTONE INSURANCE COMPANY</w:t>
      </w:r>
      <w:r>
        <w:rPr>
          <w:rFonts w:ascii="Arial" w:cs="Arial" w:eastAsia="Arial" w:hAnsi="Arial"/>
          <w:sz w:val="18"/>
          <w:szCs w:val="18"/>
          <w:color w:val="auto"/>
        </w:rPr>
        <w:t>, a New York stock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casualty insurance company (the “Company”), and </w:t>
      </w:r>
      <w:r>
        <w:rPr>
          <w:rFonts w:ascii="Arial" w:cs="Arial" w:eastAsia="Arial" w:hAnsi="Arial"/>
          <w:sz w:val="18"/>
          <w:szCs w:val="18"/>
          <w:b w:val="1"/>
          <w:bCs w:val="1"/>
          <w:color w:val="auto"/>
        </w:rPr>
        <w:t>DALE A. THATCHER</w:t>
      </w:r>
      <w:r>
        <w:rPr>
          <w:rFonts w:ascii="Arial" w:cs="Arial" w:eastAsia="Arial" w:hAnsi="Arial"/>
          <w:sz w:val="18"/>
          <w:szCs w:val="18"/>
          <w:color w:val="auto"/>
        </w:rPr>
        <w:t xml:space="preserve"> (the “Employee” or the “Executive”).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firstLine="648"/>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Employee desire to enter into an employment agreement which will set forth the terms and conditions upon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shall be employed by the Company and upon which the Company shall compensate the Employee for his services.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mutual covenants hereinafter set forth, the parties hereto hereby agree as follows:</w:t>
      </w:r>
    </w:p>
    <w:p>
      <w:pPr>
        <w:spacing w:after="0" w:line="181" w:lineRule="exact"/>
        <w:rPr>
          <w:sz w:val="20"/>
          <w:szCs w:val="20"/>
          <w:color w:val="auto"/>
        </w:rPr>
      </w:pPr>
    </w:p>
    <w:p>
      <w:pPr>
        <w:ind w:left="1320" w:hanging="664"/>
        <w:spacing w:after="0"/>
        <w:tabs>
          <w:tab w:leader="none" w:pos="13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TERM</w:t>
      </w:r>
    </w:p>
    <w:p>
      <w:pPr>
        <w:spacing w:after="0" w:line="164" w:lineRule="exact"/>
        <w:rPr>
          <w:sz w:val="20"/>
          <w:szCs w:val="20"/>
          <w:color w:val="auto"/>
        </w:rPr>
      </w:pPr>
    </w:p>
    <w:p>
      <w:pPr>
        <w:jc w:val="both"/>
        <w:ind w:left="660" w:firstLine="648"/>
        <w:spacing w:after="0" w:line="306" w:lineRule="auto"/>
        <w:rPr>
          <w:sz w:val="20"/>
          <w:szCs w:val="20"/>
          <w:color w:val="auto"/>
        </w:rPr>
      </w:pPr>
      <w:r>
        <w:rPr>
          <w:rFonts w:ascii="Arial" w:cs="Arial" w:eastAsia="Arial" w:hAnsi="Arial"/>
          <w:sz w:val="16"/>
          <w:szCs w:val="16"/>
          <w:color w:val="auto"/>
        </w:rPr>
        <w:t>1.1. The Company will employ the Employee in its business, and the Employee will work for the Company therein, as its President for a term commencing as of March 15, 2018 (the “Effective Date”) and terminating on December 31, 2018 (the “Expiration Date”), subject to earlier termination as hereinafter provided (the employment period, as earlier terminated as provided for herein, being referred to as the “Term”).</w:t>
      </w:r>
    </w:p>
    <w:p>
      <w:pPr>
        <w:spacing w:after="0" w:line="93"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1.2. Upon the expiration of the Term or the termination of the Employee’s employment with the Company for any reason whatsoever, whether during or following the Term, he shall be deemed to have resigned all of his positions as an employee, officer and director of the Company and of each and every subsidiary thereof.</w:t>
      </w:r>
    </w:p>
    <w:p>
      <w:pPr>
        <w:spacing w:after="0" w:line="121" w:lineRule="exact"/>
        <w:rPr>
          <w:sz w:val="20"/>
          <w:szCs w:val="20"/>
          <w:color w:val="auto"/>
        </w:rPr>
      </w:pPr>
    </w:p>
    <w:p>
      <w:pPr>
        <w:ind w:left="1320" w:hanging="664"/>
        <w:spacing w:after="0"/>
        <w:tabs>
          <w:tab w:leader="none" w:pos="13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w:t>
      </w:r>
    </w:p>
    <w:p>
      <w:pPr>
        <w:spacing w:after="0" w:line="164"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2.1. During the Term, the Employee shall serve as the Company’s President and shall have and perform executive, administrative, and managerial duties customary for such a position, and such further duties of an executive character as shall, from time to time, be delegated or assigned to him by the Board of Directors of the Company (the “Board”) or the Chief Executive Officer of the Company (the “CEO”) consistent with the Employee’s position.</w:t>
      </w:r>
    </w:p>
    <w:p>
      <w:pPr>
        <w:spacing w:after="0" w:line="124" w:lineRule="exact"/>
        <w:rPr>
          <w:sz w:val="20"/>
          <w:szCs w:val="20"/>
          <w:color w:val="auto"/>
        </w:rPr>
      </w:pPr>
    </w:p>
    <w:p>
      <w:pPr>
        <w:ind w:left="1320" w:hanging="664"/>
        <w:spacing w:after="0"/>
        <w:tabs>
          <w:tab w:leader="none" w:pos="13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DEVOTION OF TIME</w:t>
      </w:r>
    </w:p>
    <w:p>
      <w:pPr>
        <w:spacing w:after="0" w:line="164"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3.1. During the Term, the Employee shall expend substantially all of his working time for the Company, shall devote his best efforts, energy and skill to the services of the Company and the promotion of its interests and shall not take part in activities detrimental to the best interests of the Company. Notwithstanding the foregoing, during the term of the Employment Agreement between Kingstone Companies, Inc. (“KINS”) and the Employee of even date (the “KINS Employment Agreement”), the Employee shall be entitled to devote such time as is necessary to the fulfillment of his duties and responsibilities as Chief Operating Officer of KINS.</w:t>
      </w:r>
    </w:p>
    <w:p>
      <w:pPr>
        <w:spacing w:after="0" w:line="200" w:lineRule="exact"/>
        <w:rPr>
          <w:sz w:val="20"/>
          <w:szCs w:val="20"/>
          <w:color w:val="auto"/>
        </w:rPr>
      </w:pPr>
    </w:p>
    <w:p>
      <w:pPr>
        <w:spacing w:after="0" w:line="362"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6542659.4</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3" w:name="page164"/>
    <w:bookmarkEnd w:id="163"/>
    <w:p>
      <w:pPr>
        <w:jc w:val="both"/>
        <w:ind w:left="4" w:firstLine="648"/>
        <w:spacing w:after="0" w:line="256" w:lineRule="auto"/>
        <w:rPr>
          <w:sz w:val="20"/>
          <w:szCs w:val="20"/>
          <w:color w:val="auto"/>
        </w:rPr>
      </w:pPr>
      <w:r>
        <w:rPr>
          <w:rFonts w:ascii="Arial" w:cs="Arial" w:eastAsia="Arial" w:hAnsi="Arial"/>
          <w:sz w:val="18"/>
          <w:szCs w:val="18"/>
          <w:color w:val="auto"/>
        </w:rPr>
        <w:t>3.2. The Employee shall be permitted to engage in the following activities: (a) charity, social or civic work, (b) tend to personal financial and legal affairs, (c) serve on the Board of Directors of Service King, Inc., and (d) subject to the prior written consent of the Company (following Board approval), serve on the Board of Directors of, or advisor to, other business organizations, in each case (i.e., (a) through (d) above), provided that such activities do not interfere or conflict with his full-time services to the Company.</w:t>
      </w:r>
    </w:p>
    <w:p>
      <w:pPr>
        <w:spacing w:after="0" w:line="124" w:lineRule="exact"/>
        <w:rPr>
          <w:sz w:val="20"/>
          <w:szCs w:val="20"/>
          <w:color w:val="auto"/>
        </w:rPr>
      </w:pPr>
    </w:p>
    <w:p>
      <w:pPr>
        <w:ind w:left="664" w:hanging="664"/>
        <w:spacing w:after="0"/>
        <w:tabs>
          <w:tab w:leader="none" w:pos="66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16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4.1. For all services to be rendered by the Employee during the Term, and in consideration of the Employee’s representations and covenants set forth in this Agreement, the Employee shall be entitled to receive from the Company compensation as set forth in Sections 4.2 and 4.3 below.</w:t>
      </w:r>
    </w:p>
    <w:p>
      <w:pPr>
        <w:spacing w:after="0" w:line="127"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4.2. During the Term, the Employee shall be entitled to receive a salary at the rate of three hundred fifty thousand dollars ($350,000) per annum (the “Base Salary”). The Employee shall be entitled to increases in the Base Salary and other potential additional compensation as may be determined from time to time by the Board in its sole discretion. All amounts dues hereunder shall be payable in accordance with the Company’s standard payroll practices.</w:t>
      </w:r>
    </w:p>
    <w:p>
      <w:pPr>
        <w:spacing w:after="0" w:line="130"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4.3. During the Term, the Employee shall also be entitled to receive from the Company a bonus (the “Bonus”) pursuant to and in accordance with the terms and conditions of the Company’s employee profit sharing plan; provided, however, that in no event shall the amount of the Bonus be less than seventy-five thousand dollars ($75,000) multiplied by a fraction, the numerator of which shall be the number of days during the Term and the denominator of which shall be three hundred sixty-five (365).</w:t>
      </w:r>
    </w:p>
    <w:p>
      <w:pPr>
        <w:spacing w:after="0" w:line="124" w:lineRule="exact"/>
        <w:rPr>
          <w:sz w:val="20"/>
          <w:szCs w:val="20"/>
          <w:color w:val="auto"/>
        </w:rPr>
      </w:pPr>
    </w:p>
    <w:p>
      <w:pPr>
        <w:ind w:left="664" w:hanging="664"/>
        <w:spacing w:after="0"/>
        <w:tabs>
          <w:tab w:leader="none" w:pos="66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 OF EXPENSES</w:t>
      </w:r>
    </w:p>
    <w:p>
      <w:pPr>
        <w:spacing w:after="0" w:line="164"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8"/>
          <w:szCs w:val="18"/>
          <w:color w:val="auto"/>
        </w:rPr>
        <w:t>5.1. The Company shall pay directly, or reimburse the Employee for, all reasonable and necessary expenses and disbursements incurred by the Employee for and on behalf of the Company in the performance of his duties during the Term.</w:t>
      </w:r>
    </w:p>
    <w:p>
      <w:pPr>
        <w:spacing w:after="0" w:line="118"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5.2. The Employee shall periodically submit to the Company reports of such expenses and disbursements in a form and at a frequency normally used by the Company, and receipts with respect thereto, and the Company’s obligations under Section 5.1 hereof shall be subject to compliance therewith.</w:t>
      </w:r>
    </w:p>
    <w:p>
      <w:pPr>
        <w:spacing w:after="0" w:line="200" w:lineRule="exact"/>
        <w:rPr>
          <w:sz w:val="20"/>
          <w:szCs w:val="20"/>
          <w:color w:val="auto"/>
        </w:rPr>
      </w:pPr>
    </w:p>
    <w:p>
      <w:pPr>
        <w:spacing w:after="0" w:line="359"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12" w:right="239" w:bottom="1440" w:gutter="0" w:footer="0" w:header="0"/>
        </w:sectPr>
      </w:pPr>
    </w:p>
    <w:bookmarkStart w:id="164" w:name="page165"/>
    <w:bookmarkEnd w:id="164"/>
    <w:p>
      <w:pPr>
        <w:ind w:left="664" w:hanging="664"/>
        <w:spacing w:after="0"/>
        <w:tabs>
          <w:tab w:leader="none" w:pos="66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DISABILITY; INSURANCE</w:t>
      </w:r>
    </w:p>
    <w:p>
      <w:pPr>
        <w:spacing w:after="0" w:line="164"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6"/>
          <w:szCs w:val="16"/>
          <w:color w:val="auto"/>
        </w:rPr>
        <w:t>6.1. If, during the Term, the Employee, in the opinion of a majority of all of the members of the Board (excluding the Employee if he is a member), as confirmed by competent medical evidence, shall become physically or mentally incapacitated to perform his duties for the Company hereunder (“Disabled”) for a continuous period, then for the first three (3) months of such period he shall receive his full salary (subject to the following sentence, the “Salary Continuation Period”). In no event, however, shall the Employee be entitled to receive any payments under this Section 6.1 beyond the expiration or termination date of this Agreement. Effective with the date of his resumption of full employment, the Employee shall be re-entitled to receive his full salary. If such illness or other incapacity shall endure for a continuous period of at least three (3) months or for at least sixty (60) business days during any six (6) month period, the Company shall have the right, by written notice, to terminate the Employee’s employment hereunder as of a date (not less than thirty (30) days after the date of the sending of such notice) to be specified in such notice. The Employee agrees to submit himself for appropriate medical examination to a physician of the Company’s designation as necessary for purposes of this Section 6.1.</w:t>
      </w:r>
    </w:p>
    <w:p>
      <w:pPr>
        <w:spacing w:after="0" w:line="106"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8"/>
          <w:szCs w:val="18"/>
          <w:color w:val="auto"/>
        </w:rPr>
        <w:t>6.2. The obligations of the Company under this Article 6 may be satisfied, in whole or in part, by payments to the Employee under a disability insurance policy provided by the Company and/or KINS.</w:t>
      </w:r>
    </w:p>
    <w:p>
      <w:pPr>
        <w:spacing w:after="0" w:line="118" w:lineRule="exact"/>
        <w:rPr>
          <w:sz w:val="20"/>
          <w:szCs w:val="20"/>
          <w:color w:val="auto"/>
        </w:rPr>
      </w:pPr>
    </w:p>
    <w:p>
      <w:pPr>
        <w:jc w:val="both"/>
        <w:ind w:left="4" w:right="20" w:firstLine="648"/>
        <w:spacing w:after="0" w:line="259" w:lineRule="auto"/>
        <w:rPr>
          <w:sz w:val="20"/>
          <w:szCs w:val="20"/>
          <w:color w:val="auto"/>
        </w:rPr>
      </w:pPr>
      <w:r>
        <w:rPr>
          <w:rFonts w:ascii="Arial" w:cs="Arial" w:eastAsia="Arial" w:hAnsi="Arial"/>
          <w:sz w:val="18"/>
          <w:szCs w:val="18"/>
          <w:color w:val="auto"/>
        </w:rPr>
        <w:t>6.3. Notwithstanding the foregoing, in the event that, at the time of any apparent incapacity, the Company has in effect a disability policy with respect to the Employee, the Employee shall be considered Disabled for purposes of Section 6.1 only if he is considered disabled for purposes of the policy.</w:t>
      </w:r>
    </w:p>
    <w:p>
      <w:pPr>
        <w:spacing w:after="0" w:line="127" w:lineRule="exact"/>
        <w:rPr>
          <w:sz w:val="20"/>
          <w:szCs w:val="20"/>
          <w:color w:val="auto"/>
        </w:rPr>
      </w:pPr>
    </w:p>
    <w:p>
      <w:pPr>
        <w:jc w:val="both"/>
        <w:ind w:left="4" w:firstLine="648"/>
        <w:spacing w:after="0" w:line="294" w:lineRule="auto"/>
        <w:rPr>
          <w:sz w:val="20"/>
          <w:szCs w:val="20"/>
          <w:color w:val="auto"/>
        </w:rPr>
      </w:pPr>
      <w:r>
        <w:rPr>
          <w:rFonts w:ascii="Arial" w:cs="Arial" w:eastAsia="Arial" w:hAnsi="Arial"/>
          <w:sz w:val="16"/>
          <w:szCs w:val="16"/>
          <w:color w:val="auto"/>
        </w:rPr>
        <w:t>6.4. In the event of the termination of the Employee’s employment based upon him becoming Disabled, as liquidated damages, the Employee shall be entitled to receive the Bonus compensation to which he is entitled until the expiration of the Salary Continuation Period pursuant to Section 4.3 hereof (i.e., the Termination Date shall be considered the last day of the Salary Continuation Period). The amount to be paid to the Employee pursuant to this Section 6.4 shall constitute the sole and exclusive remedy of the Employee, and the Employee shall not be entitled to any other or further compensation, rights or benefits hereunder or otherwise, including pursuant to Article 11.</w:t>
      </w:r>
    </w:p>
    <w:p>
      <w:pPr>
        <w:spacing w:after="0" w:line="96" w:lineRule="exact"/>
        <w:rPr>
          <w:sz w:val="20"/>
          <w:szCs w:val="20"/>
          <w:color w:val="auto"/>
        </w:rPr>
      </w:pPr>
    </w:p>
    <w:p>
      <w:pPr>
        <w:ind w:left="664" w:hanging="664"/>
        <w:spacing w:after="0"/>
        <w:tabs>
          <w:tab w:leader="none" w:pos="66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COVENANTS</w:t>
      </w:r>
    </w:p>
    <w:p>
      <w:pPr>
        <w:spacing w:after="0" w:line="164"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7.1. (a) The services of the Employee are unique and extraordinary and essential to the business of the Company, especially since the Employee shall have access to the Company’s customer lists, producer lists, trade secrets and other privileged and confidential information essential to the Company’s business. Therefore, the Employee agrees that, if the term of his employment hereunder shall expire or his employment shall at any time terminate for any reason whatsoever, with or without Cause (as hereinafter defined) and with or without Good Reason (as hereinafter defined), the Employee will not at any time during the Restrictive Covenant Period (as hereinafter defined), without the prior written consent of the Company, directly or indirectly, whether individually or as a principal, officer, employee, partner, shareholder, member, manager, director, agent of, or consultant or independent contractor to, any person, corporation, limited liability company, partnership, limited partnership or other entity (collectively, “Person”):</w:t>
      </w:r>
    </w:p>
    <w:p>
      <w:pPr>
        <w:spacing w:after="0" w:line="200" w:lineRule="exact"/>
        <w:rPr>
          <w:sz w:val="20"/>
          <w:szCs w:val="20"/>
          <w:color w:val="auto"/>
        </w:rPr>
      </w:pPr>
    </w:p>
    <w:p>
      <w:pPr>
        <w:spacing w:after="0" w:line="337"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65" w:name="page166"/>
    <w:bookmarkEnd w:id="165"/>
    <w:p>
      <w:pPr>
        <w:jc w:val="both"/>
        <w:ind w:right="20" w:firstLine="1941"/>
        <w:spacing w:after="0" w:line="306" w:lineRule="auto"/>
        <w:tabs>
          <w:tab w:leader="none" w:pos="270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cause or seek to persuade any director, officer, employee, customer, client, account, agent, producer, reinsurer or supplier of, or consultant or independent contractor to, the Company, or others with whom the Company has a business relationship (collectively, “Business Associates”), to discontinue or materially modify the status, employment or relationship of such Person with the Company;</w:t>
      </w:r>
    </w:p>
    <w:p>
      <w:pPr>
        <w:spacing w:after="0" w:line="93" w:lineRule="exact"/>
        <w:rPr>
          <w:rFonts w:ascii="Arial" w:cs="Arial" w:eastAsia="Arial" w:hAnsi="Arial"/>
          <w:sz w:val="16"/>
          <w:szCs w:val="16"/>
          <w:color w:val="auto"/>
        </w:rPr>
      </w:pPr>
    </w:p>
    <w:p>
      <w:pPr>
        <w:jc w:val="both"/>
        <w:ind w:firstLine="1941"/>
        <w:spacing w:after="0" w:line="259" w:lineRule="auto"/>
        <w:tabs>
          <w:tab w:leader="none" w:pos="27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cause or seek to persuade any prospective customer, client, account or other Business Associate of the Company (which at or about the Cessation Date was then actively being solicited by the Company) to determine not to enter into a business relationship with the Company or to materially modify its contemplated business relationship; or</w:t>
      </w:r>
    </w:p>
    <w:p>
      <w:pPr>
        <w:spacing w:after="0" w:line="126" w:lineRule="exact"/>
        <w:rPr>
          <w:rFonts w:ascii="Arial" w:cs="Arial" w:eastAsia="Arial" w:hAnsi="Arial"/>
          <w:sz w:val="18"/>
          <w:szCs w:val="18"/>
          <w:color w:val="auto"/>
        </w:rPr>
      </w:pPr>
    </w:p>
    <w:p>
      <w:pPr>
        <w:ind w:left="2760" w:hanging="819"/>
        <w:spacing w:after="0"/>
        <w:tabs>
          <w:tab w:leader="none" w:pos="27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hire, retain or associate in a business relationship with, directly or indirectly, any director, officer or employee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restrictions set forth in this Section 7.1(a) shall apply likewise during the Term.</w:t>
      </w:r>
    </w:p>
    <w:p>
      <w:pPr>
        <w:spacing w:after="0" w:line="158" w:lineRule="exact"/>
        <w:rPr>
          <w:sz w:val="20"/>
          <w:szCs w:val="20"/>
          <w:color w:val="auto"/>
        </w:rPr>
      </w:pPr>
    </w:p>
    <w:p>
      <w:pPr>
        <w:jc w:val="both"/>
        <w:ind w:firstLine="1293"/>
        <w:spacing w:after="0" w:line="256" w:lineRule="auto"/>
        <w:tabs>
          <w:tab w:leader="none" w:pos="20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purposes hereof, the term “Restrictive Covenant Period” shall mean the eighteen (18) month period commencing with the Cessation Date; provided, however, that, except with respect to clause (iii) of paragraph (a) hereof, in the event that the Employee’s employment is terminated by the Company without Cause or by the Employee for Good Reason, the term “Restrictive Covenant Period” shall mean the period commencing with the Cessation Date and ending on the Expiration Date.</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7.2. The Employee agrees to timely disclose to the Board and the CEO all material ideas, processes, methods, devices, business concepts, inventions, improvements, discoveries, know-how and other creative achievements, whether or not the same or any part thereof is capable of being patented, trademarked, copyrighted, or otherwise protected, which the Employee, while employed by the Company, conceives, makes, develops, acquires or reduces to practice, whether acting alone or with others and whether during or after usual working hours, and which are related to the Company’s business or interests, or are used or usable by the Company, or arise out of or in connection with the duties performed by the Employee (hereinafter referred to collectively as “Discoveries”). The Employee hereby transfers and assigns to the Company all right, title and interest in and to such Discoveries, including any and all domestic and foreign copyrights and patent and trademark rights therein and any renewals thereof. On request of the Company, the Employee will, without any additional compensation, from time to time during, and after the expiration or termination of, the Term, execute such further instruments (including, without limitation, applications for copyrights, patents, trademarks and assignments thereof) and do all such other acts and things as may be deemed necessary or desirable by the Company to protect and/or enforce its right in respect of such Discoveries. All expenses of filing or prosecuting any patent, trademark or copyright application shall be borne by the Company, but the Employee shall cooperate, at the Company’s expense, in filing and/or prosecuting any such application.</w:t>
      </w:r>
    </w:p>
    <w:p>
      <w:pPr>
        <w:spacing w:after="0" w:line="200" w:lineRule="exact"/>
        <w:rPr>
          <w:sz w:val="20"/>
          <w:szCs w:val="20"/>
          <w:color w:val="auto"/>
        </w:rPr>
      </w:pPr>
    </w:p>
    <w:p>
      <w:pPr>
        <w:spacing w:after="0" w:line="34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712" w:right="239" w:bottom="1440" w:gutter="0" w:footer="0" w:header="0"/>
        </w:sectPr>
      </w:pPr>
    </w:p>
    <w:bookmarkStart w:id="166" w:name="page167"/>
    <w:bookmarkEnd w:id="166"/>
    <w:p>
      <w:pPr>
        <w:jc w:val="both"/>
        <w:ind w:firstLine="648"/>
        <w:spacing w:after="0" w:line="253" w:lineRule="auto"/>
        <w:rPr>
          <w:sz w:val="20"/>
          <w:szCs w:val="20"/>
          <w:color w:val="auto"/>
        </w:rPr>
      </w:pPr>
      <w:r>
        <w:rPr>
          <w:rFonts w:ascii="Arial" w:cs="Arial" w:eastAsia="Arial" w:hAnsi="Arial"/>
          <w:sz w:val="18"/>
          <w:szCs w:val="18"/>
          <w:color w:val="auto"/>
        </w:rPr>
        <w:t>7.3. (a) The Employee represents that he has been informed that it is the policy of the Company to maintain as confidential all confidential and/or proprietary information relating to the Company, including, without limitation, any and all knowledge or information with respect to confidential methods, processes, plans, materials, customer, producer and reinsurer lists or data, or with respect to any other confidential or secret aspect of the Company’s activities, and further acknowledges that such confidential information is of great value to the Company. The Employee recognizes that, by reason of his employment with the Company, he has acquired and will acquire confidential information as aforesaid. The Employee confirms that it is reasonably necessary to protect the Company’s goodwill, and, accordingly, hereby agrees that he will not, directly or indirectly (except where authorized by the Board), at any time during the Term or thereafter divulge to any Person, or use, or cause or authorize any Person to use, any such confidential information.</w:t>
      </w:r>
    </w:p>
    <w:p>
      <w:pPr>
        <w:spacing w:after="0" w:line="132" w:lineRule="exact"/>
        <w:rPr>
          <w:sz w:val="20"/>
          <w:szCs w:val="20"/>
          <w:color w:val="auto"/>
        </w:rPr>
      </w:pPr>
    </w:p>
    <w:p>
      <w:pPr>
        <w:jc w:val="both"/>
        <w:ind w:firstLine="1293"/>
        <w:spacing w:after="0" w:line="259" w:lineRule="auto"/>
        <w:tabs>
          <w:tab w:leader="none" w:pos="22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Employee agrees that he will not, at any time, remove from the Company’s premises any drawings, notebooks, software, data or other confidential information relating to the business and procedures heretofore or hereafter acquired, developed and/or used by the Company, except where necessary in the fulfillment of his duties hereunder.</w:t>
      </w:r>
    </w:p>
    <w:p>
      <w:pPr>
        <w:spacing w:after="0" w:line="126" w:lineRule="exact"/>
        <w:rPr>
          <w:rFonts w:ascii="Arial" w:cs="Arial" w:eastAsia="Arial" w:hAnsi="Arial"/>
          <w:sz w:val="18"/>
          <w:szCs w:val="18"/>
          <w:color w:val="auto"/>
        </w:rPr>
      </w:pPr>
    </w:p>
    <w:p>
      <w:pPr>
        <w:jc w:val="both"/>
        <w:ind w:firstLine="1293"/>
        <w:spacing w:after="0" w:line="256" w:lineRule="auto"/>
        <w:tabs>
          <w:tab w:leader="none" w:pos="202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Employee agrees that, upon the expiration or termination of this Agreement or the termination of his employment with the Company for any reason whatsoever, he shall promptly deliver to the Company any and all drawings, notebooks, software, data and other documents and material, including all copies thereof, in his possession or under his control relating to any confidential information or discoveries, or which is otherwise the property of the Company.</w:t>
      </w:r>
    </w:p>
    <w:p>
      <w:pPr>
        <w:spacing w:after="0" w:line="129" w:lineRule="exact"/>
        <w:rPr>
          <w:rFonts w:ascii="Arial" w:cs="Arial" w:eastAsia="Arial" w:hAnsi="Arial"/>
          <w:sz w:val="18"/>
          <w:szCs w:val="18"/>
          <w:color w:val="auto"/>
        </w:rPr>
      </w:pPr>
    </w:p>
    <w:p>
      <w:pPr>
        <w:jc w:val="both"/>
        <w:ind w:firstLine="1293"/>
        <w:spacing w:after="0" w:line="255" w:lineRule="auto"/>
        <w:tabs>
          <w:tab w:leader="none" w:pos="217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purposes hereof, the term “confidential information” shall mean all information given to the Employee, directly or indirectly, by the Company and all other information relating to the Company otherwise acquired by the Employee during the course of his employment with the Company (whether on or prior to the Effective Date or hereafter), other than information which (i) was in the public domain at the time furnished to, or acquired by, the Employee, or (ii) thereafter enters the public domain other than through disclosure, directly or indirectly, by the Employee or others in violation of an agreement of confidentiality or nondisclosure.</w:t>
      </w:r>
    </w:p>
    <w:p>
      <w:pPr>
        <w:spacing w:after="0" w:line="1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7.4. For purposes of this Article 7, the term “Company” shall mean and include the Company and any and all subsidiaries and affiliated entities of the Company in existence from time to time.</w:t>
      </w:r>
    </w:p>
    <w:p>
      <w:pPr>
        <w:spacing w:after="0" w:line="11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7.5. In connection with his agreement to the restrictions set forth in this Article 7, the Employee acknowledges the benefits accorded to him pursuant to the provisions of this Agreement, including, without limitation, the agreement on the part of the Company to employ the Employee during the Term (subject to the terms and conditions hereof). The Employee also acknowledges and agrees that the covenants set forth in this Article 7 are reasonable and necessary in order to protect and maintain the proprietary and other legitimate business interests of the Company and that the enforcement thereof would not prevent the Employee from earning a livelihood.</w:t>
      </w:r>
    </w:p>
    <w:p>
      <w:pPr>
        <w:spacing w:after="0" w:line="200" w:lineRule="exact"/>
        <w:rPr>
          <w:sz w:val="20"/>
          <w:szCs w:val="20"/>
          <w:color w:val="auto"/>
        </w:rPr>
      </w:pPr>
    </w:p>
    <w:p>
      <w:pPr>
        <w:spacing w:after="0" w:line="33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712" w:right="239" w:bottom="1440" w:gutter="0" w:footer="0" w:header="0"/>
        </w:sectPr>
      </w:pPr>
    </w:p>
    <w:bookmarkStart w:id="167" w:name="page168"/>
    <w:bookmarkEnd w:id="167"/>
    <w:p>
      <w:pPr>
        <w:jc w:val="both"/>
        <w:ind w:firstLine="648"/>
        <w:spacing w:after="0" w:line="289" w:lineRule="auto"/>
        <w:rPr>
          <w:sz w:val="20"/>
          <w:szCs w:val="20"/>
          <w:color w:val="auto"/>
        </w:rPr>
      </w:pPr>
      <w:r>
        <w:rPr>
          <w:rFonts w:ascii="Arial" w:cs="Arial" w:eastAsia="Arial" w:hAnsi="Arial"/>
          <w:sz w:val="16"/>
          <w:szCs w:val="16"/>
          <w:color w:val="auto"/>
        </w:rPr>
        <w:t>7.6. Notwithstanding any other provision of this Article 7 to the contrary, the Executive may disclose confidential or proprietary information of the Company and its subsidiaries as follows: (a) disclosures to directors, officers, key employees, independent accountants and counsel of the Company and its subsidiaries as may be necessary or appropriate in the performance of the Executive’s duties hereunder, (b) disclosures that do not have a material adverse effect on the business or operations of the Company and its subsidiaries taken as a whole, (c) disclosures that the Executive is required to make by law or by any court, arbitrator or administrative or legislative body (including any committee thereof) with apparent jurisdiction to order the Executive to disclose or make accessible any information, (d) disclosures with respect to any other litigation, arbitration or mediation involving this Agreement, and (e) disclosures of any such confidential or proprietary information that is, at the time of such disclosure, generally known to and available for use by the public and not by the Executive’s wrongful act or omission.</w:t>
      </w:r>
    </w:p>
    <w:p>
      <w:pPr>
        <w:spacing w:after="0" w:line="1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7.7. If Executive believes that he may be required to disclose any such confidential or proprietary information pursuant to applicable law, court order or subpoena, he shall immediately notify the Company in writing by overnight delivery, directed to the CEO, of any such perceived requirement so that the Company may seek an appropriate protective order or other appropriate remedy or waive compliance with this confidentiality requirement. Executive shall also reasonably cooperate with the Company to obtain such a protective order or other remedy.</w:t>
      </w:r>
    </w:p>
    <w:p>
      <w:pPr>
        <w:spacing w:after="0" w:line="9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7.8. Notwithstanding any other provision of this Article 7 to the contrary, the Executive upon leaving the employ of the Company shall be entitled to retain (i) papers and other materials of a personal nature, including but not limited to, photographs, correspondence, personal diaries, personal contact lists, calendars and personal files, except to the extent business-related information is set forth therein, (ii) information showing his compensation or relating to his reimbursement of expenses, (iii) information that he reasonably believes may be needed for tax purposes, and (iv) copies of plans, programs and agreements relating to his employment, or termination thereof, with the Company.</w:t>
      </w:r>
    </w:p>
    <w:p>
      <w:pPr>
        <w:spacing w:after="0" w:line="1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7.9. This Agreement does not prohibit Executive from making any disclosure required by law, communicating with, making a report to, or otherwise participating in any investigation or proceeding that may be conducted by the Company’s designated legal, compliance or human resources personnel, the Securities and Exchange Commission (“SEC”) and/or its Office of the Whistleblower, the Equal Employment Opportunity Commission (“EEOC”), the Occupational Safety and Health Administration (“OSHA”), the National Labor Relations Board (“NLRB”), or other federal, state or local government agencies or entities. Executive is not prohibited from disclosing this Agreement or its contents, or from providing documents or other information, to the SEC and/or the Office of the Whistleblower, EEOC, OSHA, NLRB or any other such federal, state or local governmental entity. Executive does not need to provide notice to or obtain the prior authorization of Company’s CEO or General Counsel to make any such report or disclosure and Executive is not required to notify the Company that Executive has made such reports or disclosures.</w:t>
      </w:r>
    </w:p>
    <w:p>
      <w:pPr>
        <w:spacing w:after="0" w:line="200" w:lineRule="exact"/>
        <w:rPr>
          <w:sz w:val="20"/>
          <w:szCs w:val="20"/>
          <w:color w:val="auto"/>
        </w:rPr>
      </w:pPr>
    </w:p>
    <w:p>
      <w:pPr>
        <w:spacing w:after="0" w:line="3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712" w:right="239" w:bottom="1440" w:gutter="0" w:footer="0" w:header="0"/>
        </w:sectPr>
      </w:pPr>
    </w:p>
    <w:bookmarkStart w:id="168" w:name="page169"/>
    <w:bookmarkEnd w:id="168"/>
    <w:p>
      <w:pPr>
        <w:jc w:val="both"/>
        <w:ind w:firstLine="648"/>
        <w:spacing w:after="0" w:line="252"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Notice Under Defend Trade Secrets Act</w:t>
      </w:r>
      <w:r>
        <w:rPr>
          <w:rFonts w:ascii="Arial" w:cs="Arial" w:eastAsia="Arial" w:hAnsi="Arial"/>
          <w:sz w:val="18"/>
          <w:szCs w:val="18"/>
          <w:color w:val="auto"/>
        </w:rPr>
        <w:t>: Notwithstanding the requirements contained in this Agreement, in accordance with the Defend Trade Secrets Act, Executive will not be held criminally or civilly liable under any federal or state trade secret law if Executive discloses a Trade Secret in confidence to federal, state or local government officials, to Executive’s attorney solely for the purpose of reporting or investigating a suspected violation of law, or in a sealed complaint or other document filed in a lawsuit or other proceeding. Further, if Executive files a lawsuit alleging retaliation by the Company for reporting a suspected violation of law, Executive may disclose the Trade Secret to his attorney and use the Trade Secret information in the court proceeding if Executive: (i) files the document containing the Trade Secret in a sealed court document; and (ii) does not disclose the Trade Secret, except pursuant to court order. However, if Executive engages in conduct otherwise prohibited by law, such as, but not limited to, accessing Trade Secrets unlawfully or by unauthorized means, no immunity shall apply and the Company reserves the right to pursue all available remedies.</w:t>
      </w:r>
    </w:p>
    <w:p>
      <w:pPr>
        <w:spacing w:after="0" w:line="13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Notwithstanding anything to the contrary in this Agreement, Executive has the right to:</w:t>
      </w:r>
    </w:p>
    <w:p>
      <w:pPr>
        <w:spacing w:after="0" w:line="158" w:lineRule="exact"/>
        <w:rPr>
          <w:sz w:val="20"/>
          <w:szCs w:val="20"/>
          <w:color w:val="auto"/>
        </w:rPr>
      </w:pPr>
    </w:p>
    <w:p>
      <w:pPr>
        <w:jc w:val="both"/>
        <w:ind w:firstLine="1293"/>
        <w:spacing w:after="0" w:line="256" w:lineRule="auto"/>
        <w:tabs>
          <w:tab w:leader="none" w:pos="197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Report, respond to or cooperate with an investigation into possible violations of state or federal laws or regulations involving a governmental agency or entity including the Congress, the Department of Justice, the SEC and/or its Office of the Whistleblower (www.sec.gov/whistleblower); Office of the Whistleblower Hotline (202) 551-4790, the EEOC, the OSHA, the NLRB, and any other such federal, state or local agency. This includes reporting violations of the federal securities laws or regulations;</w:t>
      </w:r>
    </w:p>
    <w:p>
      <w:pPr>
        <w:spacing w:after="0" w:line="129" w:lineRule="exact"/>
        <w:rPr>
          <w:rFonts w:ascii="Arial" w:cs="Arial" w:eastAsia="Arial" w:hAnsi="Arial"/>
          <w:sz w:val="18"/>
          <w:szCs w:val="18"/>
          <w:color w:val="auto"/>
        </w:rPr>
      </w:pPr>
    </w:p>
    <w:p>
      <w:pPr>
        <w:ind w:left="1980" w:hanging="687"/>
        <w:spacing w:after="0"/>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Make disclosures that are protected by federal, state or local whistleblower laws;</w:t>
      </w:r>
    </w:p>
    <w:p>
      <w:pPr>
        <w:spacing w:after="0" w:line="157" w:lineRule="exact"/>
        <w:rPr>
          <w:rFonts w:ascii="Arial" w:cs="Arial" w:eastAsia="Arial" w:hAnsi="Arial"/>
          <w:sz w:val="18"/>
          <w:szCs w:val="18"/>
          <w:color w:val="auto"/>
        </w:rPr>
      </w:pPr>
    </w:p>
    <w:p>
      <w:pPr>
        <w:ind w:right="20" w:firstLine="1293"/>
        <w:spacing w:after="0" w:line="268" w:lineRule="auto"/>
        <w:tabs>
          <w:tab w:leader="none" w:pos="200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Cooperate in an investigation, respond to an inquiry, or provide testimony before the SEC or any other federal, state or local regulatory or law enforcement authority; and</w:t>
      </w:r>
    </w:p>
    <w:p>
      <w:pPr>
        <w:spacing w:after="0" w:line="118" w:lineRule="exact"/>
        <w:rPr>
          <w:rFonts w:ascii="Arial" w:cs="Arial" w:eastAsia="Arial" w:hAnsi="Arial"/>
          <w:sz w:val="18"/>
          <w:szCs w:val="18"/>
          <w:color w:val="auto"/>
        </w:rPr>
      </w:pPr>
    </w:p>
    <w:p>
      <w:pPr>
        <w:ind w:right="20" w:firstLine="1293"/>
        <w:spacing w:after="0" w:line="332" w:lineRule="auto"/>
        <w:tabs>
          <w:tab w:leader="none" w:pos="20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Make reports or disclosures to law enforcement or regulatory authorities without authorization from the Company, without notifying the Company that a report or disclosure will be or was made, and without revealing the substance of the report or disclosure to the Company.</w:t>
      </w:r>
    </w:p>
    <w:p>
      <w:pPr>
        <w:spacing w:after="0" w:line="7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Executive will not be retaliated against for reporting to the Company or to any governmental agency or entity, including the SEC, information that Executive reasonably believes relates to a possible violation of securities laws or for reporting misconduct. Retaliation under such circumstances is prohibited by law.</w:t>
      </w:r>
    </w:p>
    <w:p>
      <w:pPr>
        <w:spacing w:after="0" w:line="12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7.12 This Agreement does not prevent, interfere with or limit Executive’s ability to file a charge or complaint with, report conduct to, provide information to or participate in any investigation or proceeding conducted by the Equal Employment Opportunity Commission, the National Labor Relations Board, the Occupational Safety and Health Administrative, the Securities and Exchange Commission or any other federal, state or local government agency or commission. Executive agrees that, if such a charge or complaint is made, or investigation or proceeding is initiated against the Company, Executive will not accept, be entitled to, receive, or recover any monetary damages or any other form of relief or remedy to the fullest extent permitted by law EXCEPT THAT THIS AGREEMENT DOES NOT WAIVE OR LIMIT EXECUTIVE’S RIGHT TO RECEIVE A MONETARY AWARD FOR INFORMATION PROVIDED TO THE SEC AS AN SEC WHISTLEBLOWER OR TO RECEIVE A MONETARY AWARD FROM ANY OTHER FEDERAL OR STATE AGENCY PURSUANT TO A SIMILAR WHISTLEBLOWER PROGRAM.</w:t>
      </w:r>
    </w:p>
    <w:p>
      <w:pPr>
        <w:spacing w:after="0" w:line="3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712" w:right="239" w:bottom="1440" w:gutter="0" w:footer="0" w:header="0"/>
        </w:sectPr>
      </w:pPr>
    </w:p>
    <w:bookmarkStart w:id="169" w:name="page170"/>
    <w:bookmarkEnd w:id="169"/>
    <w:p>
      <w:pPr>
        <w:ind w:left="664" w:hanging="664"/>
        <w:spacing w:after="0"/>
        <w:tabs>
          <w:tab w:leader="none" w:pos="66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VACATIONS; LEAVE</w:t>
      </w:r>
    </w:p>
    <w:p>
      <w:pPr>
        <w:spacing w:after="0" w:line="164"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8.1. The Employee shall be entitled to an aggregate of five (5) weeks vacation time during the Term, the time and duration thereof to be determined by mutual agreement between the Employee and the CEO. Any vacation time not used by the end of the Term shall be forfeited without compensation. In addition, the Employee shall not be entitled to carry over or use any vacation time that is unused as of the end of the Term. Further, the Employee shall be entitled to the number of sick, personal, family and other days off during the Term as set forth in the Company’s employee handbook. The Employee understands and agrees that the vacation time and sick, personal, family and other days off for him are not in addition to those provided for in the KINS Employment Agreement and shall be reduced by any such time and days taken as an employee of KINS.</w:t>
      </w:r>
    </w:p>
    <w:p>
      <w:pPr>
        <w:spacing w:after="0" w:line="101" w:lineRule="exact"/>
        <w:rPr>
          <w:sz w:val="20"/>
          <w:szCs w:val="20"/>
          <w:color w:val="auto"/>
        </w:rPr>
      </w:pPr>
    </w:p>
    <w:p>
      <w:pPr>
        <w:ind w:left="664" w:hanging="664"/>
        <w:spacing w:after="0"/>
        <w:tabs>
          <w:tab w:leader="none" w:pos="66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 IN EMPLOYEE BENEFIT PLANS</w:t>
      </w:r>
    </w:p>
    <w:p>
      <w:pPr>
        <w:spacing w:after="0" w:line="164"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9.1. The Employee shall be accorded the right to participate in and receive benefits under and in accordance with the provisions of any pension, profit sharing, insurance, medical and dental insurance or reimbursement (with family coverage) or other plan or program of the Company or KINS, either in existence as of the Effective Date or thereafter adopted for the benefit generally of its executive employees. Additionally, in the event of termination of the Employee's employment by the Company without Cause, or by the Employee for Good Reason, the Company or KINS shall continue to provide to the Employee health, dental, and vision insurance coverage at no cost to the Employee (with family coverage) until the Expiration Date or such time as the Employee becomes eligible for similar coverage, whichever is sooner.</w:t>
      </w:r>
    </w:p>
    <w:p>
      <w:pPr>
        <w:spacing w:after="0" w:line="107"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9.2. In the event the Company elects to discontinue any term life insurance policy purchased by it during the Term with respect to the Employee, prior to any such discontinuance and/or in the event the Employee’s employment with the Company ceases for any reason, the Employee shall be offered the opportunity to have such policy transferred to him without cost, it being understood that the Employee shall be responsible for the payment of any and all premiums thereafter due.</w:t>
      </w:r>
    </w:p>
    <w:p>
      <w:pPr>
        <w:spacing w:after="0" w:line="124" w:lineRule="exact"/>
        <w:rPr>
          <w:sz w:val="20"/>
          <w:szCs w:val="20"/>
          <w:color w:val="auto"/>
        </w:rPr>
      </w:pPr>
    </w:p>
    <w:p>
      <w:pPr>
        <w:ind w:left="764" w:hanging="764"/>
        <w:spacing w:after="0"/>
        <w:tabs>
          <w:tab w:leader="none" w:pos="764"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AS OFFICER AND DIRECTOR</w:t>
      </w:r>
    </w:p>
    <w:p>
      <w:pPr>
        <w:spacing w:after="0" w:line="164"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10.1. During the Term, the Employee shall, if elected or appointed, serve as (a) an officer of the Company and/or any subsidiaries of the Company in existence or hereafter created or acquired and (b) a director of the Company and/or any such subsidiaries of the Company in existence or hereafter created or acquired, in each case without any additional compensation for such services. During the Term the Company shall maintain in effect a directors and officers liability insurance policy of not less than $10 million in coverage limits, and the Company will include the Employee therein as a named insured.</w:t>
      </w:r>
    </w:p>
    <w:p>
      <w:pPr>
        <w:spacing w:after="0" w:line="200" w:lineRule="exact"/>
        <w:rPr>
          <w:sz w:val="20"/>
          <w:szCs w:val="20"/>
          <w:color w:val="auto"/>
        </w:rPr>
      </w:pPr>
    </w:p>
    <w:p>
      <w:pPr>
        <w:spacing w:after="0" w:line="362"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70" w:name="page171"/>
    <w:bookmarkEnd w:id="170"/>
    <w:p>
      <w:pPr>
        <w:ind w:left="744" w:hanging="744"/>
        <w:spacing w:after="0"/>
        <w:tabs>
          <w:tab w:leader="none" w:pos="744"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EARLIER TERMINATION</w:t>
      </w:r>
    </w:p>
    <w:p>
      <w:pPr>
        <w:spacing w:after="0" w:line="164"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11.1. The Employee’s employment hereunder (a) shall automatically terminate upon his death, (b) may terminate at any time during the Term at the option of the Company upon written notice to the Employee for Cause or without Cause, (c) may terminate at any time during the Term at the option of the Employee upon written notice to the Company for Good Reason or without Good Reason and (d) may terminate at the option of the Company in the event the Employee becomes Disabled, as provided for in Article 6.</w:t>
      </w:r>
    </w:p>
    <w:p>
      <w:pPr>
        <w:spacing w:after="0" w:line="130"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11.2. As used in this Agreement, “Cause” shall mean (a) the Employee’s conviction by a court of competent jurisdiction of the commission of any act in the performance of his duties constituting common law fraud or a felony, (b) the Employee’s commission of any act involving moral turpitude which the Company’s Board of Directors reasonably believes may have a material adverse effect on the Company and its subsidiaries taken as a whole (“Material Adverse Effect”), (c) any misrepresentation by the Employee (including, without limitation, a breach of any representation set forth in Section 13.1 hereof) which the Company’s Board of Directors reasonably believes may have a Material Adverse Effect, (d) any breach of any material covenant on the Employee’s part herein set forth (which breach, if curable, is not cured by the Employee within thirty (30) days of the Employee’s receipt of written notice thereof from the Company), or (e) the Employee’s engagement in gross negligence or willful misconduct which the Company’s Board of Directors reasonably believes may have a Material Adverse Effect. The parties agree that the term “Material Adverse Effect” includes the loss or suspension of any license for the Company or KINS to operate or any disqualification or suspension for the Employee to serve as an officer or director thereof under applicable law. No act or failure to act by the Executive shall be considered “Cause” if the Executive’s act or failure to act was based on authority or express direction given by the CEO or the advice of counsel for the Company.</w:t>
      </w:r>
    </w:p>
    <w:p>
      <w:pPr>
        <w:spacing w:after="0" w:line="114"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11.3. As used in this Agreement, “Good Reason” shall mean (a) any breach of any material obligation on the Company’s part (which breach, if curable, is not cured by the Company within thirty (30) days of the Company’s receipt of written notice thereof from the Employee),</w:t>
      </w:r>
    </w:p>
    <w:p>
      <w:pPr>
        <w:jc w:val="both"/>
        <w:ind w:left="4" w:hanging="4"/>
        <w:spacing w:after="0" w:line="255" w:lineRule="auto"/>
        <w:tabs>
          <w:tab w:leader="none" w:pos="25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material diminution in the Employee’s duties and responsibilities (other than following an event constituting Cause) in his capacity as President of the Company, (c) a change in the Employee's current reporting structure (other than following an event constituting Cause), or (d) a decrease in the compensation payable to the Employee from the compensation payable pursuant to this Agreement.</w:t>
      </w:r>
    </w:p>
    <w:p>
      <w:pPr>
        <w:spacing w:after="0" w:line="131"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11.4. In the event of the termination of the Employee’s employment by the Company for Cause or by the Employee without Good Reason, the Company shall have no further obligations to the Employee, and the Employee shall be entitled to no further compensation from the Company, except for any pro-rata amounts due to the Employee at such date of termination, as provided for in Section 4.2 hereof. In the event of the termination of the Employee’s employment by the Company for Cause or by the Employee without Good Reason, the amount to be paid to the Employee pursuant to this Section 11.4 shall constitute the sole and exclusive remedy of the Employee, and the Employee shall not be entitled to any other or further compensation, rights or benefits hereunder or otherwise.</w:t>
      </w:r>
    </w:p>
    <w:p>
      <w:pPr>
        <w:spacing w:after="0" w:line="200" w:lineRule="exact"/>
        <w:rPr>
          <w:sz w:val="20"/>
          <w:szCs w:val="20"/>
          <w:color w:val="auto"/>
        </w:rPr>
      </w:pPr>
    </w:p>
    <w:p>
      <w:pPr>
        <w:spacing w:after="0" w:line="339"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71" w:name="page172"/>
    <w:bookmarkEnd w:id="171"/>
    <w:p>
      <w:pPr>
        <w:jc w:val="both"/>
        <w:ind w:firstLine="648"/>
        <w:spacing w:after="0" w:line="253" w:lineRule="auto"/>
        <w:rPr>
          <w:sz w:val="20"/>
          <w:szCs w:val="20"/>
          <w:color w:val="auto"/>
        </w:rPr>
      </w:pPr>
      <w:r>
        <w:rPr>
          <w:rFonts w:ascii="Arial" w:cs="Arial" w:eastAsia="Arial" w:hAnsi="Arial"/>
          <w:sz w:val="18"/>
          <w:szCs w:val="18"/>
          <w:color w:val="auto"/>
        </w:rPr>
        <w:t>11.5. In the event of the termination of the Employee’s employment by the Company without Cause or by the Employee for Good Reason, as liquidated damages, the Employee shall be entitled to receive (a) the compensation to which he would have been entitled until the expiration of the Term pursuant to Section 4.2 hereof and (b) the Bonus compensation to which he is entitled to receive through the expiration of the Term pursuant to Section 4.3 hereof. The compensation payable pursuant to (a) above shall be payable to the Employee in accordance with the Company’s standard payroll practices as if his employment had continued. The amount to be paid to the Employee pursuant to this Section 11.5 shall constitute the sole and exclusive remedy of the Employee, and the Employee shall not be entitled to any other or further compensation, rights or benefits hereunder or otherwise.</w:t>
      </w:r>
    </w:p>
    <w:p>
      <w:pPr>
        <w:spacing w:after="0" w:line="1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11.6. In order to protect the Employee against the possible consequences and uncertainties of a Change of Control of the Company and thereby induce the Employee to remain in the employ of the Company, the Company agrees that:</w:t>
      </w:r>
    </w:p>
    <w:p>
      <w:pPr>
        <w:spacing w:after="0" w:line="118" w:lineRule="exact"/>
        <w:rPr>
          <w:sz w:val="20"/>
          <w:szCs w:val="20"/>
          <w:color w:val="auto"/>
        </w:rPr>
      </w:pPr>
    </w:p>
    <w:p>
      <w:pPr>
        <w:jc w:val="both"/>
        <w:ind w:firstLine="1293"/>
        <w:spacing w:after="0" w:line="288" w:lineRule="auto"/>
        <w:tabs>
          <w:tab w:leader="none" w:pos="21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during the Term, the Employee’s employment is terminated within eighteen (18) months subsequent to a Change of Control by the Company other than for Cause or by the Employee for Good Reason, the Company shall pay to the Employee an amount in cash equal to one and one-half (1.5) times the Base Salary (the “Change of Control Payment”). The Change of Control Payment shall be payable in one lump sum payment within ten (10) days following the date of termination of employment. In addition, in such event, the Company (or KINS) shall continue to pay for the Employee's health insurance premiums, including family coverage, for the remainder of the Term. The Change of Control Payment shall be in lieu of the amount payable to the Employee pursuant to Section 11.5 hereof; provided, however, that the Employee may elect to receive the amount payable pursuant to Section 11.5 hereof in lieu of the amount payable pursuant to this Section 11.6 The amount to be paid to the Employee pursuant to this Section 11.6 shall constitute the sole and exclusive remedy of the Employee, and the Employee shall not be entitled to any other or further compensation, rights or benefits hereunder or otherwise.</w:t>
      </w:r>
    </w:p>
    <w:p>
      <w:pPr>
        <w:spacing w:after="0" w:line="106" w:lineRule="exact"/>
        <w:rPr>
          <w:rFonts w:ascii="Arial" w:cs="Arial" w:eastAsia="Arial" w:hAnsi="Arial"/>
          <w:sz w:val="16"/>
          <w:szCs w:val="16"/>
          <w:color w:val="auto"/>
        </w:rPr>
      </w:pPr>
    </w:p>
    <w:p>
      <w:pPr>
        <w:ind w:left="1980" w:hanging="687"/>
        <w:spacing w:after="0"/>
        <w:tabs>
          <w:tab w:leader="none" w:pos="1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used in this Section 11.6, a “Change of Control” shall be deemed to have occurred if:</w:t>
      </w:r>
    </w:p>
    <w:p>
      <w:pPr>
        <w:spacing w:after="0" w:line="157" w:lineRule="exact"/>
        <w:rPr>
          <w:rFonts w:ascii="Arial" w:cs="Arial" w:eastAsia="Arial" w:hAnsi="Arial"/>
          <w:sz w:val="18"/>
          <w:szCs w:val="18"/>
          <w:color w:val="auto"/>
        </w:rPr>
      </w:pPr>
    </w:p>
    <w:p>
      <w:pPr>
        <w:jc w:val="both"/>
        <w:ind w:firstLine="1941"/>
        <w:spacing w:after="0" w:line="298" w:lineRule="auto"/>
        <w:tabs>
          <w:tab w:leader="none" w:pos="263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any “person” or “group of persons” (as such terms are used in Sections 13(d) and 14(d) of the Securities Exchange Act of 1934, as amended (the “1934 Act”) (other than the Employee or any “group of persons” that includes the Employee), becomes the “beneficial owner” (as defined in Rule 13d-3 promulgated under the 1934 Act), directly or indirectly, of securities of KINS representing more than twenty-five percent (25%) of KINS’s then outstanding securities having the right to vote on the election of directors (“Voting Securities”);</w:t>
      </w:r>
    </w:p>
    <w:p>
      <w:pPr>
        <w:spacing w:after="0" w:line="99" w:lineRule="exact"/>
        <w:rPr>
          <w:rFonts w:ascii="Arial" w:cs="Arial" w:eastAsia="Arial" w:hAnsi="Arial"/>
          <w:sz w:val="16"/>
          <w:szCs w:val="16"/>
          <w:color w:val="auto"/>
        </w:rPr>
      </w:pPr>
    </w:p>
    <w:p>
      <w:pPr>
        <w:jc w:val="both"/>
        <w:ind w:firstLine="1941"/>
        <w:spacing w:after="0" w:line="259" w:lineRule="auto"/>
        <w:tabs>
          <w:tab w:leader="none" w:pos="277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person or group of persons (other than persons whose Voting Securities of KINS would be excluded under clause (i) above) becomes the beneficial owner, directly or indirectly, of securities representing a majority of the then outstanding securities of the Company having the right to vote on the election of directors;</w:t>
      </w:r>
    </w:p>
    <w:p>
      <w:pPr>
        <w:spacing w:after="0" w:line="200" w:lineRule="exact"/>
        <w:rPr>
          <w:sz w:val="20"/>
          <w:szCs w:val="20"/>
          <w:color w:val="auto"/>
        </w:rPr>
      </w:pPr>
    </w:p>
    <w:p>
      <w:pPr>
        <w:spacing w:after="0" w:line="35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712" w:right="239" w:bottom="1440" w:gutter="0" w:footer="0" w:header="0"/>
        </w:sectPr>
      </w:pPr>
    </w:p>
    <w:bookmarkStart w:id="172" w:name="page173"/>
    <w:bookmarkEnd w:id="172"/>
    <w:p>
      <w:pPr>
        <w:jc w:val="both"/>
        <w:ind w:firstLine="1941"/>
        <w:spacing w:after="0" w:line="291" w:lineRule="auto"/>
        <w:tabs>
          <w:tab w:leader="none" w:pos="273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when individuals who, as of the date hereof, constitute the KINS Board (the “Incumbent KINS Board”) cease for any reason to constitute at least a majority of the KINS Board; provided, however, that any individual becoming a director subsequent to the date hereof whose election, or nomination for election by the stockholders of KINS, was approved by a vote of at least a majority of the directors then comprising the Incumbent KINS Board shall be considered as though such individual were a member of the Incumbent KINS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KINS Board;</w:t>
      </w:r>
    </w:p>
    <w:p>
      <w:pPr>
        <w:spacing w:after="0" w:line="106" w:lineRule="exact"/>
        <w:rPr>
          <w:rFonts w:ascii="Arial" w:cs="Arial" w:eastAsia="Arial" w:hAnsi="Arial"/>
          <w:sz w:val="16"/>
          <w:szCs w:val="16"/>
          <w:color w:val="auto"/>
        </w:rPr>
      </w:pPr>
    </w:p>
    <w:p>
      <w:pPr>
        <w:jc w:val="both"/>
        <w:ind w:firstLine="1941"/>
        <w:spacing w:after="0" w:line="255" w:lineRule="auto"/>
        <w:tabs>
          <w:tab w:leader="none" w:pos="27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KINS consummates a reorganization, merger or consolidation of KINS, with respect to which in each case all or substantially all of the Persons who were the beneficial owners of the Voting Securities of KINS immediately prior to such reorganization, merger or consolidation do not, following such reorganization, merger or consolidation, beneficially own, directly and indirectly, more than 50% of the then combined voting power of the then outstanding voting securities entitled to vote generally in the election of directors of the corporation or other Person resulting from such reorganization, merger of consolidation;</w:t>
      </w:r>
    </w:p>
    <w:p>
      <w:pPr>
        <w:spacing w:after="0" w:line="129" w:lineRule="exact"/>
        <w:rPr>
          <w:rFonts w:ascii="Arial" w:cs="Arial" w:eastAsia="Arial" w:hAnsi="Arial"/>
          <w:sz w:val="18"/>
          <w:szCs w:val="18"/>
          <w:color w:val="auto"/>
        </w:rPr>
      </w:pPr>
    </w:p>
    <w:p>
      <w:pPr>
        <w:jc w:val="both"/>
        <w:ind w:firstLine="1941"/>
        <w:spacing w:after="0" w:line="256" w:lineRule="auto"/>
        <w:tabs>
          <w:tab w:leader="none" w:pos="276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consummates a reorganization, merger or consolidation of the Company, with respect to which in each case KINS does not, following such reorganization, merger or consolidation, beneficially own, directly or indirectly, more than 50% of the then combined voting power of the then outstanding voting securities entitled to vote generally in the election of directors of the corporation or other Person resulting from such reorganization, merger or consolidation; or</w:t>
      </w:r>
    </w:p>
    <w:p>
      <w:pPr>
        <w:spacing w:after="0" w:line="129" w:lineRule="exact"/>
        <w:rPr>
          <w:rFonts w:ascii="Arial" w:cs="Arial" w:eastAsia="Arial" w:hAnsi="Arial"/>
          <w:sz w:val="18"/>
          <w:szCs w:val="18"/>
          <w:color w:val="auto"/>
        </w:rPr>
      </w:pPr>
    </w:p>
    <w:p>
      <w:pPr>
        <w:ind w:left="2820" w:hanging="879"/>
        <w:spacing w:after="0"/>
        <w:tabs>
          <w:tab w:leader="none" w:pos="28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or KINS consummates the sale or other disposition of all or substantially all of the assets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or KINS.</w:t>
      </w:r>
    </w:p>
    <w:p>
      <w:pPr>
        <w:spacing w:after="0" w:line="15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Notwithstanding the foregoing, no transaction or event shall constitute a Change of Control hereunder unless such transaction or event also constitutes a change in ownership or effective control of the Company or KINS within the meaning of Treasury Regulation Section 1.409A-3(i)(5)(v) or (vi)(A)(2).</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11.7. In the event of the death of the Employee during the Term, as liquidated damages, the Employee’s estate (the “Estate”) shall be entitled to receive (a) the Base Salary to which the Employee is entitled until the date of death of the Employee pursuant to Section 4.2; and (b) the Bonus compensation to which the Employee is entitled through the date of death (i.e., the Termination Date shall be considered the date of death). The amount to be paid to the Estate pursuant to this Section 11.7 shall constitute the sole and exclusive remedy of the Estate and any beneficiaries thereof, and neither the Estate nor any beneficiaries thereof shall be entitled to any other or further compensation, rights or benefits hereunder or otherwise, including pursuant to this Article 11.</w:t>
      </w:r>
    </w:p>
    <w:p>
      <w:pPr>
        <w:spacing w:after="0" w:line="200" w:lineRule="exact"/>
        <w:rPr>
          <w:sz w:val="20"/>
          <w:szCs w:val="20"/>
          <w:color w:val="auto"/>
        </w:rPr>
      </w:pPr>
    </w:p>
    <w:p>
      <w:pPr>
        <w:spacing w:after="0" w:line="3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712" w:right="239" w:bottom="1440" w:gutter="0" w:footer="0" w:header="0"/>
        </w:sectPr>
      </w:pPr>
    </w:p>
    <w:bookmarkStart w:id="173" w:name="page174"/>
    <w:bookmarkEnd w:id="173"/>
    <w:p>
      <w:pPr>
        <w:jc w:val="both"/>
        <w:ind w:left="4" w:firstLine="648"/>
        <w:spacing w:after="0" w:line="259" w:lineRule="auto"/>
        <w:rPr>
          <w:sz w:val="20"/>
          <w:szCs w:val="20"/>
          <w:color w:val="auto"/>
        </w:rPr>
      </w:pPr>
      <w:r>
        <w:rPr>
          <w:rFonts w:ascii="Arial" w:cs="Arial" w:eastAsia="Arial" w:hAnsi="Arial"/>
          <w:sz w:val="18"/>
          <w:szCs w:val="18"/>
          <w:color w:val="auto"/>
        </w:rPr>
        <w:t>11.8. The termination or expiration of this Agreement shall not affect the continuing operation and effect of Article 7 hereof, which shall continue in full force and effect according to its terms. In addition, the termination or expiration of this Agreement will not result in a termination or waiver of any rights and remedies that the Company may have under this Agreement and applicable law.</w:t>
      </w:r>
    </w:p>
    <w:p>
      <w:pPr>
        <w:spacing w:after="0" w:line="121" w:lineRule="exact"/>
        <w:rPr>
          <w:sz w:val="20"/>
          <w:szCs w:val="20"/>
          <w:color w:val="auto"/>
        </w:rPr>
      </w:pPr>
    </w:p>
    <w:p>
      <w:pPr>
        <w:ind w:left="764" w:hanging="764"/>
        <w:spacing w:after="0"/>
        <w:tabs>
          <w:tab w:leader="none" w:pos="764"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 REMEDIES</w:t>
      </w:r>
    </w:p>
    <w:p>
      <w:pPr>
        <w:spacing w:after="0" w:line="164" w:lineRule="exact"/>
        <w:rPr>
          <w:sz w:val="20"/>
          <w:szCs w:val="20"/>
          <w:color w:val="auto"/>
        </w:rPr>
      </w:pPr>
    </w:p>
    <w:p>
      <w:pPr>
        <w:jc w:val="both"/>
        <w:ind w:left="4" w:right="20" w:firstLine="648"/>
        <w:spacing w:after="0" w:line="306" w:lineRule="auto"/>
        <w:rPr>
          <w:sz w:val="20"/>
          <w:szCs w:val="20"/>
          <w:color w:val="auto"/>
        </w:rPr>
      </w:pPr>
      <w:r>
        <w:rPr>
          <w:rFonts w:ascii="Arial" w:cs="Arial" w:eastAsia="Arial" w:hAnsi="Arial"/>
          <w:sz w:val="16"/>
          <w:szCs w:val="16"/>
          <w:color w:val="auto"/>
        </w:rPr>
        <w:t>12.1. The Employee acknowledges and agrees that, in the event he shall violate or threaten to violate any of the restrictions of Article 3 or 7 hereof, the Company will be without an adequate remedy at law and will therefore be entitled to enforce such restrictions by temporary or permanent injunctive or mandatory relief in any court of competent jurisdiction without the necessity of proving monetary damages.</w:t>
      </w:r>
    </w:p>
    <w:p>
      <w:pPr>
        <w:spacing w:after="0" w:line="93" w:lineRule="exact"/>
        <w:rPr>
          <w:sz w:val="20"/>
          <w:szCs w:val="20"/>
          <w:color w:val="auto"/>
        </w:rPr>
      </w:pPr>
    </w:p>
    <w:p>
      <w:pPr>
        <w:ind w:left="644"/>
        <w:spacing w:after="0"/>
        <w:tabs>
          <w:tab w:leader="none" w:pos="1943"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The Employee agrees further that the Company shall have the following additional rights and remedies:</w:t>
      </w:r>
    </w:p>
    <w:p>
      <w:pPr>
        <w:spacing w:after="0" w:line="158" w:lineRule="exact"/>
        <w:rPr>
          <w:sz w:val="20"/>
          <w:szCs w:val="20"/>
          <w:color w:val="auto"/>
        </w:rPr>
      </w:pPr>
    </w:p>
    <w:p>
      <w:pPr>
        <w:jc w:val="both"/>
        <w:ind w:left="4" w:firstLine="1941"/>
        <w:spacing w:after="0" w:line="256" w:lineRule="auto"/>
        <w:tabs>
          <w:tab w:leader="none" w:pos="27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right and remedy to require the Employee to account for and pay over to the Company all monies and other consideration derived or received by him as the result of any transactions determined by an arbitrator or a court of competent jurisdiction to be a breach of any of the provisions of Section 7.1, and the Employee hereby agrees to account for and pay over such monies and other consideration to the Company; and</w:t>
      </w:r>
    </w:p>
    <w:p>
      <w:pPr>
        <w:spacing w:after="0" w:line="129" w:lineRule="exact"/>
        <w:rPr>
          <w:rFonts w:ascii="Arial" w:cs="Arial" w:eastAsia="Arial" w:hAnsi="Arial"/>
          <w:sz w:val="18"/>
          <w:szCs w:val="18"/>
          <w:color w:val="auto"/>
        </w:rPr>
      </w:pPr>
    </w:p>
    <w:p>
      <w:pPr>
        <w:jc w:val="both"/>
        <w:ind w:left="4" w:firstLine="1941"/>
        <w:spacing w:after="0" w:line="256" w:lineRule="auto"/>
        <w:tabs>
          <w:tab w:leader="none" w:pos="2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right to recover attorneys’ fees incurred in any action or proceeding in which it seeks to enforce its rights under Article 7 hereof and is successful on any grounds; provided, however, that, in the event the Employee is the prevailing party in any such action or proceeding, the Company will pay to the Employee all reasonable attorneys’ fees and costs incurred by the Employee in defending such action or proceeding.</w:t>
      </w:r>
    </w:p>
    <w:p>
      <w:pPr>
        <w:spacing w:after="0" w:line="130" w:lineRule="exact"/>
        <w:rPr>
          <w:sz w:val="20"/>
          <w:szCs w:val="20"/>
          <w:color w:val="auto"/>
        </w:rPr>
      </w:pPr>
    </w:p>
    <w:p>
      <w:pPr>
        <w:ind w:left="4" w:firstLine="648"/>
        <w:spacing w:after="0" w:line="332" w:lineRule="auto"/>
        <w:rPr>
          <w:sz w:val="20"/>
          <w:szCs w:val="20"/>
          <w:color w:val="auto"/>
        </w:rPr>
      </w:pPr>
      <w:r>
        <w:rPr>
          <w:rFonts w:ascii="Arial" w:cs="Arial" w:eastAsia="Arial" w:hAnsi="Arial"/>
          <w:sz w:val="16"/>
          <w:szCs w:val="16"/>
          <w:color w:val="auto"/>
        </w:rPr>
        <w:t>12.3. Each of the rights and remedies enumerated above shall be independent of the other, and shall be severally enforceable, and all of such rights and remedies shall be in addition to, and not in lieu of, any other rights and remedies available to the Company under law or in equity.</w:t>
      </w:r>
    </w:p>
    <w:p>
      <w:pPr>
        <w:spacing w:after="0" w:line="66" w:lineRule="exact"/>
        <w:rPr>
          <w:sz w:val="20"/>
          <w:szCs w:val="20"/>
          <w:color w:val="auto"/>
        </w:rPr>
      </w:pPr>
    </w:p>
    <w:p>
      <w:pPr>
        <w:ind w:left="764" w:hanging="764"/>
        <w:spacing w:after="0"/>
        <w:tabs>
          <w:tab w:leader="none" w:pos="76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RESTRICTIONS</w:t>
      </w:r>
    </w:p>
    <w:p>
      <w:pPr>
        <w:spacing w:after="0" w:line="164"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13.1. The Employee hereby represents that neither the execution of this Agreement nor his performance hereunder will (a) violate, conflict with or result in a breach of any provision of, or constitute a default (or an event which, with notice or lapse of time or both, would constitute a default) under the terms, conditions or provisions of any contract, agreement or other instrument or obligation to which the Employee is a party, or by which he may be bound, or (b) violate any order, judgment, writ, injunction or decree applicable to the Employee. In the event of a breach hereof, in addition to the Company’s right to terminate this Agreement, the Employee shall indemnify the Company and hold it harmless from and against any and all claims, losses, liabilities, costs and expenses (including reasonable attorneys’ fees) incurred or suffered in connection with or as a result of the Company’s entering into this Agreement or employing the Employee hereunder.</w:t>
      </w:r>
    </w:p>
    <w:p>
      <w:pPr>
        <w:spacing w:after="0" w:line="200" w:lineRule="exact"/>
        <w:rPr>
          <w:sz w:val="20"/>
          <w:szCs w:val="20"/>
          <w:color w:val="auto"/>
        </w:rPr>
      </w:pPr>
    </w:p>
    <w:p>
      <w:pPr>
        <w:spacing w:after="0" w:line="33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12" w:right="239" w:bottom="1440" w:gutter="0" w:footer="0" w:header="0"/>
        </w:sectPr>
      </w:pPr>
    </w:p>
    <w:bookmarkStart w:id="174" w:name="page175"/>
    <w:bookmarkEnd w:id="174"/>
    <w:p>
      <w:pPr>
        <w:ind w:left="1344" w:hanging="695"/>
        <w:spacing w:after="0"/>
        <w:tabs>
          <w:tab w:leader="none" w:pos="134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164"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14.1. Except with regard to Section 12.1 hereof and any other matters that are not a proper subject of arbitration, all disputes between the parties hereto concerning the performance, breach, construction or interpretation of this Agreement or any portion thereof, or in any manner arising out of this Agreement or the performance thereof, shall be submitted to binding arbitration, in accordance with the rules of the American Arbitration Association. The arbitration proceeding shall take place at a mutually agreeable location in Nassau County, New York or such other location as agreed to by the parties.</w:t>
      </w:r>
    </w:p>
    <w:p>
      <w:pPr>
        <w:spacing w:after="0" w:line="129" w:lineRule="exact"/>
        <w:rPr>
          <w:sz w:val="20"/>
          <w:szCs w:val="20"/>
          <w:color w:val="auto"/>
        </w:rPr>
      </w:pPr>
    </w:p>
    <w:p>
      <w:pPr>
        <w:jc w:val="both"/>
        <w:ind w:left="4" w:firstLine="648"/>
        <w:spacing w:after="0" w:line="332" w:lineRule="auto"/>
        <w:rPr>
          <w:sz w:val="20"/>
          <w:szCs w:val="20"/>
          <w:color w:val="auto"/>
        </w:rPr>
      </w:pPr>
      <w:r>
        <w:rPr>
          <w:rFonts w:ascii="Arial" w:cs="Arial" w:eastAsia="Arial" w:hAnsi="Arial"/>
          <w:sz w:val="16"/>
          <w:szCs w:val="16"/>
          <w:color w:val="auto"/>
        </w:rPr>
        <w:t>14.2. The award rendered by the arbitrator shall be final, binding and conclusive, shall be specifically enforceable, and judgment may be entered upon it in accordance with applicable law in an appropriate court in the State of New York, with no right of appeal therefrom.</w:t>
      </w:r>
    </w:p>
    <w:p>
      <w:pPr>
        <w:spacing w:after="0" w:line="72"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6"/>
          <w:szCs w:val="16"/>
          <w:color w:val="auto"/>
        </w:rPr>
        <w:t>14.3. Each party shall pay its or his own expenses of arbitration, and the expenses of the arbitrator and the arbitration proceeding shall be equally shared; provided, however, that, if, in the opinion of the arbitrator (or a majority of the arbitrators if more than one), any claim or defense was unreasonable, the arbitrator(s) may assess, as part of their award, all or any part of the arbitration expenses of the other party (including reasonable attorneys’ fees) and of the arbitrator(s) and the arbitration proceeding against the party raising such unreasonable claim or defense; provided, further, that, if the arbitration proceeding relates to the issue of Cause for termination of employment, (a) if, in the opinion of the arbitrator (or a majority of the arbitrators if more than one), Cause existed, the arbitrator(s) shall assess, as part of their award, all of the arbitration expenses of the Company (including reasonable attorneys’ fees) and of the arbitrator(s) and the arbitration proceeding against the Employee or (b) if, in the opinion of the arbitrator (or a majority of the arbitrators if more than one), Cause did not exist, the arbitrator(s) shall assess, as part of their award, all of the arbitration expenses of the Employee (including reasonable attorneys’ fees) and of the arbitrator(s) and the arbitration proceeding against the Company.</w:t>
      </w:r>
    </w:p>
    <w:p>
      <w:pPr>
        <w:spacing w:after="0" w:line="100" w:lineRule="exact"/>
        <w:rPr>
          <w:sz w:val="20"/>
          <w:szCs w:val="20"/>
          <w:color w:val="auto"/>
        </w:rPr>
      </w:pPr>
    </w:p>
    <w:p>
      <w:pPr>
        <w:ind w:left="764" w:hanging="764"/>
        <w:spacing w:after="0"/>
        <w:tabs>
          <w:tab w:leader="none" w:pos="764"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SECTIONS 409A, 280G AND 4999</w:t>
      </w:r>
      <w:r>
        <w:rPr>
          <w:rFonts w:ascii="Arial" w:cs="Arial" w:eastAsia="Arial" w:hAnsi="Arial"/>
          <w:sz w:val="18"/>
          <w:szCs w:val="18"/>
          <w:color w:val="auto"/>
        </w:rPr>
        <w:t>.</w:t>
      </w:r>
    </w:p>
    <w:p>
      <w:pPr>
        <w:spacing w:after="0" w:line="164"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15.1. The intent of the parties is that payments and benefits under this Agreement comply with Section 409A of the Code (together with the regulations and guidance promulgated thereunder, “Code Section 409A”),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parties hereto of the applicable provision without violating the provisions of Code Section 409A. In no event whatsoever shall the Company be liable for any additional tax, interest or penalty that may be imposed on the Employee by Code Section 409A as a result of the Company’s compliance with the terms of this Agreement.</w:t>
      </w:r>
    </w:p>
    <w:p>
      <w:pPr>
        <w:spacing w:after="0" w:line="200" w:lineRule="exact"/>
        <w:rPr>
          <w:sz w:val="20"/>
          <w:szCs w:val="20"/>
          <w:color w:val="auto"/>
        </w:rPr>
      </w:pPr>
    </w:p>
    <w:p>
      <w:pPr>
        <w:spacing w:after="0" w:line="3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75" w:name="page176"/>
    <w:bookmarkEnd w:id="175"/>
    <w:p>
      <w:pPr>
        <w:jc w:val="both"/>
        <w:ind w:firstLine="648"/>
        <w:spacing w:after="0" w:line="286" w:lineRule="auto"/>
        <w:rPr>
          <w:sz w:val="20"/>
          <w:szCs w:val="20"/>
          <w:color w:val="auto"/>
        </w:rPr>
      </w:pPr>
      <w:r>
        <w:rPr>
          <w:rFonts w:ascii="Arial" w:cs="Arial" w:eastAsia="Arial" w:hAnsi="Arial"/>
          <w:sz w:val="16"/>
          <w:szCs w:val="16"/>
          <w:color w:val="auto"/>
        </w:rPr>
        <w:t>15.2. A termination of employment shall not be deemed to have occurred for purposes of any provision of this Agreement providing for the payment of any amounts or benefits constituting deferred compensation under Code Section 409A upon or following a termination of employment unless such termination of employment is also a “separation from service” within the meaning of Code Section 409A and, for purposes of any such provision of this Agreement, references to a termination of employment or like terms shall mean “separation from service.” If the Employee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be made or provided at the date which is the earlier of (i) the expiration of the six (6) month period measured from the date of such “separation from service” of the Employee, and (ii) the date of the Employee’s death (the “Delay Period”). Upon the expiration of the Delay Period, all payments and benefits delayed pursuant to this Section 15.2 (whether they would have otherwise been payable in a single sum or in installments in the absence of such delay) shall be paid or reimbursed to the Employee in a lump sum, and any remaining payments and benefits due under this Agreement shall be paid or provided in accordance with the normal payment dates specified herein.</w:t>
      </w:r>
    </w:p>
    <w:p>
      <w:pPr>
        <w:spacing w:after="0" w:line="1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15.3. All expenses or other reimbursements under this Agreement shall be made on or prior to the last day of the taxable year following the taxable year in which such expenses were incurred by the Employee (provided that if any such reimbursements constitute taxable income to the Employee,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15.4. For purposes of Code Section 409A, the Employee’s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sixty (60) days”), the actual date of payment within the specified period shall be within the sole discretion of the Company.</w:t>
      </w:r>
    </w:p>
    <w:p>
      <w:pPr>
        <w:spacing w:after="0" w:line="130" w:lineRule="exact"/>
        <w:rPr>
          <w:sz w:val="20"/>
          <w:szCs w:val="20"/>
          <w:color w:val="auto"/>
        </w:rPr>
      </w:pPr>
    </w:p>
    <w:p>
      <w:pPr>
        <w:ind w:left="640"/>
        <w:spacing w:after="0"/>
        <w:tabs>
          <w:tab w:leader="none" w:pos="200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In no event shall any payment under this Agreement that constitutes “deferred compensation” for purposes of Code Section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409A be offset by any other payment pursuant to this Agreement or otherwise.</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15.6. Notwithstanding any other provisions of this Agreement to the contrary, in the event that any payments or benefits received or to be received by the Employee in connection with the Employee’s employment with the Company (or termination thereof) would subject the Employee to the excise tax imposed under Section 280G or 4999 of the Code (the “Excise Tax”), and, if the net-after tax amount (taking into account all applicable taxes payable by the Employee, including any Excise Tax) that the Employee would receive with respect to such payments or benefits does not exceed the net-after tax amount the Employee would receive if the amount of such payment and benefits were reduced to the maximum amount which could otherwise be payable to the Employee without the imposition of the Excise Tax, then, to the extent necessary to eliminate the imposition of the Excise Tax, (i) such cash payments and benefits shall first be reduced (if necessary, to zero) and (ii) all other non-cash payments and benefits shall next be reduced. The determination of whether any reduction in such payments or benefits to be provided under this Agreement or otherwise is required pursuant to the preceding sentence will be made at the expense of the Company by independent accountants or benefits consultants selected by the Company, and the Employee shall have the right to review such determination.</w:t>
      </w:r>
    </w:p>
    <w:p>
      <w:pPr>
        <w:spacing w:after="0" w:line="200" w:lineRule="exact"/>
        <w:rPr>
          <w:sz w:val="20"/>
          <w:szCs w:val="20"/>
          <w:color w:val="auto"/>
        </w:rPr>
      </w:pPr>
    </w:p>
    <w:p>
      <w:pPr>
        <w:spacing w:after="0" w:line="3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712" w:right="239" w:bottom="1440" w:gutter="0" w:footer="0" w:header="0"/>
        </w:sectPr>
      </w:pPr>
    </w:p>
    <w:bookmarkStart w:id="176" w:name="page177"/>
    <w:bookmarkEnd w:id="176"/>
    <w:p>
      <w:pPr>
        <w:ind w:left="764" w:hanging="764"/>
        <w:spacing w:after="0"/>
        <w:tabs>
          <w:tab w:leader="none" w:pos="764"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164" w:lineRule="exact"/>
        <w:rPr>
          <w:sz w:val="20"/>
          <w:szCs w:val="20"/>
          <w:color w:val="auto"/>
        </w:rPr>
      </w:pPr>
    </w:p>
    <w:p>
      <w:pPr>
        <w:ind w:left="4" w:firstLine="648"/>
        <w:spacing w:after="0" w:line="268" w:lineRule="auto"/>
        <w:rPr>
          <w:sz w:val="20"/>
          <w:szCs w:val="20"/>
          <w:color w:val="auto"/>
        </w:rPr>
      </w:pPr>
      <w:r>
        <w:rPr>
          <w:rFonts w:ascii="Arial" w:cs="Arial" w:eastAsia="Arial" w:hAnsi="Arial"/>
          <w:sz w:val="18"/>
          <w:szCs w:val="18"/>
          <w:color w:val="auto"/>
        </w:rPr>
        <w:t>16.1. This Agreement, as it relates to the employment of the Employee, is a personal contract and the rights and interests of the Employee hereunder may not be sold, transferred, assigned, pledged or hypothecated.</w:t>
      </w:r>
    </w:p>
    <w:p>
      <w:pPr>
        <w:spacing w:after="0" w:line="112" w:lineRule="exact"/>
        <w:rPr>
          <w:sz w:val="20"/>
          <w:szCs w:val="20"/>
          <w:color w:val="auto"/>
        </w:rPr>
      </w:pPr>
    </w:p>
    <w:p>
      <w:pPr>
        <w:ind w:left="764" w:hanging="764"/>
        <w:spacing w:after="0"/>
        <w:tabs>
          <w:tab w:leader="none" w:pos="764"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6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17.1. Any notice required or permitted to be given pursuant to this Agreement shall be deemed to have been duly given when delivered by hand or sent by certified or registered mail, return receipt requested and postage prepaid, overnight mail or courier, e-mail, or fax as follows:</w:t>
      </w:r>
    </w:p>
    <w:p>
      <w:pPr>
        <w:spacing w:after="0" w:line="12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to the Employee:</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212 Third Street</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Milford, PA 18337</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Dale.thatcher@atherstonepartners.com</w:t>
      </w:r>
    </w:p>
    <w:p>
      <w:pPr>
        <w:spacing w:after="0" w:line="21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Sidley Austin LLP</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Eric Hoffman, Esq.</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Eric.hoffman@sidley.com</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Fax Number: (212) 839-5599</w:t>
      </w:r>
    </w:p>
    <w:p>
      <w:pPr>
        <w:spacing w:after="0" w:line="21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c/o Victor Brodsky</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Chairman, Compensation Committee</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15 Joys Lane</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Kingston, New York 12401</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0000FF"/>
        </w:rPr>
        <w:t>vbrodsky@kingstonecompanies.com</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Fax Number: (845) 853-1890</w:t>
      </w:r>
    </w:p>
    <w:p>
      <w:pPr>
        <w:spacing w:after="0" w:line="21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Certilman Balin Adler &amp; Hyman, LLP</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90 Merrick Avenue</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East Meadow, New York 11554</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Fred Skolnik, Esq.</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0000FF"/>
        </w:rPr>
        <w:t>fskolnik@certilmanbalin.com</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Fax Number: (516) 296-7111</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at such other address as any party shall designate by notice to the other party given in accordance with this Section 17.1.</w:t>
      </w:r>
    </w:p>
    <w:p>
      <w:pPr>
        <w:spacing w:after="0" w:line="37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77" w:name="page178"/>
    <w:bookmarkEnd w:id="177"/>
    <w:p>
      <w:pPr>
        <w:ind w:left="764" w:hanging="764"/>
        <w:spacing w:after="0"/>
        <w:tabs>
          <w:tab w:leader="none" w:pos="76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64" w:lineRule="exact"/>
        <w:rPr>
          <w:sz w:val="20"/>
          <w:szCs w:val="20"/>
          <w:color w:val="auto"/>
        </w:rPr>
      </w:pPr>
    </w:p>
    <w:p>
      <w:pPr>
        <w:ind w:left="4" w:firstLine="648"/>
        <w:spacing w:after="0" w:line="268" w:lineRule="auto"/>
        <w:rPr>
          <w:sz w:val="20"/>
          <w:szCs w:val="20"/>
          <w:color w:val="auto"/>
        </w:rPr>
      </w:pPr>
      <w:r>
        <w:rPr>
          <w:rFonts w:ascii="Arial" w:cs="Arial" w:eastAsia="Arial" w:hAnsi="Arial"/>
          <w:sz w:val="18"/>
          <w:szCs w:val="18"/>
          <w:color w:val="auto"/>
        </w:rPr>
        <w:t>18.1. This Agreement shall be governed by, and construed and enforced in accordance with, the laws of the State of New York applicable to agreements made and to be performed entirely in New York without regard to conflicts of laws principles.</w:t>
      </w:r>
    </w:p>
    <w:p>
      <w:pPr>
        <w:spacing w:after="0" w:line="112" w:lineRule="exact"/>
        <w:rPr>
          <w:sz w:val="20"/>
          <w:szCs w:val="20"/>
          <w:color w:val="auto"/>
        </w:rPr>
      </w:pPr>
    </w:p>
    <w:p>
      <w:pPr>
        <w:ind w:left="764" w:hanging="764"/>
        <w:spacing w:after="0"/>
        <w:tabs>
          <w:tab w:leader="none" w:pos="76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 PARTIAL INVALIDITY</w:t>
      </w:r>
    </w:p>
    <w:p>
      <w:pPr>
        <w:spacing w:after="0" w:line="164"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19.1. The waiver by either party of a breach of any provision of this Agreement shall not operate or be construed as a waiver of any subsequent breach. If any provision, or part thereof, of this Agreement shall be held to be invalid or unenforceable, such invalidity or unenforceability shall attach only to such provision and not in any way affect or render invalid or unenforceable any other provisions of this Agreement, and this Agreement shall be carried out as if such invalid or unenforceable provision, or part thereof, had been reformed, and any court of competent jurisdiction or arbitrators, as the case may be, are authorized to so reform such invalid or unenforceable provision, or part thereof, so that it would be valid, legal and enforceable to the fullest extent permitted by applicable law.</w:t>
      </w:r>
    </w:p>
    <w:p>
      <w:pPr>
        <w:spacing w:after="0" w:line="101" w:lineRule="exact"/>
        <w:rPr>
          <w:sz w:val="20"/>
          <w:szCs w:val="20"/>
          <w:color w:val="auto"/>
        </w:rPr>
      </w:pPr>
    </w:p>
    <w:p>
      <w:pPr>
        <w:ind w:left="764" w:hanging="764"/>
        <w:spacing w:after="0"/>
        <w:tabs>
          <w:tab w:leader="none" w:pos="76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p>
    <w:p>
      <w:pPr>
        <w:spacing w:after="0" w:line="164"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20.1. This Agreement constitutes the entire agreement between the parties with respect to the subject matter hereof and there are no representations, warranties or commitments except as set forth herein. This Agreement supersedes all prior agreements, understandings, negotiations and discussions, whether written or oral, of the parties hereto relating to the subject matter hereof. This Agreement may be amended, and any provision hereof waived, only by a writing executed by the party sought to be charged. No amendment or waiver on the part of the Company shall be valid unless approved by its Board.</w:t>
      </w:r>
    </w:p>
    <w:p>
      <w:pPr>
        <w:spacing w:after="0" w:line="123" w:lineRule="exact"/>
        <w:rPr>
          <w:sz w:val="20"/>
          <w:szCs w:val="20"/>
          <w:color w:val="auto"/>
        </w:rPr>
      </w:pPr>
    </w:p>
    <w:p>
      <w:pPr>
        <w:ind w:left="764" w:hanging="764"/>
        <w:spacing w:after="0"/>
        <w:tabs>
          <w:tab w:leader="none" w:pos="76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164" w:lineRule="exact"/>
        <w:rPr>
          <w:sz w:val="20"/>
          <w:szCs w:val="20"/>
          <w:color w:val="auto"/>
        </w:rPr>
      </w:pPr>
    </w:p>
    <w:p>
      <w:pPr>
        <w:ind w:left="4" w:firstLine="648"/>
        <w:spacing w:after="0" w:line="268" w:lineRule="auto"/>
        <w:rPr>
          <w:sz w:val="20"/>
          <w:szCs w:val="20"/>
          <w:color w:val="auto"/>
        </w:rPr>
      </w:pPr>
      <w:r>
        <w:rPr>
          <w:rFonts w:ascii="Arial" w:cs="Arial" w:eastAsia="Arial" w:hAnsi="Arial"/>
          <w:sz w:val="18"/>
          <w:szCs w:val="18"/>
          <w:color w:val="auto"/>
        </w:rPr>
        <w:t>21.1. This Agreement may be executed in one or more counterparts, each of which shall be deemed an original, and all of which taken together shall constitute one and the same instrument.</w:t>
      </w:r>
    </w:p>
    <w:p>
      <w:pPr>
        <w:spacing w:after="0" w:line="112" w:lineRule="exact"/>
        <w:rPr>
          <w:sz w:val="20"/>
          <w:szCs w:val="20"/>
          <w:color w:val="auto"/>
        </w:rPr>
      </w:pPr>
    </w:p>
    <w:p>
      <w:pPr>
        <w:ind w:left="764" w:hanging="764"/>
        <w:spacing w:after="0"/>
        <w:tabs>
          <w:tab w:leader="none" w:pos="76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 AND EMAIL SIGNATURES</w:t>
      </w:r>
    </w:p>
    <w:p>
      <w:pPr>
        <w:spacing w:after="0" w:line="164" w:lineRule="exact"/>
        <w:rPr>
          <w:sz w:val="20"/>
          <w:szCs w:val="20"/>
          <w:color w:val="auto"/>
        </w:rPr>
      </w:pPr>
    </w:p>
    <w:p>
      <w:pPr>
        <w:ind w:left="644"/>
        <w:spacing w:after="0"/>
        <w:tabs>
          <w:tab w:leader="none" w:pos="1943"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Signatures hereon which are transmitted via facsimile or email shall be deemed original signatures.</w:t>
      </w:r>
    </w:p>
    <w:p>
      <w:pPr>
        <w:spacing w:after="0" w:line="152" w:lineRule="exact"/>
        <w:rPr>
          <w:sz w:val="20"/>
          <w:szCs w:val="20"/>
          <w:color w:val="auto"/>
        </w:rPr>
      </w:pPr>
    </w:p>
    <w:p>
      <w:pPr>
        <w:ind w:left="764" w:hanging="764"/>
        <w:spacing w:after="0"/>
        <w:tabs>
          <w:tab w:leader="none" w:pos="76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164"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23.1. In addition to the right to indemnification conferred in Article X of the By-Laws of the Company, as amended (the “By-Laws”), the Employee shall have the right to have his expenses (including reasonable attorneys’ fees) incurred in defending any action or proceeding as to which the Employee is entitled to be indemnified in advance of its final disposition advanced and paid promptly as set forth below upon incurring such expenses; provided, however, that an advancement of expenses incurred by the Employee shall be made only upon delivery to the Company of an undertaking by the Employee to repay all amounts so advanced if it shall ultimately be determined by final judicial decision from which there is no further right to appeal that the Employee is not entitled to be indemnified for such expenses under the By-Laws. The Company shall make advance payments of such expenses (including reasonable attorneys' fees) incurred within thirty (30) days of the Employee’s presentation of an invoice for such expenses.</w:t>
      </w:r>
    </w:p>
    <w:p>
      <w:pPr>
        <w:spacing w:after="0" w:line="200" w:lineRule="exact"/>
        <w:rPr>
          <w:sz w:val="20"/>
          <w:szCs w:val="20"/>
          <w:color w:val="auto"/>
        </w:rPr>
      </w:pPr>
    </w:p>
    <w:p>
      <w:pPr>
        <w:spacing w:after="0" w:line="36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78" w:name="page179"/>
    <w:bookmarkEnd w:id="178"/>
    <w:p>
      <w:pPr>
        <w:ind w:left="764" w:hanging="764"/>
        <w:spacing w:after="0"/>
        <w:tabs>
          <w:tab w:leader="none" w:pos="76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w:t>
      </w:r>
    </w:p>
    <w:p>
      <w:pPr>
        <w:spacing w:after="0" w:line="164" w:lineRule="exact"/>
        <w:rPr>
          <w:sz w:val="20"/>
          <w:szCs w:val="20"/>
          <w:color w:val="auto"/>
        </w:rPr>
      </w:pPr>
    </w:p>
    <w:p>
      <w:pPr>
        <w:ind w:left="644"/>
        <w:spacing w:after="0"/>
        <w:tabs>
          <w:tab w:leader="none" w:pos="1943"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All references in this Agreement to “includes” and “including” shall be construed to include the words “without limitation.</w:t>
      </w:r>
    </w:p>
    <w:p>
      <w:pPr>
        <w:spacing w:after="0" w:line="152" w:lineRule="exact"/>
        <w:rPr>
          <w:sz w:val="20"/>
          <w:szCs w:val="20"/>
          <w:color w:val="auto"/>
        </w:rPr>
      </w:pPr>
    </w:p>
    <w:p>
      <w:pPr>
        <w:ind w:left="764" w:hanging="764"/>
        <w:spacing w:after="0"/>
        <w:tabs>
          <w:tab w:leader="none" w:pos="76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 BY COUNSEL; INTERPRETATION</w:t>
      </w:r>
    </w:p>
    <w:p>
      <w:pPr>
        <w:spacing w:after="0" w:line="164"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25.1. The Employee acknowledges that he has been represented by counsel in connection with this Agreement. Accordingly, any rule of law or any legal decision that would require the interpretation of any claimed ambiguities in this Agreement against the party that drafted it has no application and is expressly waived by the Employee. The provisions of this Agreement shall be interpreted in a reasonable manner to give effect to the intent of the parties hereto.</w:t>
      </w:r>
    </w:p>
    <w:p>
      <w:pPr>
        <w:spacing w:after="0" w:line="124" w:lineRule="exact"/>
        <w:rPr>
          <w:sz w:val="20"/>
          <w:szCs w:val="20"/>
          <w:color w:val="auto"/>
        </w:rPr>
      </w:pPr>
    </w:p>
    <w:p>
      <w:pPr>
        <w:ind w:left="764" w:hanging="764"/>
        <w:spacing w:after="0"/>
        <w:tabs>
          <w:tab w:leader="none" w:pos="764"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p>
    <w:p>
      <w:pPr>
        <w:spacing w:after="0" w:line="164" w:lineRule="exact"/>
        <w:rPr>
          <w:sz w:val="20"/>
          <w:szCs w:val="20"/>
          <w:color w:val="auto"/>
        </w:rPr>
      </w:pPr>
    </w:p>
    <w:p>
      <w:pPr>
        <w:ind w:left="4" w:firstLine="648"/>
        <w:spacing w:after="0" w:line="268" w:lineRule="auto"/>
        <w:rPr>
          <w:sz w:val="20"/>
          <w:szCs w:val="20"/>
          <w:color w:val="auto"/>
        </w:rPr>
      </w:pPr>
      <w:r>
        <w:rPr>
          <w:rFonts w:ascii="Arial" w:cs="Arial" w:eastAsia="Arial" w:hAnsi="Arial"/>
          <w:sz w:val="18"/>
          <w:szCs w:val="18"/>
          <w:color w:val="auto"/>
        </w:rPr>
        <w:t>26.1. The headings and captions under articles and sections of this Agreement are for convenience of reference only and do not in any way modify, interpret or construe the intent of the parties or affect any of the provisions of this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 Signature page follows.]</w:t>
      </w:r>
    </w:p>
    <w:p>
      <w:pPr>
        <w:spacing w:after="0" w:line="37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79" w:name="page180"/>
    <w:bookmarkEnd w:id="179"/>
    <w:p>
      <w:pPr>
        <w:spacing w:after="0"/>
        <w:rPr>
          <w:sz w:val="20"/>
          <w:szCs w:val="20"/>
          <w:color w:val="auto"/>
        </w:rPr>
      </w:pPr>
      <w:r>
        <w:rPr>
          <w:rFonts w:ascii="Arial" w:cs="Arial" w:eastAsia="Arial" w:hAnsi="Arial"/>
          <w:sz w:val="15"/>
          <w:szCs w:val="15"/>
          <w:color w:val="auto"/>
        </w:rPr>
        <w:t>IN WITNESS WHEREOF, the undersigned have executed this Agreement as of the day and year above written.</w:t>
      </w:r>
    </w:p>
    <w:p>
      <w:pPr>
        <w:sectPr>
          <w:pgSz w:w="11900" w:h="16838" w:orient="portrait"/>
          <w:cols w:equalWidth="0" w:num="1">
            <w:col w:w="9559"/>
          </w:cols>
          <w:pgMar w:left="900" w:top="347" w:right="1440" w:bottom="1440" w:gutter="0" w:footer="0" w:header="0"/>
        </w:sectPr>
      </w:pPr>
    </w:p>
    <w:p>
      <w:pPr>
        <w:spacing w:after="0" w:line="1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KINGSTONE INSURANCE COMPANY</w:t>
      </w:r>
    </w:p>
    <w:p>
      <w:pPr>
        <w:spacing w:after="0" w:line="200" w:lineRule="exact"/>
        <w:rPr>
          <w:sz w:val="20"/>
          <w:szCs w:val="20"/>
          <w:color w:val="auto"/>
        </w:rPr>
      </w:pPr>
    </w:p>
    <w:p>
      <w:pPr>
        <w:spacing w:after="0" w:line="26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Barry B. Goldstein</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Dale A. Thatcher</w:t>
      </w:r>
    </w:p>
    <w:p>
      <w:pPr>
        <w:spacing w:after="0" w:line="200" w:lineRule="exact"/>
        <w:rPr>
          <w:sz w:val="20"/>
          <w:szCs w:val="20"/>
          <w:color w:val="auto"/>
        </w:rPr>
      </w:pPr>
    </w:p>
    <w:p>
      <w:pPr>
        <w:spacing w:after="0" w:line="3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347" w:right="1440"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REGISTERED PUBLIC ACCOUNTING FIRM’S CONSENT</w:t>
      </w:r>
    </w:p>
    <w:p>
      <w:pPr>
        <w:spacing w:after="0" w:line="200" w:lineRule="exact"/>
        <w:rPr>
          <w:sz w:val="20"/>
          <w:szCs w:val="20"/>
          <w:color w:val="auto"/>
        </w:rPr>
      </w:pPr>
    </w:p>
    <w:p>
      <w:pPr>
        <w:spacing w:after="0" w:line="24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of Kingstone Companies, Inc. on Form S-3 (No. 333-134102, No. 333-215426 and 333-221615) and Form S-8 (No. 333-132898, No. 333-173351, No. 333-191366 and No. 333-207986) of our report dated March 15, 2018, with respect to our audits of the consolidated financial statements of Kingstone Companies, Inc. and Subsidiaries as of December 31, 2017 and 2016 and for the years then ended, and our report dated March 15, 2018 with respect to our audit of the effectiveness of internal control over financial reporting of Kingstone Companies, Inc. as of December 31, 2017, which reports are included in this Annual Report on Form 10-K of Kingstone Companies, Inc. for the year ended December 31, 2017.</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1040" w:hanging="1032"/>
        <w:spacing w:after="0"/>
        <w:tabs>
          <w:tab w:leader="none" w:pos="10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Kingstone Companies, Inc.;</w:t>
      </w:r>
    </w:p>
    <w:p>
      <w:pPr>
        <w:spacing w:after="0" w:line="225" w:lineRule="exact"/>
        <w:rPr>
          <w:rFonts w:ascii="Arial" w:cs="Arial" w:eastAsia="Arial" w:hAnsi="Arial"/>
          <w:sz w:val="18"/>
          <w:szCs w:val="18"/>
          <w:color w:val="auto"/>
        </w:rPr>
      </w:pPr>
    </w:p>
    <w:p>
      <w:pPr>
        <w:jc w:val="both"/>
        <w:ind w:left="1040" w:hanging="1032"/>
        <w:spacing w:after="0" w:line="259" w:lineRule="auto"/>
        <w:tabs>
          <w:tab w:leader="none" w:pos="10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1040" w:hanging="1032"/>
        <w:spacing w:after="0" w:line="332" w:lineRule="auto"/>
        <w:tabs>
          <w:tab w:leader="none" w:pos="10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1040" w:hanging="1032"/>
        <w:spacing w:after="0" w:line="259" w:lineRule="auto"/>
        <w:tabs>
          <w:tab w:leader="none" w:pos="10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2080" w:hanging="1032"/>
        <w:spacing w:after="0" w:line="306" w:lineRule="auto"/>
        <w:tabs>
          <w:tab w:leader="none" w:pos="20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2080" w:hanging="1032"/>
        <w:spacing w:after="0" w:line="306" w:lineRule="auto"/>
        <w:tabs>
          <w:tab w:leader="none" w:pos="20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jc w:val="both"/>
        <w:ind w:left="2080" w:hanging="1032"/>
        <w:spacing w:after="0" w:line="259" w:lineRule="auto"/>
        <w:tabs>
          <w:tab w:leader="none" w:pos="20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jc w:val="both"/>
        <w:ind w:left="2080" w:hanging="1032"/>
        <w:spacing w:after="0" w:line="306" w:lineRule="auto"/>
        <w:tabs>
          <w:tab w:leader="none" w:pos="20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6"/>
          <w:szCs w:val="16"/>
          <w:color w:val="auto"/>
        </w:rPr>
      </w:pPr>
    </w:p>
    <w:p>
      <w:pPr>
        <w:ind w:left="1040" w:hanging="1032"/>
        <w:spacing w:after="0" w:line="332" w:lineRule="auto"/>
        <w:tabs>
          <w:tab w:leader="none" w:pos="10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2080" w:right="20" w:hanging="1032"/>
        <w:spacing w:after="0" w:line="332" w:lineRule="auto"/>
        <w:tabs>
          <w:tab w:leader="none" w:pos="20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2080" w:hanging="1032"/>
        <w:spacing w:after="0" w:line="268" w:lineRule="auto"/>
        <w:tabs>
          <w:tab w:leader="none" w:pos="20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Barry B. Goldstein</w:t>
      </w:r>
    </w:p>
    <w:p>
      <w:pPr>
        <w:spacing w:after="0" w:line="21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Barry B. Goldstein</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2" w:name="page183"/>
    <w:bookmarkEnd w:id="182"/>
    <w:p>
      <w:pPr>
        <w:ind w:left="9320"/>
        <w:spacing w:after="0"/>
        <w:rPr>
          <w:sz w:val="20"/>
          <w:szCs w:val="20"/>
          <w:color w:val="auto"/>
        </w:rPr>
      </w:pPr>
      <w:r>
        <w:rPr>
          <w:rFonts w:ascii="Arial" w:cs="Arial" w:eastAsia="Arial" w:hAnsi="Arial"/>
          <w:sz w:val="16"/>
          <w:szCs w:val="16"/>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Victor Brodsky, certify that:</w:t>
      </w:r>
    </w:p>
    <w:p>
      <w:pPr>
        <w:spacing w:after="0" w:line="225" w:lineRule="exact"/>
        <w:rPr>
          <w:sz w:val="20"/>
          <w:szCs w:val="20"/>
          <w:color w:val="auto"/>
        </w:rPr>
      </w:pPr>
    </w:p>
    <w:p>
      <w:pPr>
        <w:ind w:left="1040" w:hanging="1032"/>
        <w:spacing w:after="0"/>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Kingstone Companies, Inc.;</w:t>
      </w:r>
    </w:p>
    <w:p>
      <w:pPr>
        <w:spacing w:after="0" w:line="225" w:lineRule="exact"/>
        <w:rPr>
          <w:rFonts w:ascii="Arial" w:cs="Arial" w:eastAsia="Arial" w:hAnsi="Arial"/>
          <w:sz w:val="18"/>
          <w:szCs w:val="18"/>
          <w:color w:val="auto"/>
        </w:rPr>
      </w:pPr>
    </w:p>
    <w:p>
      <w:pPr>
        <w:jc w:val="both"/>
        <w:ind w:left="1040" w:hanging="1032"/>
        <w:spacing w:after="0" w:line="259" w:lineRule="auto"/>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1040" w:hanging="1032"/>
        <w:spacing w:after="0" w:line="332" w:lineRule="auto"/>
        <w:tabs>
          <w:tab w:leader="none" w:pos="10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1040" w:hanging="1032"/>
        <w:spacing w:after="0" w:line="259" w:lineRule="auto"/>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2080" w:hanging="1032"/>
        <w:spacing w:after="0" w:line="306" w:lineRule="auto"/>
        <w:tabs>
          <w:tab w:leader="none" w:pos="20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2080" w:hanging="1032"/>
        <w:spacing w:after="0" w:line="306" w:lineRule="auto"/>
        <w:tabs>
          <w:tab w:leader="none" w:pos="20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jc w:val="both"/>
        <w:ind w:left="2080" w:hanging="1032"/>
        <w:spacing w:after="0" w:line="259" w:lineRule="auto"/>
        <w:tabs>
          <w:tab w:leader="none" w:pos="2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jc w:val="both"/>
        <w:ind w:left="2080" w:hanging="1032"/>
        <w:spacing w:after="0" w:line="306" w:lineRule="auto"/>
        <w:tabs>
          <w:tab w:leader="none" w:pos="20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6"/>
          <w:szCs w:val="16"/>
          <w:color w:val="auto"/>
        </w:rPr>
      </w:pPr>
    </w:p>
    <w:p>
      <w:pPr>
        <w:ind w:left="1040" w:hanging="1032"/>
        <w:spacing w:after="0" w:line="332" w:lineRule="auto"/>
        <w:tabs>
          <w:tab w:leader="none" w:pos="10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2080" w:right="20" w:hanging="1032"/>
        <w:spacing w:after="0" w:line="332" w:lineRule="auto"/>
        <w:tabs>
          <w:tab w:leader="none" w:pos="20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2080" w:hanging="1032"/>
        <w:spacing w:after="0" w:line="268" w:lineRule="auto"/>
        <w:tabs>
          <w:tab w:leader="none" w:pos="2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Victor Brodsky</w:t>
      </w:r>
    </w:p>
    <w:p>
      <w:pPr>
        <w:spacing w:after="0" w:line="21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Victor Brodsky</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28"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2017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Dated: March 15, 2018</w:t>
      </w:r>
      <w:r>
        <w:rPr>
          <w:sz w:val="20"/>
          <w:szCs w:val="20"/>
          <w:color w:val="auto"/>
        </w:rPr>
        <w:tab/>
      </w:r>
      <w:r>
        <w:rPr>
          <w:rFonts w:ascii="Arial" w:cs="Arial" w:eastAsia="Arial" w:hAnsi="Arial"/>
          <w:sz w:val="16"/>
          <w:szCs w:val="16"/>
          <w:color w:val="auto"/>
        </w:rPr>
        <w:t>/s/ Barry B. Goldstein</w:t>
      </w:r>
    </w:p>
    <w:p>
      <w:pPr>
        <w:spacing w:after="0" w:line="37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Barry B. Goldstein</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36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Victor Brodsky</w:t>
      </w:r>
    </w:p>
    <w:p>
      <w:pPr>
        <w:spacing w:after="0" w:line="37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Victor Brodsky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1)"/>
      <w:numFmt w:val="lowerRoman"/>
      <w:start w:val="10"/>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1)"/>
      <w:numFmt w:val="lowerLetter"/>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1)"/>
      <w:numFmt w:val="lowerLetter"/>
      <w:start w:val="2"/>
    </w:lvl>
  </w:abstractNum>
  <w:abstractNum w:abstractNumId="17">
    <w:nsid w:val="39EE015C"/>
    <w:multiLevelType w:val="hybridMultilevel"/>
    <w:lvl w:ilvl="0">
      <w:lvlJc w:val="left"/>
      <w:lvlText w:val="(%1)"/>
      <w:numFmt w:val="decimal"/>
      <w:start w:val="1"/>
    </w:lvl>
  </w:abstractNum>
  <w:abstractNum w:abstractNumId="18">
    <w:nsid w:val="57FC4FBB"/>
    <w:multiLevelType w:val="hybridMultilevel"/>
    <w:lvl w:ilvl="0">
      <w:lvlJc w:val="left"/>
      <w:lvlText w:val="(%1)"/>
      <w:numFmt w:val="decimal"/>
      <w:start w:val="1"/>
    </w:lvl>
  </w:abstractNum>
  <w:abstractNum w:abstractNumId="19">
    <w:nsid w:val="CC1016F"/>
    <w:multiLevelType w:val="hybridMultilevel"/>
    <w:lvl w:ilvl="0">
      <w:lvlJc w:val="left"/>
      <w:lvlText w:val="(%1)"/>
      <w:numFmt w:val="decimal"/>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1)"/>
      <w:numFmt w:val="decimal"/>
      <w:start w:val="1"/>
    </w:lvl>
  </w:abstractNum>
  <w:abstractNum w:abstractNumId="24">
    <w:nsid w:val="49DA307D"/>
    <w:multiLevelType w:val="hybridMultilevel"/>
    <w:lvl w:ilvl="0">
      <w:lvlJc w:val="left"/>
      <w:lvlText w:val="(%1)"/>
      <w:numFmt w:val="decimal"/>
      <w:start w:val="1"/>
    </w:lvl>
  </w:abstractNum>
  <w:abstractNum w:abstractNumId="25">
    <w:nsid w:val="7055A5F5"/>
    <w:multiLevelType w:val="hybridMultilevel"/>
    <w:lvl w:ilvl="0">
      <w:lvlJc w:val="left"/>
      <w:lvlText w:val="(%1)"/>
      <w:numFmt w:val="decimal"/>
      <w:start w:val="1"/>
    </w:lvl>
  </w:abstractNum>
  <w:abstractNum w:abstractNumId="26">
    <w:nsid w:val="5FB8370B"/>
    <w:multiLevelType w:val="hybridMultilevel"/>
    <w:lvl w:ilvl="0">
      <w:lvlJc w:val="left"/>
      <w:lvlText w:val="(%1)"/>
      <w:numFmt w:val="decimal"/>
      <w:start w:val="1"/>
    </w:lvl>
  </w:abstractNum>
  <w:abstractNum w:abstractNumId="27">
    <w:nsid w:val="50801EE1"/>
    <w:multiLevelType w:val="hybridMultilevel"/>
    <w:lvl w:ilvl="0">
      <w:lvlJc w:val="left"/>
      <w:lvlText w:val="(%1)"/>
      <w:numFmt w:val="decimal"/>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amp;"/>
      <w:numFmt w:val="bullet"/>
      <w:start w:val="1"/>
    </w:lvl>
  </w:abstractNum>
  <w:abstractNum w:abstractNumId="30">
    <w:nsid w:val="6AA78F7F"/>
    <w:multiLevelType w:val="hybridMultilevel"/>
    <w:lvl w:ilvl="0">
      <w:lvlJc w:val="left"/>
      <w:lvlText w:val="(%1)"/>
      <w:numFmt w:val="decimal"/>
      <w:start w:val="1"/>
    </w:lvl>
  </w:abstractNum>
  <w:abstractNum w:abstractNumId="31">
    <w:nsid w:val="7672BD23"/>
    <w:multiLevelType w:val="hybridMultilevel"/>
    <w:lvl w:ilvl="0">
      <w:lvlJc w:val="left"/>
      <w:lvlText w:val="(%1)"/>
      <w:numFmt w:val="decimal"/>
      <w:start w:val="1"/>
    </w:lvl>
  </w:abstractNum>
  <w:abstractNum w:abstractNumId="32">
    <w:nsid w:val="6FC75AF8"/>
    <w:multiLevelType w:val="hybridMultilevel"/>
    <w:lvl w:ilvl="0">
      <w:lvlJc w:val="left"/>
      <w:lvlText w:val="(%1)"/>
      <w:numFmt w:val="decimal"/>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1)"/>
      <w:numFmt w:val="decimal"/>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1)"/>
      <w:numFmt w:val="decimal"/>
      <w:start w:val="1"/>
    </w:lvl>
  </w:abstractNum>
  <w:abstractNum w:abstractNumId="37">
    <w:nsid w:val="7DE67713"/>
    <w:multiLevelType w:val="hybridMultilevel"/>
    <w:lvl w:ilvl="0">
      <w:lvlJc w:val="left"/>
      <w:lvlText w:val="%1"/>
      <w:numFmt w:val="decimal"/>
      <w:start w:val="21"/>
    </w:lvl>
  </w:abstractNum>
  <w:abstractNum w:abstractNumId="38">
    <w:nsid w:val="555C55B5"/>
    <w:multiLevelType w:val="hybridMultilevel"/>
    <w:lvl w:ilvl="0">
      <w:lvlJc w:val="left"/>
      <w:lvlText w:val="%1"/>
      <w:numFmt w:val="decimal"/>
      <w:start w:val="23"/>
    </w:lvl>
  </w:abstractNum>
  <w:abstractNum w:abstractNumId="39">
    <w:nsid w:val="3FA62ACA"/>
    <w:multiLevelType w:val="hybridMultilevel"/>
    <w:lvl w:ilvl="0">
      <w:lvlJc w:val="left"/>
      <w:lvlText w:val="%1"/>
      <w:numFmt w:val="decimal"/>
      <w:start w:val="32"/>
    </w:lvl>
  </w:abstractNum>
  <w:abstractNum w:abstractNumId="40">
    <w:nsid w:val="14FCE74E"/>
    <w:multiLevelType w:val="hybridMultilevel"/>
    <w:lvl w:ilvl="0">
      <w:lvlJc w:val="left"/>
      <w:lvlText w:val="(%1)"/>
      <w:numFmt w:val="decimal"/>
      <w:start w:val="1"/>
    </w:lvl>
  </w:abstractNum>
  <w:abstractNum w:abstractNumId="41">
    <w:nsid w:val="6A3DD3E8"/>
    <w:multiLevelType w:val="hybridMultilevel"/>
    <w:lvl w:ilvl="0">
      <w:lvlJc w:val="left"/>
      <w:lvlText w:val="(%1)"/>
      <w:numFmt w:val="decimal"/>
      <w:start w:val="6"/>
    </w:lvl>
  </w:abstractNum>
  <w:abstractNum w:abstractNumId="42">
    <w:nsid w:val="71C91298"/>
    <w:multiLevelType w:val="hybridMultilevel"/>
    <w:lvl w:ilvl="0">
      <w:lvlJc w:val="left"/>
      <w:lvlText w:val="(%1)"/>
      <w:numFmt w:val="decimal"/>
      <w:start w:val="9"/>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1)"/>
      <w:numFmt w:val="decimal"/>
      <w:start w:val="1"/>
    </w:lvl>
  </w:abstractNum>
  <w:abstractNum w:abstractNumId="48">
    <w:nsid w:val="59ADEA3D"/>
    <w:multiLevelType w:val="hybridMultilevel"/>
    <w:lvl w:ilvl="0">
      <w:lvlJc w:val="left"/>
      <w:lvlText w:val="%1)"/>
      <w:numFmt w:val="decimal"/>
      <w:start w:val="220"/>
    </w:lvl>
  </w:abstractNum>
  <w:abstractNum w:abstractNumId="49">
    <w:nsid w:val="288F1A34"/>
    <w:multiLevelType w:val="hybridMultilevel"/>
    <w:lvl w:ilvl="0">
      <w:lvlJc w:val="left"/>
      <w:lvlText w:val="(%1)"/>
      <w:numFmt w:val="decimal"/>
      <w:start w:val="1"/>
    </w:lvl>
  </w:abstractNum>
  <w:abstractNum w:abstractNumId="50">
    <w:nsid w:val="2A155DBC"/>
    <w:multiLevelType w:val="hybridMultilevel"/>
    <w:lvl w:ilvl="0">
      <w:lvlJc w:val="left"/>
      <w:lvlText w:val="(%1)"/>
      <w:numFmt w:val="decimal"/>
      <w:start w:val="1"/>
    </w:lvl>
  </w:abstractNum>
  <w:abstractNum w:abstractNumId="51">
    <w:nsid w:val="1D9F6E5F"/>
    <w:multiLevelType w:val="hybridMultilevel"/>
    <w:lvl w:ilvl="0">
      <w:lvlJc w:val="left"/>
      <w:lvlText w:val="%1."/>
      <w:numFmt w:val="decimal"/>
      <w:start w:val="1"/>
    </w:lvl>
  </w:abstractNum>
  <w:abstractNum w:abstractNumId="52">
    <w:nsid w:val="97E1B4E"/>
    <w:multiLevelType w:val="hybridMultilevel"/>
    <w:lvl w:ilvl="0">
      <w:lvlJc w:val="left"/>
      <w:lvlText w:val="(%1)"/>
      <w:numFmt w:val="decimal"/>
      <w:start w:val="1"/>
    </w:lvl>
  </w:abstractNum>
  <w:abstractNum w:abstractNumId="53">
    <w:nsid w:val="51088277"/>
    <w:multiLevelType w:val="hybridMultilevel"/>
    <w:lvl w:ilvl="0">
      <w:lvlJc w:val="left"/>
      <w:lvlText w:val="(%1)"/>
      <w:numFmt w:val="decimal"/>
      <w:start w:val="1"/>
    </w:lvl>
  </w:abstractNum>
  <w:abstractNum w:abstractNumId="54">
    <w:nsid w:val="1CA0C5FA"/>
    <w:multiLevelType w:val="hybridMultilevel"/>
    <w:lvl w:ilvl="0">
      <w:lvlJc w:val="left"/>
      <w:lvlText w:val="(%1)"/>
      <w:numFmt w:val="decimal"/>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1"/>
      <w:numFmt w:val="decimal"/>
      <w:start w:val="1"/>
    </w:lvl>
    <w:lvl w:ilvl="1">
      <w:lvlJc w:val="left"/>
      <w:lvlText w:val="(%2)"/>
      <w:numFmt w:val="upperLetter"/>
      <w:start w:val="1"/>
    </w:lvl>
  </w:abstractNum>
  <w:abstractNum w:abstractNumId="58">
    <w:nsid w:val="23D86AAC"/>
    <w:multiLevelType w:val="hybridMultilevel"/>
    <w:lvl w:ilvl="0">
      <w:lvlJc w:val="left"/>
      <w:lvlText w:val="(%1)"/>
      <w:numFmt w:val="decimal"/>
      <w:start w:val="2"/>
    </w:lvl>
    <w:lvl w:ilvl="1">
      <w:lvlJc w:val="left"/>
      <w:lvlText w:val="%2"/>
      <w:numFmt w:val="upperLetter"/>
      <w:start w:val="1"/>
    </w:lvl>
  </w:abstractNum>
  <w:abstractNum w:abstractNumId="59">
    <w:nsid w:val="45E6D486"/>
    <w:multiLevelType w:val="hybridMultilevel"/>
    <w:lvl w:ilvl="0">
      <w:lvlJc w:val="left"/>
      <w:lvlText w:val="%1."/>
      <w:numFmt w:val="decimal"/>
      <w:start w:val="1"/>
    </w:lvl>
  </w:abstractNum>
  <w:abstractNum w:abstractNumId="60">
    <w:nsid w:val="5C10FE21"/>
    <w:multiLevelType w:val="hybridMultilevel"/>
    <w:lvl w:ilvl="0">
      <w:lvlJc w:val="left"/>
      <w:lvlText w:val="%1."/>
      <w:numFmt w:val="decimal"/>
      <w:start w:val="2"/>
    </w:lvl>
  </w:abstractNum>
  <w:abstractNum w:abstractNumId="61">
    <w:nsid w:val="E7FFA2B"/>
    <w:multiLevelType w:val="hybridMultilevel"/>
    <w:lvl w:ilvl="0">
      <w:lvlJc w:val="left"/>
      <w:lvlText w:val="%1."/>
      <w:numFmt w:val="decimal"/>
      <w:start w:val="3"/>
    </w:lvl>
  </w:abstractNum>
  <w:abstractNum w:abstractNumId="62">
    <w:nsid w:val="3C5991AA"/>
    <w:multiLevelType w:val="hybridMultilevel"/>
    <w:lvl w:ilvl="0">
      <w:lvlJc w:val="left"/>
      <w:lvlText w:val="%1."/>
      <w:numFmt w:val="decimal"/>
      <w:start w:val="4"/>
    </w:lvl>
  </w:abstractNum>
  <w:abstractNum w:abstractNumId="63">
    <w:nsid w:val="4BD8591A"/>
    <w:multiLevelType w:val="hybridMultilevel"/>
    <w:lvl w:ilvl="0">
      <w:lvlJc w:val="left"/>
      <w:lvlText w:val="(%1)"/>
      <w:numFmt w:val="lowerLetter"/>
      <w:start w:val="2"/>
    </w:lvl>
  </w:abstractNum>
  <w:abstractNum w:abstractNumId="64">
    <w:nsid w:val="78DF6A55"/>
    <w:multiLevelType w:val="hybridMultilevel"/>
    <w:lvl w:ilvl="0">
      <w:lvlJc w:val="left"/>
      <w:lvlText w:val="%1."/>
      <w:numFmt w:val="decimal"/>
      <w:start w:val="5"/>
    </w:lvl>
  </w:abstractNum>
  <w:abstractNum w:abstractNumId="65">
    <w:nsid w:val="39B7AAA2"/>
    <w:multiLevelType w:val="hybridMultilevel"/>
    <w:lvl w:ilvl="0">
      <w:lvlJc w:val="left"/>
      <w:lvlText w:val="%1."/>
      <w:numFmt w:val="decimal"/>
      <w:start w:val="6"/>
    </w:lvl>
  </w:abstractNum>
  <w:abstractNum w:abstractNumId="66">
    <w:nsid w:val="2B0D8DBE"/>
    <w:multiLevelType w:val="hybridMultilevel"/>
    <w:lvl w:ilvl="0">
      <w:lvlJc w:val="left"/>
      <w:lvlText w:val="%1."/>
      <w:numFmt w:val="decimal"/>
      <w:start w:val="7"/>
    </w:lvl>
  </w:abstractNum>
  <w:abstractNum w:abstractNumId="67">
    <w:nsid w:val="6C80EC70"/>
    <w:multiLevelType w:val="hybridMultilevel"/>
    <w:lvl w:ilvl="0">
      <w:lvlJc w:val="left"/>
      <w:lvlText w:val="(%1)"/>
      <w:numFmt w:val="lowerRoman"/>
      <w:start w:val="1"/>
    </w:lvl>
  </w:abstractNum>
  <w:abstractNum w:abstractNumId="68">
    <w:nsid w:val="379E21B5"/>
    <w:multiLevelType w:val="hybridMultilevel"/>
    <w:lvl w:ilvl="0">
      <w:lvlJc w:val="left"/>
      <w:lvlText w:val="(%1)"/>
      <w:numFmt w:val="lowerRoman"/>
      <w:start w:val="5"/>
    </w:lvl>
  </w:abstractNum>
  <w:abstractNum w:abstractNumId="69">
    <w:nsid w:val="69E373"/>
    <w:multiLevelType w:val="hybridMultilevel"/>
    <w:lvl w:ilvl="0">
      <w:lvlJc w:val="left"/>
      <w:lvlText w:val="(%1)"/>
      <w:numFmt w:val="lowerRoman"/>
      <w:start w:val="6"/>
    </w:lvl>
  </w:abstractNum>
  <w:abstractNum w:abstractNumId="70">
    <w:nsid w:val="2C27173B"/>
    <w:multiLevelType w:val="hybridMultilevel"/>
    <w:lvl w:ilvl="0">
      <w:lvlJc w:val="left"/>
      <w:lvlText w:val="(%1)"/>
      <w:numFmt w:val="lowerLetter"/>
      <w:start w:val="2"/>
    </w:lvl>
  </w:abstractNum>
  <w:abstractNum w:abstractNumId="71">
    <w:nsid w:val="4C9B0904"/>
    <w:multiLevelType w:val="hybridMultilevel"/>
    <w:lvl w:ilvl="0">
      <w:lvlJc w:val="left"/>
      <w:lvlText w:val="%1."/>
      <w:numFmt w:val="decimal"/>
      <w:start w:val="8"/>
    </w:lvl>
  </w:abstractNum>
  <w:abstractNum w:abstractNumId="72">
    <w:nsid w:val="6AA7B75C"/>
    <w:multiLevelType w:val="hybridMultilevel"/>
    <w:lvl w:ilvl="0">
      <w:lvlJc w:val="left"/>
      <w:lvlText w:val="(%1)"/>
      <w:numFmt w:val="decimal"/>
      <w:start w:val="12"/>
    </w:lvl>
    <w:lvl w:ilvl="1">
      <w:lvlJc w:val="left"/>
      <w:lvlText w:val="%2."/>
      <w:numFmt w:val="decimal"/>
      <w:start w:val="9"/>
    </w:lvl>
  </w:abstractNum>
  <w:abstractNum w:abstractNumId="73">
    <w:nsid w:val="1DF029D3"/>
    <w:multiLevelType w:val="hybridMultilevel"/>
    <w:lvl w:ilvl="0">
      <w:lvlJc w:val="left"/>
      <w:lvlText w:val="%1."/>
      <w:numFmt w:val="decimal"/>
      <w:start w:val="10"/>
    </w:lvl>
  </w:abstractNum>
  <w:abstractNum w:abstractNumId="74">
    <w:nsid w:val="5675FF36"/>
    <w:multiLevelType w:val="hybridMultilevel"/>
    <w:lvl w:ilvl="0">
      <w:lvlJc w:val="left"/>
      <w:lvlText w:val="%1."/>
      <w:numFmt w:val="decimal"/>
      <w:start w:val="11"/>
    </w:lvl>
  </w:abstractNum>
  <w:abstractNum w:abstractNumId="75">
    <w:nsid w:val="3DD1509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6">
    <w:nsid w:val="3DB012B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77">
    <w:nsid w:val="2708C9AF"/>
    <w:multiLevelType w:val="hybridMultilevel"/>
    <w:lvl w:ilvl="0">
      <w:lvlJc w:val="left"/>
      <w:lvlText w:val="(%1)"/>
      <w:numFmt w:val="lowerRoman"/>
      <w:start w:val="6"/>
    </w:lvl>
  </w:abstractNum>
  <w:abstractNum w:abstractNumId="78">
    <w:nsid w:val="5B25ACE2"/>
    <w:multiLevelType w:val="hybridMultilevel"/>
    <w:lvl w:ilvl="0">
      <w:lvlJc w:val="left"/>
      <w:lvlText w:val="%1."/>
      <w:numFmt w:val="decimal"/>
      <w:start w:val="12"/>
    </w:lvl>
  </w:abstractNum>
  <w:abstractNum w:abstractNumId="79">
    <w:nsid w:val="175DFCF0"/>
    <w:multiLevelType w:val="hybridMultilevel"/>
    <w:lvl w:ilvl="0">
      <w:lvlJc w:val="left"/>
      <w:lvlText w:val="(%1)"/>
      <w:numFmt w:val="lowerRoman"/>
      <w:start w:val="1"/>
    </w:lvl>
  </w:abstractNum>
  <w:abstractNum w:abstractNumId="80">
    <w:nsid w:val="4F97E3E4"/>
    <w:multiLevelType w:val="hybridMultilevel"/>
    <w:lvl w:ilvl="0">
      <w:lvlJc w:val="left"/>
      <w:lvlText w:val="%1."/>
      <w:numFmt w:val="decimal"/>
      <w:start w:val="13"/>
    </w:lvl>
  </w:abstractNum>
  <w:abstractNum w:abstractNumId="81">
    <w:nsid w:val="53B0A9E"/>
    <w:multiLevelType w:val="hybridMultilevel"/>
    <w:lvl w:ilvl="0">
      <w:lvlJc w:val="left"/>
      <w:lvlText w:val="(%1)"/>
      <w:numFmt w:val="lowerLetter"/>
      <w:start w:val="2"/>
    </w:lvl>
    <w:lvl w:ilvl="1">
      <w:lvlJc w:val="left"/>
      <w:lvlText w:val="%2."/>
      <w:numFmt w:val="decimal"/>
      <w:start w:val="14"/>
    </w:lvl>
  </w:abstractNum>
  <w:abstractNum w:abstractNumId="82">
    <w:nsid w:val="34FD6B4F"/>
    <w:multiLevelType w:val="hybridMultilevel"/>
    <w:lvl w:ilvl="0">
      <w:lvlJc w:val="left"/>
      <w:lvlText w:val="%1."/>
      <w:numFmt w:val="decimal"/>
      <w:start w:val="15"/>
    </w:lvl>
  </w:abstractNum>
  <w:abstractNum w:abstractNumId="83">
    <w:nsid w:val="5915FF32"/>
    <w:multiLevelType w:val="hybridMultilevel"/>
    <w:lvl w:ilvl="0">
      <w:lvlJc w:val="left"/>
      <w:lvlText w:val="%1."/>
      <w:numFmt w:val="decimal"/>
      <w:start w:val="16"/>
    </w:lvl>
  </w:abstractNum>
  <w:abstractNum w:abstractNumId="84">
    <w:nsid w:val="56438D15"/>
    <w:multiLevelType w:val="hybridMultilevel"/>
    <w:lvl w:ilvl="0">
      <w:lvlJc w:val="left"/>
      <w:lvlText w:val="%1."/>
      <w:numFmt w:val="decimal"/>
      <w:start w:val="17"/>
    </w:lvl>
  </w:abstractNum>
  <w:abstractNum w:abstractNumId="85">
    <w:nsid w:val="519E3149"/>
    <w:multiLevelType w:val="hybridMultilevel"/>
    <w:lvl w:ilvl="0">
      <w:lvlJc w:val="left"/>
      <w:lvlText w:val="%1."/>
      <w:numFmt w:val="decimal"/>
      <w:start w:val="18"/>
    </w:lvl>
  </w:abstractNum>
  <w:abstractNum w:abstractNumId="86">
    <w:nsid w:val="2C6E4AFD"/>
    <w:multiLevelType w:val="hybridMultilevel"/>
    <w:lvl w:ilvl="0">
      <w:lvlJc w:val="left"/>
      <w:lvlText w:val="%1."/>
      <w:numFmt w:val="decimal"/>
      <w:start w:val="19"/>
    </w:lvl>
  </w:abstractNum>
  <w:abstractNum w:abstractNumId="87">
    <w:nsid w:val="17A1B582"/>
    <w:multiLevelType w:val="hybridMultilevel"/>
    <w:lvl w:ilvl="0">
      <w:lvlJc w:val="left"/>
      <w:lvlText w:val="%1."/>
      <w:numFmt w:val="decimal"/>
      <w:start w:val="20"/>
    </w:lvl>
  </w:abstractNum>
  <w:abstractNum w:abstractNumId="88">
    <w:nsid w:val="4DF72E4E"/>
    <w:multiLevelType w:val="hybridMultilevel"/>
    <w:lvl w:ilvl="0">
      <w:lvlJc w:val="left"/>
      <w:lvlText w:val="%1."/>
      <w:numFmt w:val="decimal"/>
      <w:start w:val="21"/>
    </w:lvl>
  </w:abstractNum>
  <w:abstractNum w:abstractNumId="89">
    <w:nsid w:val="5046B5A9"/>
    <w:multiLevelType w:val="hybridMultilevel"/>
    <w:lvl w:ilvl="0">
      <w:lvlJc w:val="left"/>
      <w:lvlText w:val="%1."/>
      <w:numFmt w:val="decimal"/>
      <w:start w:val="22"/>
    </w:lvl>
  </w:abstractNum>
  <w:abstractNum w:abstractNumId="90">
    <w:nsid w:val="5D888A08"/>
    <w:multiLevelType w:val="hybridMultilevel"/>
    <w:lvl w:ilvl="0">
      <w:lvlJc w:val="left"/>
      <w:lvlText w:val="%1."/>
      <w:numFmt w:val="decimal"/>
      <w:start w:val="23"/>
    </w:lvl>
  </w:abstractNum>
  <w:abstractNum w:abstractNumId="91">
    <w:nsid w:val="2A082C70"/>
    <w:multiLevelType w:val="hybridMultilevel"/>
    <w:lvl w:ilvl="0">
      <w:lvlJc w:val="left"/>
      <w:lvlText w:val="%1."/>
      <w:numFmt w:val="decimal"/>
      <w:start w:val="24"/>
    </w:lvl>
  </w:abstractNum>
  <w:abstractNum w:abstractNumId="92">
    <w:nsid w:val="5EC6AFD4"/>
    <w:multiLevelType w:val="hybridMultilevel"/>
    <w:lvl w:ilvl="0">
      <w:lvlJc w:val="left"/>
      <w:lvlText w:val="%1."/>
      <w:numFmt w:val="decimal"/>
      <w:start w:val="25"/>
    </w:lvl>
  </w:abstractNum>
  <w:abstractNum w:abstractNumId="93">
    <w:nsid w:val="19E21BB2"/>
    <w:multiLevelType w:val="hybridMultilevel"/>
    <w:lvl w:ilvl="0">
      <w:lvlJc w:val="left"/>
      <w:lvlText w:val="%1."/>
      <w:numFmt w:val="decimal"/>
      <w:start w:val="26"/>
    </w:lvl>
  </w:abstractNum>
  <w:abstractNum w:abstractNumId="94">
    <w:nsid w:val="75E0858A"/>
    <w:multiLevelType w:val="hybridMultilevel"/>
    <w:lvl w:ilvl="0">
      <w:lvlJc w:val="left"/>
      <w:lvlText w:val="%1."/>
      <w:numFmt w:val="decimal"/>
      <w:start w:val="1"/>
    </w:lvl>
  </w:abstractNum>
  <w:abstractNum w:abstractNumId="95">
    <w:nsid w:val="57A61A29"/>
    <w:multiLevelType w:val="hybridMultilevel"/>
    <w:lvl w:ilvl="0">
      <w:lvlJc w:val="left"/>
      <w:lvlText w:val="%1."/>
      <w:numFmt w:val="decimal"/>
      <w:start w:val="2"/>
    </w:lvl>
  </w:abstractNum>
  <w:abstractNum w:abstractNumId="96">
    <w:nsid w:val="5399C654"/>
    <w:multiLevelType w:val="hybridMultilevel"/>
    <w:lvl w:ilvl="0">
      <w:lvlJc w:val="left"/>
      <w:lvlText w:val="%1."/>
      <w:numFmt w:val="decimal"/>
      <w:start w:val="3"/>
    </w:lvl>
  </w:abstractNum>
  <w:abstractNum w:abstractNumId="97">
    <w:nsid w:val="20EE1348"/>
    <w:multiLevelType w:val="hybridMultilevel"/>
    <w:lvl w:ilvl="0">
      <w:lvlJc w:val="left"/>
      <w:lvlText w:val="%1."/>
      <w:numFmt w:val="decimal"/>
      <w:start w:val="4"/>
    </w:lvl>
  </w:abstractNum>
  <w:abstractNum w:abstractNumId="98">
    <w:nsid w:val="4427069A"/>
    <w:multiLevelType w:val="hybridMultilevel"/>
    <w:lvl w:ilvl="0">
      <w:lvlJc w:val="left"/>
      <w:lvlText w:val="%1."/>
      <w:numFmt w:val="decimal"/>
      <w:start w:val="5"/>
    </w:lvl>
  </w:abstractNum>
  <w:abstractNum w:abstractNumId="99">
    <w:nsid w:val="B37E80A"/>
    <w:multiLevelType w:val="hybridMultilevel"/>
    <w:lvl w:ilvl="0">
      <w:lvlJc w:val="left"/>
      <w:lvlText w:val="%1."/>
      <w:numFmt w:val="decimal"/>
      <w:start w:val="6"/>
    </w:lvl>
  </w:abstractNum>
  <w:abstractNum w:abstractNumId="100">
    <w:nsid w:val="2157F6BC"/>
    <w:multiLevelType w:val="hybridMultilevel"/>
    <w:lvl w:ilvl="0">
      <w:lvlJc w:val="left"/>
      <w:lvlText w:val="%1."/>
      <w:numFmt w:val="decimal"/>
      <w:start w:val="7"/>
    </w:lvl>
  </w:abstractNum>
  <w:abstractNum w:abstractNumId="101">
    <w:nsid w:val="704E1DD5"/>
    <w:multiLevelType w:val="hybridMultilevel"/>
    <w:lvl w:ilvl="0">
      <w:lvlJc w:val="left"/>
      <w:lvlText w:val="(%1)"/>
      <w:numFmt w:val="lowerRoman"/>
      <w:start w:val="1"/>
    </w:lvl>
  </w:abstractNum>
  <w:abstractNum w:abstractNumId="102">
    <w:nsid w:val="57D2F10E"/>
    <w:multiLevelType w:val="hybridMultilevel"/>
    <w:lvl w:ilvl="0">
      <w:lvlJc w:val="left"/>
      <w:lvlText w:val="(%1)"/>
      <w:numFmt w:val="lowerLetter"/>
      <w:start w:val="2"/>
    </w:lvl>
  </w:abstractNum>
  <w:abstractNum w:abstractNumId="103">
    <w:nsid w:val="BFFAE18"/>
    <w:multiLevelType w:val="hybridMultilevel"/>
    <w:lvl w:ilvl="0">
      <w:lvlJc w:val="left"/>
      <w:lvlText w:val="(%1)"/>
      <w:numFmt w:val="lowerLetter"/>
      <w:start w:val="2"/>
    </w:lvl>
  </w:abstractNum>
  <w:abstractNum w:abstractNumId="104">
    <w:nsid w:val="E3E47A8"/>
    <w:multiLevelType w:val="hybridMultilevel"/>
    <w:lvl w:ilvl="0">
      <w:lvlJc w:val="left"/>
      <w:lvlText w:val="(%1)"/>
      <w:numFmt w:val="lowerLetter"/>
      <w:start w:val="1"/>
    </w:lvl>
  </w:abstractNum>
  <w:abstractNum w:abstractNumId="105">
    <w:nsid w:val="2E48F044"/>
    <w:multiLevelType w:val="hybridMultilevel"/>
    <w:lvl w:ilvl="0">
      <w:lvlJc w:val="left"/>
      <w:lvlText w:val="%1."/>
      <w:numFmt w:val="decimal"/>
      <w:start w:val="8"/>
    </w:lvl>
  </w:abstractNum>
  <w:abstractNum w:abstractNumId="106">
    <w:nsid w:val="49D0FEAC"/>
    <w:multiLevelType w:val="hybridMultilevel"/>
    <w:lvl w:ilvl="0">
      <w:lvlJc w:val="left"/>
      <w:lvlText w:val="%1."/>
      <w:numFmt w:val="decimal"/>
      <w:start w:val="9"/>
    </w:lvl>
  </w:abstractNum>
  <w:abstractNum w:abstractNumId="107">
    <w:nsid w:val="4BEE5A5B"/>
    <w:multiLevelType w:val="hybridMultilevel"/>
    <w:lvl w:ilvl="0">
      <w:lvlJc w:val="left"/>
      <w:lvlText w:val="%1."/>
      <w:numFmt w:val="decimal"/>
      <w:start w:val="10"/>
    </w:lvl>
  </w:abstractNum>
  <w:abstractNum w:abstractNumId="108">
    <w:nsid w:val="5551B9F3"/>
    <w:multiLevelType w:val="hybridMultilevel"/>
    <w:lvl w:ilvl="0">
      <w:lvlJc w:val="left"/>
      <w:lvlText w:val="%1."/>
      <w:numFmt w:val="decimal"/>
      <w:start w:val="11"/>
    </w:lvl>
  </w:abstractNum>
  <w:abstractNum w:abstractNumId="109">
    <w:nsid w:val="24F6AB8E"/>
    <w:multiLevelType w:val="hybridMultilevel"/>
    <w:lvl w:ilvl="0">
      <w:lvlJc w:val="left"/>
      <w:lvlText w:val="(%1)"/>
      <w:numFmt w:val="lowerLetter"/>
      <w:start w:val="2"/>
    </w:lvl>
  </w:abstractNum>
  <w:abstractNum w:abstractNumId="110">
    <w:nsid w:val="634C574C"/>
    <w:multiLevelType w:val="hybridMultilevel"/>
    <w:lvl w:ilvl="0">
      <w:lvlJc w:val="left"/>
      <w:lvlText w:val="(%1)"/>
      <w:numFmt w:val="lowerLetter"/>
      <w:start w:val="1"/>
    </w:lvl>
    <w:lvl w:ilvl="1">
      <w:lvlJc w:val="left"/>
      <w:lvlText w:val="(%2)"/>
      <w:numFmt w:val="lowerRoman"/>
      <w:start w:val="1"/>
    </w:lvl>
  </w:abstractNum>
  <w:abstractNum w:abstractNumId="111">
    <w:nsid w:val="24E99DD7"/>
    <w:multiLevelType w:val="hybridMultilevel"/>
    <w:lvl w:ilvl="0">
      <w:lvlJc w:val="left"/>
      <w:lvlText w:val="%1."/>
      <w:numFmt w:val="decimal"/>
      <w:start w:val="12"/>
    </w:lvl>
  </w:abstractNum>
  <w:abstractNum w:abstractNumId="112">
    <w:nsid w:val="2A31B62D"/>
    <w:multiLevelType w:val="hybridMultilevel"/>
    <w:lvl w:ilvl="0">
      <w:lvlJc w:val="left"/>
      <w:lvlText w:val="(%1)"/>
      <w:numFmt w:val="lowerRoman"/>
      <w:start w:val="1"/>
    </w:lvl>
  </w:abstractNum>
  <w:abstractNum w:abstractNumId="113">
    <w:nsid w:val="1849C29B"/>
    <w:multiLevelType w:val="hybridMultilevel"/>
    <w:lvl w:ilvl="0">
      <w:lvlJc w:val="left"/>
      <w:lvlText w:val="%1."/>
      <w:numFmt w:val="decimal"/>
      <w:start w:val="13"/>
    </w:lvl>
  </w:abstractNum>
  <w:abstractNum w:abstractNumId="114">
    <w:nsid w:val="7DFF9D09"/>
    <w:multiLevelType w:val="hybridMultilevel"/>
    <w:lvl w:ilvl="0">
      <w:lvlJc w:val="left"/>
      <w:lvlText w:val="%1."/>
      <w:numFmt w:val="decimal"/>
      <w:start w:val="14"/>
    </w:lvl>
  </w:abstractNum>
  <w:abstractNum w:abstractNumId="115">
    <w:nsid w:val="754342"/>
    <w:multiLevelType w:val="hybridMultilevel"/>
    <w:lvl w:ilvl="0">
      <w:lvlJc w:val="left"/>
      <w:lvlText w:val="%1."/>
      <w:numFmt w:val="decimal"/>
      <w:start w:val="15"/>
    </w:lvl>
  </w:abstractNum>
  <w:abstractNum w:abstractNumId="116">
    <w:nsid w:val="69E7F3E5"/>
    <w:multiLevelType w:val="hybridMultilevel"/>
    <w:lvl w:ilvl="0">
      <w:lvlJc w:val="left"/>
      <w:lvlText w:val="%1."/>
      <w:numFmt w:val="decimal"/>
      <w:start w:val="16"/>
    </w:lvl>
  </w:abstractNum>
  <w:abstractNum w:abstractNumId="117">
    <w:nsid w:val="2A6DE806"/>
    <w:multiLevelType w:val="hybridMultilevel"/>
    <w:lvl w:ilvl="0">
      <w:lvlJc w:val="left"/>
      <w:lvlText w:val="%1."/>
      <w:numFmt w:val="decimal"/>
      <w:start w:val="17"/>
    </w:lvl>
  </w:abstractNum>
  <w:abstractNum w:abstractNumId="118">
    <w:nsid w:val="1816F8C4"/>
    <w:multiLevelType w:val="hybridMultilevel"/>
    <w:lvl w:ilvl="0">
      <w:lvlJc w:val="left"/>
      <w:lvlText w:val="%1."/>
      <w:numFmt w:val="decimal"/>
      <w:start w:val="18"/>
    </w:lvl>
  </w:abstractNum>
  <w:abstractNum w:abstractNumId="119">
    <w:nsid w:val="37DF2233"/>
    <w:multiLevelType w:val="hybridMultilevel"/>
    <w:lvl w:ilvl="0">
      <w:lvlJc w:val="left"/>
      <w:lvlText w:val="%1."/>
      <w:numFmt w:val="decimal"/>
      <w:start w:val="19"/>
    </w:lvl>
  </w:abstractNum>
  <w:abstractNum w:abstractNumId="120">
    <w:nsid w:val="7AB49DAF"/>
    <w:multiLevelType w:val="hybridMultilevel"/>
    <w:lvl w:ilvl="0">
      <w:lvlJc w:val="left"/>
      <w:lvlText w:val="%1."/>
      <w:numFmt w:val="decimal"/>
      <w:start w:val="20"/>
    </w:lvl>
  </w:abstractNum>
  <w:abstractNum w:abstractNumId="121">
    <w:nsid w:val="759F82CD"/>
    <w:multiLevelType w:val="hybridMultilevel"/>
    <w:lvl w:ilvl="0">
      <w:lvlJc w:val="left"/>
      <w:lvlText w:val="%1."/>
      <w:numFmt w:val="decimal"/>
      <w:start w:val="21"/>
    </w:lvl>
  </w:abstractNum>
  <w:abstractNum w:abstractNumId="122">
    <w:nsid w:val="61E74EA3"/>
    <w:multiLevelType w:val="hybridMultilevel"/>
    <w:lvl w:ilvl="0">
      <w:lvlJc w:val="left"/>
      <w:lvlText w:val="%1."/>
      <w:numFmt w:val="decimal"/>
      <w:start w:val="22"/>
    </w:lvl>
  </w:abstractNum>
  <w:abstractNum w:abstractNumId="123">
    <w:nsid w:val="597B4D84"/>
    <w:multiLevelType w:val="hybridMultilevel"/>
    <w:lvl w:ilvl="0">
      <w:lvlJc w:val="left"/>
      <w:lvlText w:val="%1."/>
      <w:numFmt w:val="decimal"/>
      <w:start w:val="23"/>
    </w:lvl>
  </w:abstractNum>
  <w:abstractNum w:abstractNumId="124">
    <w:nsid w:val="F819E7F"/>
    <w:multiLevelType w:val="hybridMultilevel"/>
    <w:lvl w:ilvl="0">
      <w:lvlJc w:val="left"/>
      <w:lvlText w:val="%1."/>
      <w:numFmt w:val="decimal"/>
      <w:start w:val="24"/>
    </w:lvl>
  </w:abstractNum>
  <w:abstractNum w:abstractNumId="125">
    <w:nsid w:val="57C7D42D"/>
    <w:multiLevelType w:val="hybridMultilevel"/>
    <w:lvl w:ilvl="0">
      <w:lvlJc w:val="left"/>
      <w:lvlText w:val="%1."/>
      <w:numFmt w:val="decimal"/>
      <w:start w:val="25"/>
    </w:lvl>
  </w:abstractNum>
  <w:abstractNum w:abstractNumId="126">
    <w:nsid w:val="312167AD"/>
    <w:multiLevelType w:val="hybridMultilevel"/>
    <w:lvl w:ilvl="0">
      <w:lvlJc w:val="left"/>
      <w:lvlText w:val="%1."/>
      <w:numFmt w:val="decimal"/>
      <w:start w:val="26"/>
    </w:lvl>
  </w:abstractNum>
  <w:abstractNum w:abstractNumId="127">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78B5E776"/>
    <w:multiLevelType w:val="hybridMultilevel"/>
    <w:lvl w:ilvl="0">
      <w:lvlJc w:val="left"/>
      <w:lvlText w:val="%1"/>
      <w:numFmt w:val="decimal"/>
      <w:start w:val="1"/>
    </w:lvl>
    <w:lvl w:ilvl="1">
      <w:lvlJc w:val="left"/>
      <w:lvlText w:val="(%2)"/>
      <w:numFmt w:val="lowerLetter"/>
      <w:start w:val="3"/>
    </w:lvl>
  </w:abstractNum>
  <w:abstractNum w:abstractNumId="129">
    <w:nsid w:val="75486E47"/>
    <w:multiLevelType w:val="hybridMultilevel"/>
    <w:lvl w:ilvl="0">
      <w:lvlJc w:val="left"/>
      <w:lvlText w:val="%1."/>
      <w:numFmt w:val="decimal"/>
      <w:start w:val="4"/>
    </w:lvl>
    <w:lvl w:ilvl="1">
      <w:lvlJc w:val="left"/>
      <w:lvlText w:val="%2"/>
      <w:numFmt w:val="lowerLetter"/>
      <w:start w:val="1"/>
    </w:lvl>
  </w:abstractNum>
  <w:abstractNum w:abstractNumId="130">
    <w:nsid w:val="6E534CDE"/>
    <w:multiLevelType w:val="hybridMultilevel"/>
    <w:lvl w:ilvl="0">
      <w:lvlJc w:val="left"/>
      <w:lvlText w:val="%1."/>
      <w:numFmt w:val="decimal"/>
      <w:start w:val="1"/>
    </w:lvl>
  </w:abstractNum>
  <w:abstractNum w:abstractNumId="131">
    <w:nsid w:val="1A0DDE32"/>
    <w:multiLevelType w:val="hybridMultilevel"/>
    <w:lvl w:ilvl="0">
      <w:lvlJc w:val="left"/>
      <w:lvlText w:val="%1."/>
      <w:numFmt w:val="decimal"/>
      <w:start w:val="2"/>
    </w:lvl>
  </w:abstractNum>
  <w:abstractNum w:abstractNumId="132">
    <w:nsid w:val="65968C1C"/>
    <w:multiLevelType w:val="hybridMultilevel"/>
    <w:lvl w:ilvl="0">
      <w:lvlJc w:val="left"/>
      <w:lvlText w:val="%1."/>
      <w:numFmt w:val="decimal"/>
      <w:start w:val="3"/>
    </w:lvl>
  </w:abstractNum>
  <w:abstractNum w:abstractNumId="133">
    <w:nsid w:val="46263DEC"/>
    <w:multiLevelType w:val="hybridMultilevel"/>
    <w:lvl w:ilvl="0">
      <w:lvlJc w:val="left"/>
      <w:lvlText w:val="%1."/>
      <w:numFmt w:val="decimal"/>
      <w:start w:val="4"/>
    </w:lvl>
  </w:abstractNum>
  <w:abstractNum w:abstractNumId="134">
    <w:nsid w:val="260D8C4A"/>
    <w:multiLevelType w:val="hybridMultilevel"/>
    <w:lvl w:ilvl="0">
      <w:lvlJc w:val="left"/>
      <w:lvlText w:val="%1."/>
      <w:numFmt w:val="decimal"/>
      <w:start w:val="5"/>
    </w:lvl>
  </w:abstractNum>
  <w:abstractNum w:abstractNumId="135">
    <w:nsid w:val="73D4D3C4"/>
    <w:multiLevelType w:val="hybridMultilevel"/>
    <w:lvl w:ilvl="0">
      <w:lvlJc w:val="left"/>
      <w:lvlText w:val="%1."/>
      <w:numFmt w:val="decimal"/>
      <w:start w:val="6"/>
    </w:lvl>
  </w:abstractNum>
  <w:abstractNum w:abstractNumId="136">
    <w:nsid w:val="746F2E30"/>
    <w:multiLevelType w:val="hybridMultilevel"/>
    <w:lvl w:ilvl="0">
      <w:lvlJc w:val="left"/>
      <w:lvlText w:val="%1."/>
      <w:numFmt w:val="decimal"/>
      <w:start w:val="7"/>
    </w:lvl>
  </w:abstractNum>
  <w:abstractNum w:abstractNumId="137">
    <w:nsid w:val="6FDE8AF6"/>
    <w:multiLevelType w:val="hybridMultilevel"/>
    <w:lvl w:ilvl="0">
      <w:lvlJc w:val="left"/>
      <w:lvlText w:val="(%1)"/>
      <w:numFmt w:val="lowerRoman"/>
      <w:start w:val="1"/>
    </w:lvl>
  </w:abstractNum>
  <w:abstractNum w:abstractNumId="138">
    <w:nsid w:val="3FC32E20"/>
    <w:multiLevelType w:val="hybridMultilevel"/>
    <w:lvl w:ilvl="0">
      <w:lvlJc w:val="left"/>
      <w:lvlText w:val="(%1)"/>
      <w:numFmt w:val="lowerLetter"/>
      <w:start w:val="2"/>
    </w:lvl>
  </w:abstractNum>
  <w:abstractNum w:abstractNumId="139">
    <w:nsid w:val="49C0E823"/>
    <w:multiLevelType w:val="hybridMultilevel"/>
    <w:lvl w:ilvl="0">
      <w:lvlJc w:val="left"/>
      <w:lvlText w:val="(%1)"/>
      <w:numFmt w:val="lowerLetter"/>
      <w:start w:val="2"/>
    </w:lvl>
  </w:abstractNum>
  <w:abstractNum w:abstractNumId="140">
    <w:nsid w:val="14D53685"/>
    <w:multiLevelType w:val="hybridMultilevel"/>
    <w:lvl w:ilvl="0">
      <w:lvlJc w:val="left"/>
      <w:lvlText w:val="(%1)"/>
      <w:numFmt w:val="lowerLetter"/>
      <w:start w:val="1"/>
    </w:lvl>
  </w:abstractNum>
  <w:abstractNum w:abstractNumId="141">
    <w:nsid w:val="230F856C"/>
    <w:multiLevelType w:val="hybridMultilevel"/>
    <w:lvl w:ilvl="0">
      <w:lvlJc w:val="left"/>
      <w:lvlText w:val="%1."/>
      <w:numFmt w:val="decimal"/>
      <w:start w:val="8"/>
    </w:lvl>
  </w:abstractNum>
  <w:abstractNum w:abstractNumId="142">
    <w:nsid w:val="6EAA85FB"/>
    <w:multiLevelType w:val="hybridMultilevel"/>
    <w:lvl w:ilvl="0">
      <w:lvlJc w:val="left"/>
      <w:lvlText w:val="%1."/>
      <w:numFmt w:val="decimal"/>
      <w:start w:val="9"/>
    </w:lvl>
  </w:abstractNum>
  <w:abstractNum w:abstractNumId="143">
    <w:nsid w:val="3F06ECB2"/>
    <w:multiLevelType w:val="hybridMultilevel"/>
    <w:lvl w:ilvl="0">
      <w:lvlJc w:val="left"/>
      <w:lvlText w:val="%1."/>
      <w:numFmt w:val="decimal"/>
      <w:start w:val="10"/>
    </w:lvl>
  </w:abstractNum>
  <w:abstractNum w:abstractNumId="144">
    <w:nsid w:val="3B594807"/>
    <w:multiLevelType w:val="hybridMultilevel"/>
    <w:lvl w:ilvl="0">
      <w:lvlJc w:val="left"/>
      <w:lvlText w:val="%1."/>
      <w:numFmt w:val="decimal"/>
      <w:start w:val="11"/>
    </w:lvl>
  </w:abstractNum>
  <w:abstractNum w:abstractNumId="145">
    <w:nsid w:val="6CAA2304"/>
    <w:multiLevelType w:val="hybridMultilevel"/>
    <w:lvl w:ilvl="0">
      <w:lvlJc w:val="left"/>
      <w:lvlText w:val="(%1)"/>
      <w:numFmt w:val="lowerLetter"/>
      <w:start w:val="2"/>
    </w:lvl>
  </w:abstractNum>
  <w:abstractNum w:abstractNumId="146">
    <w:nsid w:val="3F7C2FF4"/>
    <w:multiLevelType w:val="hybridMultilevel"/>
    <w:lvl w:ilvl="0">
      <w:lvlJc w:val="left"/>
      <w:lvlText w:val="(%1)"/>
      <w:numFmt w:val="lowerLetter"/>
      <w:start w:val="1"/>
    </w:lvl>
    <w:lvl w:ilvl="1">
      <w:lvlJc w:val="left"/>
      <w:lvlText w:val="(%2)"/>
      <w:numFmt w:val="lowerRoman"/>
      <w:start w:val="1"/>
    </w:lvl>
  </w:abstractNum>
  <w:abstractNum w:abstractNumId="147">
    <w:nsid w:val="25413BEC"/>
    <w:multiLevelType w:val="hybridMultilevel"/>
    <w:lvl w:ilvl="0">
      <w:lvlJc w:val="left"/>
      <w:lvlText w:val="(%1)"/>
      <w:numFmt w:val="lowerRoman"/>
      <w:start w:val="3"/>
    </w:lvl>
  </w:abstractNum>
  <w:abstractNum w:abstractNumId="148">
    <w:nsid w:val="17180B0B"/>
    <w:multiLevelType w:val="hybridMultilevel"/>
    <w:lvl w:ilvl="0">
      <w:lvlJc w:val="left"/>
      <w:lvlText w:val="%1."/>
      <w:numFmt w:val="decimal"/>
      <w:start w:val="12"/>
    </w:lvl>
  </w:abstractNum>
  <w:abstractNum w:abstractNumId="149">
    <w:nsid w:val="579328B9"/>
    <w:multiLevelType w:val="hybridMultilevel"/>
    <w:lvl w:ilvl="0">
      <w:lvlJc w:val="left"/>
      <w:lvlText w:val="(%1)"/>
      <w:numFmt w:val="lowerRoman"/>
      <w:start w:val="1"/>
    </w:lvl>
  </w:abstractNum>
  <w:abstractNum w:abstractNumId="150">
    <w:nsid w:val="5D205E20"/>
    <w:multiLevelType w:val="hybridMultilevel"/>
    <w:lvl w:ilvl="0">
      <w:lvlJc w:val="left"/>
      <w:lvlText w:val="%1."/>
      <w:numFmt w:val="decimal"/>
      <w:start w:val="13"/>
    </w:lvl>
  </w:abstractNum>
  <w:abstractNum w:abstractNumId="151">
    <w:nsid w:val="11CCA8BA"/>
    <w:multiLevelType w:val="hybridMultilevel"/>
    <w:lvl w:ilvl="0">
      <w:lvlJc w:val="left"/>
      <w:lvlText w:val="%1."/>
      <w:numFmt w:val="decimal"/>
      <w:start w:val="14"/>
    </w:lvl>
  </w:abstractNum>
  <w:abstractNum w:abstractNumId="152">
    <w:nsid w:val="4D32AB86"/>
    <w:multiLevelType w:val="hybridMultilevel"/>
    <w:lvl w:ilvl="0">
      <w:lvlJc w:val="left"/>
      <w:lvlText w:val="%1."/>
      <w:numFmt w:val="decimal"/>
      <w:start w:val="15"/>
    </w:lvl>
  </w:abstractNum>
  <w:abstractNum w:abstractNumId="153">
    <w:nsid w:val="3F07ACC3"/>
    <w:multiLevelType w:val="hybridMultilevel"/>
    <w:lvl w:ilvl="0">
      <w:lvlJc w:val="left"/>
      <w:lvlText w:val="%1."/>
      <w:numFmt w:val="decimal"/>
      <w:start w:val="16"/>
    </w:lvl>
  </w:abstractNum>
  <w:abstractNum w:abstractNumId="154">
    <w:nsid w:val="6B47F63E"/>
    <w:multiLevelType w:val="hybridMultilevel"/>
    <w:lvl w:ilvl="0">
      <w:lvlJc w:val="left"/>
      <w:lvlText w:val="%1."/>
      <w:numFmt w:val="decimal"/>
      <w:start w:val="17"/>
    </w:lvl>
  </w:abstractNum>
  <w:abstractNum w:abstractNumId="155">
    <w:nsid w:val="5CB44A05"/>
    <w:multiLevelType w:val="hybridMultilevel"/>
    <w:lvl w:ilvl="0">
      <w:lvlJc w:val="left"/>
      <w:lvlText w:val="%1."/>
      <w:numFmt w:val="decimal"/>
      <w:start w:val="18"/>
    </w:lvl>
  </w:abstractNum>
  <w:abstractNum w:abstractNumId="156">
    <w:nsid w:val="16CF80F1"/>
    <w:multiLevelType w:val="hybridMultilevel"/>
    <w:lvl w:ilvl="0">
      <w:lvlJc w:val="left"/>
      <w:lvlText w:val="%1."/>
      <w:numFmt w:val="decimal"/>
      <w:start w:val="19"/>
    </w:lvl>
  </w:abstractNum>
  <w:abstractNum w:abstractNumId="157">
    <w:nsid w:val="1C695DEC"/>
    <w:multiLevelType w:val="hybridMultilevel"/>
    <w:lvl w:ilvl="0">
      <w:lvlJc w:val="left"/>
      <w:lvlText w:val="%1."/>
      <w:numFmt w:val="decimal"/>
      <w:start w:val="20"/>
    </w:lvl>
  </w:abstractNum>
  <w:abstractNum w:abstractNumId="158">
    <w:nsid w:val="3FCFAED9"/>
    <w:multiLevelType w:val="hybridMultilevel"/>
    <w:lvl w:ilvl="0">
      <w:lvlJc w:val="left"/>
      <w:lvlText w:val="%1."/>
      <w:numFmt w:val="decimal"/>
      <w:start w:val="21"/>
    </w:lvl>
  </w:abstractNum>
  <w:abstractNum w:abstractNumId="159">
    <w:nsid w:val="F856867"/>
    <w:multiLevelType w:val="hybridMultilevel"/>
    <w:lvl w:ilvl="0">
      <w:lvlJc w:val="left"/>
      <w:lvlText w:val="%1."/>
      <w:numFmt w:val="decimal"/>
      <w:start w:val="22"/>
    </w:lvl>
  </w:abstractNum>
  <w:abstractNum w:abstractNumId="160">
    <w:nsid w:val="11B1CC33"/>
    <w:multiLevelType w:val="hybridMultilevel"/>
    <w:lvl w:ilvl="0">
      <w:lvlJc w:val="left"/>
      <w:lvlText w:val="%1."/>
      <w:numFmt w:val="decimal"/>
      <w:start w:val="23"/>
    </w:lvl>
  </w:abstractNum>
  <w:abstractNum w:abstractNumId="161">
    <w:nsid w:val="2E22FBB7"/>
    <w:multiLevelType w:val="hybridMultilevel"/>
    <w:lvl w:ilvl="0">
      <w:lvlJc w:val="left"/>
      <w:lvlText w:val="%1."/>
      <w:numFmt w:val="decimal"/>
      <w:start w:val="24"/>
    </w:lvl>
  </w:abstractNum>
  <w:abstractNum w:abstractNumId="162">
    <w:nsid w:val="29934699"/>
    <w:multiLevelType w:val="hybridMultilevel"/>
    <w:lvl w:ilvl="0">
      <w:lvlJc w:val="left"/>
      <w:lvlText w:val="%1."/>
      <w:numFmt w:val="decimal"/>
      <w:start w:val="25"/>
    </w:lvl>
  </w:abstractNum>
  <w:abstractNum w:abstractNumId="163">
    <w:nsid w:val="77485850"/>
    <w:multiLevelType w:val="hybridMultilevel"/>
    <w:lvl w:ilvl="0">
      <w:lvlJc w:val="left"/>
      <w:lvlText w:val="%1."/>
      <w:numFmt w:val="decimal"/>
      <w:start w:val="26"/>
    </w:lvl>
  </w:abstractNum>
  <w:abstractNum w:abstractNumId="164">
    <w:nsid w:val="744939A3"/>
    <w:multiLevelType w:val="hybridMultilevel"/>
    <w:lvl w:ilvl="0">
      <w:lvlJc w:val="left"/>
      <w:lvlText w:val="%1."/>
      <w:numFmt w:val="decimal"/>
      <w:start w:val="1"/>
    </w:lvl>
    <w:lvl w:ilvl="1">
      <w:lvlJc w:val="left"/>
      <w:lvlText w:val="(%2)"/>
      <w:numFmt w:val="lowerLetter"/>
      <w:start w:val="1"/>
    </w:lvl>
  </w:abstractNum>
  <w:abstractNum w:abstractNumId="165">
    <w:nsid w:val="4FA0D2E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111" Type="http://schemas.openxmlformats.org/officeDocument/2006/relationships/hyperlink" Target="http://www.sec.gov/Archives/edgar/data/33992/000135448814002619/kins_ex3a.htm" TargetMode="External"/><Relationship Id="rId112" Type="http://schemas.openxmlformats.org/officeDocument/2006/relationships/hyperlink" Target="http://www.sec.gov/Archives/edgar/data/33992/000102177109000069/ex3_1.htm" TargetMode="External"/><Relationship Id="rId113" Type="http://schemas.openxmlformats.org/officeDocument/2006/relationships/hyperlink" Target="http://www.sec.gov/Archives/edgar/data/33992/000102177117000105/ex4_1.htm" TargetMode="External"/><Relationship Id="rId114" Type="http://schemas.openxmlformats.org/officeDocument/2006/relationships/hyperlink" Target="http://www.sec.gov/Archives/edgar/data/33992/000102177117000105/ex4_2.htm" TargetMode="External"/><Relationship Id="rId115" Type="http://schemas.openxmlformats.org/officeDocument/2006/relationships/hyperlink" Target="http://www.sec.gov/Archives/edgar/data/33992/000102177117000105/ex4_3.htm" TargetMode="External"/><Relationship Id="rId116" Type="http://schemas.openxmlformats.org/officeDocument/2006/relationships/hyperlink" Target="http://www.sec.gov/Archives/edgar/data/33992/000135448815001332/kins_ex10a.htm" TargetMode="External"/><Relationship Id="rId117" Type="http://schemas.openxmlformats.org/officeDocument/2006/relationships/hyperlink" Target="http://www.sec.gov/Archives/edgar/data/33992/000102177114000050/ex10_1.htm" TargetMode="External"/><Relationship Id="rId118" Type="http://schemas.openxmlformats.org/officeDocument/2006/relationships/hyperlink" Target="http://www.sec.gov/Archives/edgar/data/33992/000102177117000018/employmentagree.htm" TargetMode="External"/><Relationship Id="rId119" Type="http://schemas.openxmlformats.org/officeDocument/2006/relationships/hyperlink" Target="http://www.sec.gov/Archives/edgar/data/33992/000102177114000050/ex10_3.htm" TargetMode="External"/><Relationship Id="rId120" Type="http://schemas.openxmlformats.org/officeDocument/2006/relationships/hyperlink" Target="http://www.sec.gov/Archives/edgar/data/33992/000102177114000050/ex10_4.htm" TargetMode="External"/><Relationship Id="rId121" Type="http://schemas.openxmlformats.org/officeDocument/2006/relationships/hyperlink" Target="http://www.sec.gov/Archives/edgar/data/33992/000102177116000112/ex10_1.htm" TargetMode="External"/><Relationship Id="rId122" Type="http://schemas.openxmlformats.org/officeDocument/2006/relationships/hyperlink" Target="http://www.sec.gov/Archives/edgar/data/33992/000102177117000032/ex1_1.htm" TargetMode="External"/><Relationship Id="rId123" Type="http://schemas.openxmlformats.org/officeDocument/2006/relationships/hyperlink" Target="http://www.sec.gov/Archives/edgar/data/33992/000102177117000102/ex1_1.htm" TargetMode="External"/><Relationship Id="rId124" Type="http://schemas.openxmlformats.org/officeDocument/2006/relationships/hyperlink" Target="http://www.sec.gov/Archives/edgar/data/33992/000135448815001332/kins_ex14a.htm" TargetMode="External"/><Relationship Id="rId125" Type="http://schemas.openxmlformats.org/officeDocument/2006/relationships/hyperlink" Target="http://www.sec.gov/Archives/edgar/data/33992/000135448815001332/kins_ex14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2020-01-14T18:11:13Z</dcterms:created>
  <dcterms:modified xsi:type="dcterms:W3CDTF">2020-01-14T18:11:13Z</dcterms:modified>
</cp:coreProperties>
</file>