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0" w:after="0"/>
        <w:jc w:val="left"/>
        <w:rPr/>
      </w:pPr>
      <w:hyperlink w:anchor="i92b3bfd314c944abaca110fc2b4e1e3e_7">
        <w:r>
          <w:rPr>
            <w:rStyle w:val="InternetLink"/>
            <w:rFonts w:ascii="Times New Roman;serif" w:hAnsi="Times New Roman;serif"/>
            <w:b w:val="false"/>
            <w:i/>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For the quarterly period ended June 30, 2026</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OR</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40" w:after="283"/>
        <w:jc w:val="center"/>
        <w:rPr/>
      </w:pPr>
      <w:r>
        <w:rPr>
          <w:rFonts w:ascii="Times New Roman;serif" w:hAnsi="Times New Roman;serif"/>
          <w:b/>
          <w:color w:val="000000"/>
          <w:sz w:val="20"/>
        </w:rPr>
        <w:t>For the transition period from _________to _________</w:t>
      </w:r>
      <w:r>
        <w:rPr>
          <w:color w:val="000000"/>
        </w:rPr>
        <w:t xml:space="preserve"> </w:t>
      </w:r>
    </w:p>
    <w:p>
      <w:pPr>
        <w:pStyle w:val="TextBody"/>
        <w:bidi w:val="0"/>
        <w:spacing w:lineRule="auto" w:line="288" w:before="240" w:after="283"/>
        <w:jc w:val="center"/>
        <w:rPr/>
      </w:pPr>
      <w:r>
        <w:rPr>
          <w:rFonts w:ascii="Times New Roman;serif" w:hAnsi="Times New Roman;serif"/>
          <w:b/>
          <w:color w:val="000000"/>
          <w:sz w:val="20"/>
        </w:rPr>
        <w:t>Commission File Number 0-1665</w:t>
      </w:r>
      <w:r>
        <w:rPr>
          <w:color w:val="000000"/>
        </w:rPr>
        <w:t xml:space="preserve"> </w:t>
      </w:r>
    </w:p>
    <w:tbl>
      <w:tblPr>
        <w:tblW w:w="5535" w:type="dxa"/>
        <w:jc w:val="center"/>
        <w:tblInd w:w="0" w:type="dxa"/>
        <w:tblLayout w:type="fixed"/>
        <w:tblCellMar>
          <w:top w:w="28" w:type="dxa"/>
          <w:left w:w="28" w:type="dxa"/>
          <w:bottom w:w="28" w:type="dxa"/>
          <w:right w:w="28" w:type="dxa"/>
        </w:tblCellMar>
      </w:tblPr>
      <w:tblGrid>
        <w:gridCol w:w="1772"/>
        <w:gridCol w:w="1557"/>
        <w:gridCol w:w="2206"/>
      </w:tblGrid>
      <w:tr>
        <w:trPr/>
        <w:tc>
          <w:tcPr>
            <w:tcW w:w="1772"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r>
      <w:tr>
        <w:trPr/>
        <w:tc>
          <w:tcPr>
            <w:tcW w:w="55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36"/>
              </w:rPr>
            </w:pPr>
            <w:r>
              <w:rPr>
                <w:rFonts w:ascii="Times New Roman;serif" w:hAnsi="Times New Roman;serif"/>
                <w:b/>
                <w:color w:val="000000"/>
                <w:sz w:val="36"/>
              </w:rPr>
              <w:t>KINGSTONE COMPANIES, INC.</w:t>
            </w:r>
          </w:p>
        </w:tc>
      </w:tr>
      <w:tr>
        <w:trPr/>
        <w:tc>
          <w:tcPr>
            <w:tcW w:w="5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c>
      </w:tr>
    </w:tbl>
    <w:tbl>
      <w:tblPr>
        <w:tblW w:w="4916" w:type="dxa"/>
        <w:jc w:val="center"/>
        <w:tblInd w:w="0" w:type="dxa"/>
        <w:tblLayout w:type="fixed"/>
        <w:tblCellMar>
          <w:top w:w="28" w:type="dxa"/>
          <w:left w:w="28" w:type="dxa"/>
          <w:bottom w:w="28" w:type="dxa"/>
          <w:right w:w="28" w:type="dxa"/>
        </w:tblCellMar>
      </w:tblPr>
      <w:tblGrid>
        <w:gridCol w:w="933"/>
        <w:gridCol w:w="819"/>
        <w:gridCol w:w="828"/>
        <w:gridCol w:w="109"/>
        <w:gridCol w:w="109"/>
        <w:gridCol w:w="109"/>
        <w:gridCol w:w="586"/>
        <w:gridCol w:w="586"/>
        <w:gridCol w:w="83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36-2476480</w:t>
            </w:r>
          </w:p>
        </w:tc>
      </w:tr>
      <w:tr>
        <w:trPr/>
        <w:tc>
          <w:tcPr>
            <w:tcW w:w="25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bl>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120 Wood Road</w: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Kingston, NY 12401</w:t>
      </w:r>
    </w:p>
    <w:p>
      <w:pPr>
        <w:pStyle w:val="TextBody"/>
        <w:bidi w:val="0"/>
        <w:spacing w:lineRule="auto" w:line="288" w:before="0" w:after="0"/>
        <w:jc w:val="center"/>
        <w:rPr/>
      </w:pPr>
      <w:r>
        <w:rPr>
          <w:rFonts w:ascii="Times New Roman;serif" w:hAnsi="Times New Roman;serif"/>
          <w:b/>
          <w:color w:val="000000"/>
          <w:sz w:val="20"/>
        </w:rPr>
        <w:t>(Address of principal executive offices)</w:t>
      </w:r>
      <w:r>
        <w:rPr>
          <w:color w:val="000000"/>
        </w:rPr>
        <w:t xml:space="preserve"> </w:t>
      </w:r>
    </w:p>
    <w:p>
      <w:pPr>
        <w:pStyle w:val="TextBody"/>
        <w:bidi w:val="0"/>
        <w:spacing w:lineRule="auto" w:line="288" w:before="200" w:after="283"/>
        <w:jc w:val="center"/>
        <w:rPr>
          <w:rFonts w:ascii="Times New Roman;serif" w:hAnsi="Times New Roman;serif"/>
          <w:b/>
          <w:color w:val="000000"/>
          <w:sz w:val="20"/>
          <w:u w:val="single"/>
        </w:rPr>
      </w:pPr>
      <w:r>
        <w:rPr>
          <w:rFonts w:ascii="Times New Roman;serif" w:hAnsi="Times New Roman;serif"/>
          <w:b/>
          <w:color w:val="000000"/>
          <w:sz w:val="20"/>
          <w:u w:val="single"/>
        </w:rPr>
        <w:t>(845) 802-7900</w:t>
      </w:r>
    </w:p>
    <w:p>
      <w:pPr>
        <w:pStyle w:val="TextBody"/>
        <w:bidi w:val="0"/>
        <w:spacing w:lineRule="auto" w:line="288" w:before="0" w:after="0"/>
        <w:jc w:val="center"/>
        <w:rPr/>
      </w:pPr>
      <w:r>
        <w:rPr>
          <w:rFonts w:ascii="Times New Roman;serif" w:hAnsi="Times New Roman;serif"/>
          <w:b/>
          <w:color w:val="000000"/>
          <w:sz w:val="20"/>
        </w:rPr>
        <w:t>(Registrant’s telephone number, including area code)</w:t>
      </w:r>
      <w:r>
        <w:rPr>
          <w:color w:val="000000"/>
        </w:rPr>
        <w:t xml:space="preserve"> </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819" w:type="dxa"/>
        <w:jc w:val="left"/>
        <w:tblInd w:w="0" w:type="dxa"/>
        <w:tblLayout w:type="fixed"/>
        <w:tblCellMar>
          <w:top w:w="28" w:type="dxa"/>
          <w:left w:w="28" w:type="dxa"/>
          <w:bottom w:w="28" w:type="dxa"/>
          <w:right w:w="28" w:type="dxa"/>
        </w:tblCellMar>
      </w:tblPr>
      <w:tblGrid>
        <w:gridCol w:w="1266"/>
        <w:gridCol w:w="1108"/>
        <w:gridCol w:w="1121"/>
        <w:gridCol w:w="539"/>
        <w:gridCol w:w="539"/>
        <w:gridCol w:w="541"/>
        <w:gridCol w:w="1085"/>
        <w:gridCol w:w="1085"/>
        <w:gridCol w:w="1535"/>
      </w:tblGrid>
      <w:tr>
        <w:trPr/>
        <w:tc>
          <w:tcPr>
            <w:tcW w:w="1266"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495"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 per share</w:t>
            </w:r>
          </w:p>
        </w:tc>
        <w:tc>
          <w:tcPr>
            <w:tcW w:w="161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KINS</w:t>
            </w:r>
          </w:p>
        </w:tc>
        <w:tc>
          <w:tcPr>
            <w:tcW w:w="370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73" w:before="0" w:after="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p>
      <w:pPr>
        <w:pStyle w:val="TextBody"/>
        <w:bidi w:val="0"/>
        <w:spacing w:lineRule="auto" w:line="288" w:before="2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o</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5019" w:type="dxa"/>
        <w:jc w:val="center"/>
        <w:tblInd w:w="0" w:type="dxa"/>
        <w:tblLayout w:type="fixed"/>
        <w:tblCellMar>
          <w:top w:w="28" w:type="dxa"/>
          <w:left w:w="28" w:type="dxa"/>
          <w:bottom w:w="28" w:type="dxa"/>
          <w:right w:w="28" w:type="dxa"/>
        </w:tblCellMar>
      </w:tblPr>
      <w:tblGrid>
        <w:gridCol w:w="711"/>
        <w:gridCol w:w="626"/>
        <w:gridCol w:w="628"/>
        <w:gridCol w:w="109"/>
        <w:gridCol w:w="109"/>
        <w:gridCol w:w="109"/>
        <w:gridCol w:w="784"/>
        <w:gridCol w:w="784"/>
        <w:gridCol w:w="787"/>
        <w:gridCol w:w="109"/>
        <w:gridCol w:w="109"/>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6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Smaller reporting company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x</w:t>
            </w:r>
          </w:p>
        </w:tc>
      </w:tr>
      <w:tr>
        <w:trPr/>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Wingdings;sans-serif" w:hAnsi="Wingdings;sans-serif"/>
                <w:b w:val="false"/>
                <w:color w:val="000000"/>
                <w:sz w:val="20"/>
              </w:rPr>
            </w:pPr>
            <w:r>
              <w:rPr>
                <w:rFonts w:ascii="Wingdings;sans-serif" w:hAnsi="Wingdings;sans-serif"/>
                <w:b w:val="false"/>
                <w:color w:val="000000"/>
                <w:sz w:val="20"/>
              </w:rPr>
              <w:t>o</w:t>
            </w:r>
          </w:p>
        </w:tc>
      </w:tr>
    </w:tbl>
    <w:p>
      <w:pPr>
        <w:pStyle w:val="TextBody"/>
        <w:bidi w:val="0"/>
        <w:spacing w:lineRule="auto" w:line="288" w:before="24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As of August 4, 2026, there were 14,476,133 shares of the registrant’s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KINGSTONE COMPANIES, INC.</w:t>
      </w:r>
    </w:p>
    <w:p>
      <w:pPr>
        <w:pStyle w:val="TextBody"/>
        <w:bidi w:val="0"/>
        <w:spacing w:lineRule="auto" w:line="288" w:before="0" w:after="0"/>
        <w:jc w:val="center"/>
        <w:rPr/>
      </w:pPr>
      <w:r>
        <w:rPr>
          <w:rFonts w:ascii="Times New Roman;serif" w:hAnsi="Times New Roman;serif"/>
          <w:b/>
          <w:color w:val="000000"/>
          <w:sz w:val="20"/>
        </w:rPr>
        <w:t>INDEX</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27"/>
        <w:gridCol w:w="287"/>
        <w:gridCol w:w="287"/>
        <w:gridCol w:w="287"/>
        <w:gridCol w:w="287"/>
        <w:gridCol w:w="287"/>
        <w:gridCol w:w="2614"/>
        <w:gridCol w:w="2432"/>
        <w:gridCol w:w="2372"/>
        <w:gridCol w:w="109"/>
        <w:gridCol w:w="109"/>
        <w:gridCol w:w="109"/>
        <w:gridCol w:w="202"/>
        <w:gridCol w:w="202"/>
        <w:gridCol w:w="294"/>
      </w:tblGrid>
      <w:tr>
        <w:trPr/>
        <w:tc>
          <w:tcPr>
            <w:tcW w:w="32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0"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3">
              <w:r>
                <w:rPr>
                  <w:rStyle w:val="InternetLink"/>
                  <w:rFonts w:ascii="Times New Roman;serif" w:hAnsi="Times New Roman;serif"/>
                  <w:b/>
                  <w:color w:val="0000FF"/>
                  <w:sz w:val="20"/>
                  <w:u w:val="single"/>
                </w:rPr>
                <w:t>PART I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3">
              <w:r>
                <w:rPr>
                  <w:rStyle w:val="InternetLink"/>
                  <w:rFonts w:ascii="Times New Roman;serif" w:hAnsi="Times New Roman;serif"/>
                  <w:b w:val="false"/>
                  <w:color w:val="0000FF"/>
                  <w:sz w:val="20"/>
                  <w:u w:val="single"/>
                </w:rPr>
                <w:t>4</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
              <w:r>
                <w:rPr>
                  <w:rStyle w:val="InternetLink"/>
                  <w:rFonts w:ascii="Times New Roman;serif" w:hAnsi="Times New Roman;serif"/>
                  <w:b w:val="false"/>
                  <w:color w:val="0000FF"/>
                  <w:sz w:val="20"/>
                  <w:u w:val="single"/>
                </w:rPr>
                <w:t xml:space="preserve">Item 1 —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
              <w:r>
                <w:rPr>
                  <w:rStyle w:val="InternetLink"/>
                  <w:rFonts w:ascii="Times New Roman;serif" w:hAnsi="Times New Roman;serif"/>
                  <w:b w:val="false"/>
                  <w:color w:val="0000FF"/>
                  <w:sz w:val="20"/>
                  <w:u w:val="single"/>
                </w:rPr>
                <w:t xml:space="preserve">Financial Statements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6">
              <w:r>
                <w:rPr>
                  <w:rStyle w:val="InternetLink"/>
                  <w:rFonts w:ascii="Times New Roman;serif" w:hAnsi="Times New Roman;serif"/>
                  <w:b w:val="false"/>
                  <w:color w:val="0000FF"/>
                  <w:sz w:val="20"/>
                  <w:u w:val="single"/>
                </w:rPr>
                <w:t>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9">
              <w:r>
                <w:rPr>
                  <w:rStyle w:val="InternetLink"/>
                  <w:rFonts w:ascii="Times New Roman;serif" w:hAnsi="Times New Roman;serif"/>
                  <w:b w:val="false"/>
                  <w:color w:val="000080"/>
                  <w:sz w:val="20"/>
                  <w:u w:val="single"/>
                </w:rPr>
                <w:t xml:space="preserve">Condensed Consolidated Balance Sheets at </w:t>
              </w:r>
            </w:hyperlink>
            <w:hyperlink w:anchor="i92b3bfd314c944abaca110fc2b4e1e3e_19">
              <w:r>
                <w:rPr>
                  <w:rStyle w:val="InternetLink"/>
                  <w:rFonts w:ascii="Times New Roman;serif" w:hAnsi="Times New Roman;serif"/>
                  <w:b w:val="false"/>
                  <w:color w:val="000080"/>
                  <w:sz w:val="20"/>
                  <w:u w:val="single"/>
                </w:rPr>
                <w:t>June 30</w:t>
              </w:r>
            </w:hyperlink>
            <w:hyperlink w:anchor="i92b3bfd314c944abaca110fc2b4e1e3e_19">
              <w:r>
                <w:rPr>
                  <w:rStyle w:val="InternetLink"/>
                  <w:rFonts w:ascii="Times New Roman;serif" w:hAnsi="Times New Roman;serif"/>
                  <w:b w:val="false"/>
                  <w:color w:val="000080"/>
                  <w:sz w:val="20"/>
                  <w:u w:val="single"/>
                </w:rPr>
                <w:t>, 2026 (Unaudited) and December 31,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9">
              <w:r>
                <w:rPr>
                  <w:rStyle w:val="InternetLink"/>
                  <w:rFonts w:ascii="Times New Roman;serif" w:hAnsi="Times New Roman;serif"/>
                  <w:b w:val="false"/>
                  <w:color w:val="0000FF"/>
                  <w:sz w:val="20"/>
                  <w:u w:val="single"/>
                </w:rPr>
                <w:t>5</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22">
              <w:r>
                <w:rPr>
                  <w:rStyle w:val="InternetLink"/>
                  <w:rFonts w:ascii="Times New Roman;serif" w:hAnsi="Times New Roman;serif"/>
                  <w:b w:val="false"/>
                  <w:color w:val="000080"/>
                  <w:sz w:val="20"/>
                  <w:u w:val="single"/>
                </w:rPr>
                <w:t xml:space="preserve">Condensed Consolidated Statements of </w:t>
              </w:r>
            </w:hyperlink>
            <w:hyperlink w:anchor="i92b3bfd314c944abaca110fc2b4e1e3e_22">
              <w:r>
                <w:rPr>
                  <w:rStyle w:val="InternetLink"/>
                  <w:rFonts w:ascii="Times New Roman;serif" w:hAnsi="Times New Roman;serif"/>
                  <w:b w:val="false"/>
                  <w:color w:val="000080"/>
                  <w:sz w:val="20"/>
                  <w:u w:val="single"/>
                </w:rPr>
                <w:t>Income</w:t>
              </w:r>
            </w:hyperlink>
            <w:hyperlink w:anchor="i92b3bfd314c944abaca110fc2b4e1e3e_22">
              <w:r>
                <w:rPr>
                  <w:rStyle w:val="InternetLink"/>
                  <w:rFonts w:ascii="Times New Roman;serif" w:hAnsi="Times New Roman;serif"/>
                  <w:b w:val="false"/>
                  <w:color w:val="000080"/>
                  <w:sz w:val="20"/>
                  <w:u w:val="single"/>
                </w:rPr>
                <w:t xml:space="preserve"> and Comprehensive </w:t>
              </w:r>
            </w:hyperlink>
            <w:hyperlink w:anchor="i92b3bfd314c944abaca110fc2b4e1e3e_22">
              <w:r>
                <w:rPr>
                  <w:rStyle w:val="InternetLink"/>
                  <w:rFonts w:ascii="Times New Roman;serif" w:hAnsi="Times New Roman;serif"/>
                  <w:b w:val="false"/>
                  <w:color w:val="000080"/>
                  <w:sz w:val="20"/>
                  <w:u w:val="single"/>
                </w:rPr>
                <w:t>Income</w:t>
              </w:r>
            </w:hyperlink>
            <w:hyperlink w:anchor="i92b3bfd314c944abaca110fc2b4e1e3e_22">
              <w:r>
                <w:rPr>
                  <w:rStyle w:val="InternetLink"/>
                  <w:rFonts w:ascii="Times New Roman;serif" w:hAnsi="Times New Roman;serif"/>
                  <w:b w:val="false"/>
                  <w:color w:val="000080"/>
                  <w:sz w:val="20"/>
                  <w:u w:val="single"/>
                </w:rPr>
                <w:t xml:space="preserve"> (Unaudited) for the three months</w:t>
              </w:r>
            </w:hyperlink>
            <w:hyperlink w:anchor="i92b3bfd314c944abaca110fc2b4e1e3e_22">
              <w:r>
                <w:rPr>
                  <w:rStyle w:val="InternetLink"/>
                  <w:rFonts w:ascii="Times New Roman;serif" w:hAnsi="Times New Roman;serif"/>
                  <w:b w:val="false"/>
                  <w:color w:val="000080"/>
                  <w:sz w:val="20"/>
                  <w:u w:val="single"/>
                </w:rPr>
                <w:t xml:space="preserve"> and six mo</w:t>
              </w:r>
            </w:hyperlink>
            <w:hyperlink w:anchor="i92b3bfd314c944abaca110fc2b4e1e3e_22">
              <w:r>
                <w:rPr>
                  <w:rStyle w:val="InternetLink"/>
                  <w:rFonts w:ascii="Times New Roman;serif" w:hAnsi="Times New Roman;serif"/>
                  <w:b w:val="false"/>
                  <w:color w:val="000080"/>
                  <w:sz w:val="20"/>
                  <w:u w:val="single"/>
                </w:rPr>
                <w:t>nths</w:t>
              </w:r>
            </w:hyperlink>
            <w:hyperlink w:anchor="i92b3bfd314c944abaca110fc2b4e1e3e_22">
              <w:r>
                <w:rPr>
                  <w:rStyle w:val="InternetLink"/>
                  <w:rFonts w:ascii="Times New Roman;serif" w:hAnsi="Times New Roman;serif"/>
                  <w:b w:val="false"/>
                  <w:color w:val="000080"/>
                  <w:sz w:val="20"/>
                  <w:u w:val="single"/>
                </w:rPr>
                <w:t xml:space="preserve"> </w:t>
              </w:r>
            </w:hyperlink>
            <w:hyperlink w:anchor="i92b3bfd314c944abaca110fc2b4e1e3e_22">
              <w:r>
                <w:rPr>
                  <w:rStyle w:val="InternetLink"/>
                  <w:rFonts w:ascii="Times New Roman;serif" w:hAnsi="Times New Roman;serif"/>
                  <w:b w:val="false"/>
                  <w:color w:val="000080"/>
                  <w:sz w:val="20"/>
                  <w:u w:val="single"/>
                </w:rPr>
                <w:t xml:space="preserve">ended </w:t>
              </w:r>
            </w:hyperlink>
            <w:hyperlink w:anchor="i92b3bfd314c944abaca110fc2b4e1e3e_22">
              <w:r>
                <w:rPr>
                  <w:rStyle w:val="InternetLink"/>
                  <w:rFonts w:ascii="Times New Roman;serif" w:hAnsi="Times New Roman;serif"/>
                  <w:b w:val="false"/>
                  <w:color w:val="000080"/>
                  <w:sz w:val="20"/>
                  <w:u w:val="single"/>
                </w:rPr>
                <w:t>June 30</w:t>
              </w:r>
            </w:hyperlink>
            <w:hyperlink w:anchor="i92b3bfd314c944abaca110fc2b4e1e3e_22">
              <w:r>
                <w:rPr>
                  <w:rStyle w:val="InternetLink"/>
                  <w:rFonts w:ascii="Times New Roman;serif" w:hAnsi="Times New Roman;serif"/>
                  <w:b w:val="false"/>
                  <w:color w:val="000080"/>
                  <w:sz w:val="20"/>
                  <w:u w:val="single"/>
                </w:rPr>
                <w:t>, 2026 and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22">
              <w:r>
                <w:rPr>
                  <w:rStyle w:val="InternetLink"/>
                  <w:rFonts w:ascii="Times New Roman;serif" w:hAnsi="Times New Roman;serif"/>
                  <w:b w:val="false"/>
                  <w:color w:val="0000FF"/>
                  <w:sz w:val="20"/>
                  <w:u w:val="single"/>
                </w:rPr>
                <w:t>6</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31">
              <w:r>
                <w:rPr>
                  <w:rStyle w:val="InternetLink"/>
                  <w:rFonts w:ascii="Times New Roman;serif" w:hAnsi="Times New Roman;serif"/>
                  <w:b w:val="false"/>
                  <w:color w:val="000080"/>
                  <w:sz w:val="20"/>
                  <w:u w:val="single"/>
                </w:rPr>
                <w:t>Condensed Consolidated Statements of Stockholders’ Equity (Unaudited) for the three months</w:t>
              </w:r>
            </w:hyperlink>
            <w:hyperlink w:anchor="i92b3bfd314c944abaca110fc2b4e1e3e_31">
              <w:r>
                <w:rPr>
                  <w:rStyle w:val="InternetLink"/>
                  <w:rFonts w:ascii="Times New Roman;serif" w:hAnsi="Times New Roman;serif"/>
                  <w:b w:val="false"/>
                  <w:color w:val="000080"/>
                  <w:sz w:val="20"/>
                  <w:u w:val="single"/>
                </w:rPr>
                <w:t xml:space="preserve"> and six months </w:t>
              </w:r>
            </w:hyperlink>
            <w:hyperlink w:anchor="i92b3bfd314c944abaca110fc2b4e1e3e_31">
              <w:r>
                <w:rPr>
                  <w:rStyle w:val="InternetLink"/>
                  <w:rFonts w:ascii="Times New Roman;serif" w:hAnsi="Times New Roman;serif"/>
                  <w:b w:val="false"/>
                  <w:color w:val="000080"/>
                  <w:sz w:val="20"/>
                  <w:u w:val="single"/>
                </w:rPr>
                <w:t xml:space="preserve">ended </w:t>
              </w:r>
            </w:hyperlink>
            <w:hyperlink w:anchor="i92b3bfd314c944abaca110fc2b4e1e3e_31">
              <w:r>
                <w:rPr>
                  <w:rStyle w:val="InternetLink"/>
                  <w:rFonts w:ascii="Times New Roman;serif" w:hAnsi="Times New Roman;serif"/>
                  <w:b w:val="false"/>
                  <w:color w:val="000080"/>
                  <w:sz w:val="20"/>
                  <w:u w:val="single"/>
                </w:rPr>
                <w:t>June 30</w:t>
              </w:r>
            </w:hyperlink>
            <w:hyperlink w:anchor="i92b3bfd314c944abaca110fc2b4e1e3e_31">
              <w:r>
                <w:rPr>
                  <w:rStyle w:val="InternetLink"/>
                  <w:rFonts w:ascii="Times New Roman;serif" w:hAnsi="Times New Roman;serif"/>
                  <w:b w:val="false"/>
                  <w:color w:val="000080"/>
                  <w:sz w:val="20"/>
                  <w:u w:val="single"/>
                </w:rPr>
                <w:t>, 2026 and 2025</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31">
              <w:r>
                <w:rPr>
                  <w:rStyle w:val="InternetLink"/>
                  <w:rFonts w:ascii="Times New Roman;serif" w:hAnsi="Times New Roman;serif"/>
                  <w:b w:val="false"/>
                  <w:color w:val="0000FF"/>
                  <w:sz w:val="20"/>
                  <w:u w:val="single"/>
                </w:rPr>
                <w:t>9</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37">
              <w:r>
                <w:rPr>
                  <w:rStyle w:val="InternetLink"/>
                  <w:rFonts w:ascii="Times New Roman;serif" w:hAnsi="Times New Roman;serif"/>
                  <w:b w:val="false"/>
                  <w:color w:val="000080"/>
                  <w:sz w:val="20"/>
                  <w:u w:val="single"/>
                </w:rPr>
                <w:t xml:space="preserve">Condensed Consolidated Statements of Cash Flows (Unaudited) for the </w:t>
              </w:r>
            </w:hyperlink>
            <w:hyperlink w:anchor="i92b3bfd314c944abaca110fc2b4e1e3e_37">
              <w:r>
                <w:rPr>
                  <w:rStyle w:val="InternetLink"/>
                  <w:rFonts w:ascii="Times New Roman;serif" w:hAnsi="Times New Roman;serif"/>
                  <w:b w:val="false"/>
                  <w:color w:val="000080"/>
                  <w:sz w:val="20"/>
                  <w:u w:val="single"/>
                </w:rPr>
                <w:t>six</w:t>
              </w:r>
            </w:hyperlink>
            <w:hyperlink w:anchor="i92b3bfd314c944abaca110fc2b4e1e3e_37">
              <w:r>
                <w:rPr>
                  <w:rStyle w:val="InternetLink"/>
                  <w:rFonts w:ascii="Times New Roman;serif" w:hAnsi="Times New Roman;serif"/>
                  <w:b w:val="false"/>
                  <w:color w:val="000080"/>
                  <w:sz w:val="20"/>
                  <w:u w:val="single"/>
                </w:rPr>
                <w:t xml:space="preserve"> months ended </w:t>
              </w:r>
            </w:hyperlink>
            <w:hyperlink w:anchor="i92b3bfd314c944abaca110fc2b4e1e3e_37">
              <w:r>
                <w:rPr>
                  <w:rStyle w:val="InternetLink"/>
                  <w:rFonts w:ascii="Times New Roman;serif" w:hAnsi="Times New Roman;serif"/>
                  <w:b w:val="false"/>
                  <w:color w:val="000080"/>
                  <w:sz w:val="20"/>
                  <w:u w:val="single"/>
                </w:rPr>
                <w:t>June 30</w:t>
              </w:r>
            </w:hyperlink>
            <w:hyperlink w:anchor="i92b3bfd314c944abaca110fc2b4e1e3e_37">
              <w:r>
                <w:rPr>
                  <w:rStyle w:val="InternetLink"/>
                  <w:rFonts w:ascii="Times New Roman;serif" w:hAnsi="Times New Roman;serif"/>
                  <w:b w:val="false"/>
                  <w:color w:val="000080"/>
                  <w:sz w:val="20"/>
                  <w:u w:val="single"/>
                </w:rPr>
                <w:t>, 2026 and 2025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37">
              <w:r>
                <w:rPr>
                  <w:rStyle w:val="InternetLink"/>
                  <w:rFonts w:ascii="Times New Roman;serif" w:hAnsi="Times New Roman;serif"/>
                  <w:b w:val="false"/>
                  <w:color w:val="0000FF"/>
                  <w:sz w:val="20"/>
                  <w:u w:val="single"/>
                </w:rPr>
                <w:t>11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40">
              <w:r>
                <w:rPr>
                  <w:rStyle w:val="InternetLink"/>
                  <w:rFonts w:ascii="Times New Roman;serif" w:hAnsi="Times New Roman;serif"/>
                  <w:b w:val="false"/>
                  <w:color w:val="0000FF"/>
                  <w:sz w:val="20"/>
                  <w:u w:val="single"/>
                </w:rPr>
                <w:t>Notes to Condensed Consolidated Financial Statements (Unaudited)</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40">
              <w:r>
                <w:rPr>
                  <w:rStyle w:val="InternetLink"/>
                  <w:rFonts w:ascii="Times New Roman;serif" w:hAnsi="Times New Roman;serif"/>
                  <w:b w:val="false"/>
                  <w:color w:val="0000FF"/>
                  <w:sz w:val="20"/>
                  <w:u w:val="single"/>
                </w:rPr>
                <w:t>12</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97">
              <w:r>
                <w:rPr>
                  <w:rStyle w:val="InternetLink"/>
                  <w:rFonts w:ascii="Times New Roman;serif" w:hAnsi="Times New Roman;serif"/>
                  <w:b w:val="false"/>
                  <w:color w:val="0000FF"/>
                  <w:sz w:val="20"/>
                  <w:u w:val="single"/>
                </w:rPr>
                <w:t xml:space="preserve">Item 2 —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97">
              <w:r>
                <w:rPr>
                  <w:rStyle w:val="InternetLink"/>
                  <w:rFonts w:ascii="Times New Roman;serif" w:hAnsi="Times New Roman;serif"/>
                  <w:b w:val="false"/>
                  <w:color w:val="0000FF"/>
                  <w:sz w:val="20"/>
                  <w:u w:val="single"/>
                </w:rPr>
                <w:t xml:space="preserve">Management’s Discussion and Analysis of Financial Condition and Results of Operations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97">
              <w:r>
                <w:rPr>
                  <w:rStyle w:val="InternetLink"/>
                  <w:rFonts w:ascii="Times New Roman;serif" w:hAnsi="Times New Roman;serif"/>
                  <w:b w:val="false"/>
                  <w:color w:val="0000FF"/>
                  <w:sz w:val="20"/>
                  <w:u w:val="single"/>
                </w:rPr>
                <w:t>44</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45">
              <w:r>
                <w:rPr>
                  <w:rStyle w:val="InternetLink"/>
                  <w:rFonts w:ascii="Times New Roman;serif" w:hAnsi="Times New Roman;serif"/>
                  <w:b w:val="false"/>
                  <w:color w:val="0000FF"/>
                  <w:sz w:val="20"/>
                  <w:u w:val="single"/>
                </w:rPr>
                <w:t xml:space="preserve">Item 3 — </w:t>
              </w:r>
            </w:hyperlink>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45">
              <w:r>
                <w:rPr>
                  <w:rStyle w:val="InternetLink"/>
                  <w:rFonts w:ascii="Times New Roman;serif" w:hAnsi="Times New Roman;serif"/>
                  <w:b w:val="false"/>
                  <w:color w:val="0000FF"/>
                  <w:sz w:val="20"/>
                  <w:u w:val="single"/>
                </w:rPr>
                <w:t xml:space="preserve">Quantitative and Qualitative Disclosures About Market Risk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45">
              <w:r>
                <w:rPr>
                  <w:rStyle w:val="InternetLink"/>
                  <w:rFonts w:ascii="Times New Roman;serif" w:hAnsi="Times New Roman;serif"/>
                  <w:b w:val="false"/>
                  <w:color w:val="0000FF"/>
                  <w:sz w:val="20"/>
                  <w:u w:val="single"/>
                </w:rPr>
                <w:t>78</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48">
              <w:r>
                <w:rPr>
                  <w:rStyle w:val="InternetLink"/>
                  <w:rFonts w:ascii="Times New Roman;serif" w:hAnsi="Times New Roman;serif"/>
                  <w:b w:val="false"/>
                  <w:color w:val="0000FF"/>
                  <w:sz w:val="20"/>
                  <w:u w:val="single"/>
                </w:rPr>
                <w:t xml:space="preserve">Item 4 —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48">
              <w:r>
                <w:rPr>
                  <w:rStyle w:val="InternetLink"/>
                  <w:rFonts w:ascii="Times New Roman;serif" w:hAnsi="Times New Roman;serif"/>
                  <w:b w:val="false"/>
                  <w:color w:val="0000FF"/>
                  <w:sz w:val="20"/>
                  <w:u w:val="single"/>
                </w:rPr>
                <w:t xml:space="preserve">Controls and Procedures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48">
              <w:r>
                <w:rPr>
                  <w:rStyle w:val="InternetLink"/>
                  <w:rFonts w:ascii="Times New Roman;serif" w:hAnsi="Times New Roman;serif"/>
                  <w:b w:val="false"/>
                  <w:color w:val="0000FF"/>
                  <w:sz w:val="20"/>
                  <w:u w:val="single"/>
                </w:rPr>
                <w:t>78</w:t>
              </w:r>
            </w:hyperlink>
          </w:p>
        </w:tc>
      </w:tr>
      <w:tr>
        <w:trP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80"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51">
              <w:r>
                <w:rPr>
                  <w:rStyle w:val="InternetLink"/>
                  <w:rFonts w:ascii="Times New Roman;serif" w:hAnsi="Times New Roman;serif"/>
                  <w:b/>
                  <w:color w:val="0000FF"/>
                  <w:sz w:val="20"/>
                  <w:u w:val="single"/>
                </w:rPr>
                <w:t>PART II — 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51">
              <w:r>
                <w:rPr>
                  <w:rStyle w:val="InternetLink"/>
                  <w:rFonts w:ascii="Times New Roman;serif" w:hAnsi="Times New Roman;serif"/>
                  <w:b w:val="false"/>
                  <w:color w:val="0000FF"/>
                  <w:sz w:val="20"/>
                  <w:u w:val="single"/>
                </w:rPr>
                <w:t>80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54">
              <w:r>
                <w:rPr>
                  <w:rStyle w:val="InternetLink"/>
                  <w:rFonts w:ascii="Times New Roman;serif" w:hAnsi="Times New Roman;serif"/>
                  <w:b w:val="false"/>
                  <w:color w:val="0000FF"/>
                  <w:sz w:val="20"/>
                  <w:u w:val="single"/>
                </w:rPr>
                <w:t xml:space="preserve">Item 1 —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54">
              <w:r>
                <w:rPr>
                  <w:rStyle w:val="InternetLink"/>
                  <w:rFonts w:ascii="Times New Roman;serif" w:hAnsi="Times New Roman;serif"/>
                  <w:b w:val="false"/>
                  <w:color w:val="0000FF"/>
                  <w:sz w:val="20"/>
                  <w:u w:val="single"/>
                </w:rPr>
                <w:t xml:space="preserve">Legal Proceedings </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54">
              <w:r>
                <w:rPr>
                  <w:rStyle w:val="InternetLink"/>
                  <w:rFonts w:ascii="Times New Roman;serif" w:hAnsi="Times New Roman;serif"/>
                  <w:b w:val="false"/>
                  <w:color w:val="0000FF"/>
                  <w:sz w:val="20"/>
                  <w:u w:val="single"/>
                </w:rPr>
                <w:t>80</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57">
              <w:r>
                <w:rPr>
                  <w:rStyle w:val="InternetLink"/>
                  <w:rFonts w:ascii="Times New Roman;serif" w:hAnsi="Times New Roman;serif"/>
                  <w:b w:val="false"/>
                  <w:color w:val="0000FF"/>
                  <w:sz w:val="20"/>
                  <w:u w:val="single"/>
                </w:rPr>
                <w:t xml:space="preserve">Item 1A — </w:t>
              </w:r>
            </w:hyperlink>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57">
              <w:r>
                <w:rPr>
                  <w:rStyle w:val="InternetLink"/>
                  <w:rFonts w:ascii="Times New Roman;serif" w:hAnsi="Times New Roman;serif"/>
                  <w:b w:val="false"/>
                  <w:color w:val="0000FF"/>
                  <w:sz w:val="20"/>
                  <w:u w:val="single"/>
                </w:rPr>
                <w:t xml:space="preserve">Risk Factors </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57">
              <w:r>
                <w:rPr>
                  <w:rStyle w:val="InternetLink"/>
                  <w:rFonts w:ascii="Times New Roman;serif" w:hAnsi="Times New Roman;serif"/>
                  <w:b w:val="false"/>
                  <w:color w:val="0000FF"/>
                  <w:sz w:val="20"/>
                  <w:u w:val="single"/>
                </w:rPr>
                <w:t>80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0">
              <w:r>
                <w:rPr>
                  <w:rStyle w:val="InternetLink"/>
                  <w:rFonts w:ascii="Times New Roman;serif" w:hAnsi="Times New Roman;serif"/>
                  <w:b w:val="false"/>
                  <w:color w:val="0000FF"/>
                  <w:sz w:val="20"/>
                  <w:u w:val="single"/>
                </w:rPr>
                <w:t>Item 2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0">
              <w:r>
                <w:rPr>
                  <w:rStyle w:val="InternetLink"/>
                  <w:rFonts w:ascii="Times New Roman;serif" w:hAnsi="Times New Roman;serif"/>
                  <w:b w:val="false"/>
                  <w:color w:val="0000FF"/>
                  <w:sz w:val="20"/>
                  <w:u w:val="single"/>
                </w:rPr>
                <w:t>Unregistered Sales of Equity Securities and Use of Proceeds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60">
              <w:r>
                <w:rPr>
                  <w:rStyle w:val="InternetLink"/>
                  <w:rFonts w:ascii="Times New Roman;serif" w:hAnsi="Times New Roman;serif"/>
                  <w:b w:val="false"/>
                  <w:color w:val="0000FF"/>
                  <w:sz w:val="20"/>
                  <w:u w:val="single"/>
                </w:rPr>
                <w:t>80</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3">
              <w:r>
                <w:rPr>
                  <w:rStyle w:val="InternetLink"/>
                  <w:rFonts w:ascii="Times New Roman;serif" w:hAnsi="Times New Roman;serif"/>
                  <w:b w:val="false"/>
                  <w:color w:val="0000FF"/>
                  <w:sz w:val="20"/>
                  <w:u w:val="single"/>
                </w:rPr>
                <w:t>Item 3 —</w:t>
              </w:r>
            </w:hyperlink>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3">
              <w:r>
                <w:rPr>
                  <w:rStyle w:val="InternetLink"/>
                  <w:rFonts w:ascii="Times New Roman;serif" w:hAnsi="Times New Roman;serif"/>
                  <w:b w:val="false"/>
                  <w:color w:val="0000FF"/>
                  <w:sz w:val="20"/>
                  <w:u w:val="single"/>
                </w:rPr>
                <w:t>Defaults Upon Senior Securities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63">
              <w:r>
                <w:rPr>
                  <w:rStyle w:val="InternetLink"/>
                  <w:rFonts w:ascii="Times New Roman;serif" w:hAnsi="Times New Roman;serif"/>
                  <w:b w:val="false"/>
                  <w:color w:val="0000FF"/>
                  <w:sz w:val="20"/>
                  <w:u w:val="single"/>
                </w:rPr>
                <w:t>80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6">
              <w:r>
                <w:rPr>
                  <w:rStyle w:val="InternetLink"/>
                  <w:rFonts w:ascii="Times New Roman;serif" w:hAnsi="Times New Roman;serif"/>
                  <w:b w:val="false"/>
                  <w:color w:val="0000FF"/>
                  <w:sz w:val="20"/>
                  <w:u w:val="single"/>
                </w:rPr>
                <w:t xml:space="preserve">Item 4 —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6">
              <w:r>
                <w:rPr>
                  <w:rStyle w:val="InternetLink"/>
                  <w:rFonts w:ascii="Times New Roman;serif" w:hAnsi="Times New Roman;serif"/>
                  <w:b w:val="false"/>
                  <w:color w:val="0000FF"/>
                  <w:sz w:val="20"/>
                  <w:u w:val="single"/>
                </w:rPr>
                <w:t>Mine Safety Disclosures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66">
              <w:r>
                <w:rPr>
                  <w:rStyle w:val="InternetLink"/>
                  <w:rFonts w:ascii="Times New Roman;serif" w:hAnsi="Times New Roman;serif"/>
                  <w:b w:val="false"/>
                  <w:color w:val="0000FF"/>
                  <w:sz w:val="20"/>
                  <w:u w:val="single"/>
                </w:rPr>
                <w:t>80</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9">
              <w:r>
                <w:rPr>
                  <w:rStyle w:val="InternetLink"/>
                  <w:rFonts w:ascii="Times New Roman;serif" w:hAnsi="Times New Roman;serif"/>
                  <w:b w:val="false"/>
                  <w:color w:val="0000FF"/>
                  <w:sz w:val="20"/>
                  <w:u w:val="single"/>
                </w:rPr>
                <w:t xml:space="preserve">Item 5 — </w:t>
              </w:r>
            </w:hyperlink>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69">
              <w:r>
                <w:rPr>
                  <w:rStyle w:val="InternetLink"/>
                  <w:rFonts w:ascii="Times New Roman;serif" w:hAnsi="Times New Roman;serif"/>
                  <w:b w:val="false"/>
                  <w:color w:val="0000FF"/>
                  <w:sz w:val="20"/>
                  <w:u w:val="single"/>
                </w:rPr>
                <w:t>Other Information</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69">
              <w:r>
                <w:rPr>
                  <w:rStyle w:val="InternetLink"/>
                  <w:rFonts w:ascii="Times New Roman;serif" w:hAnsi="Times New Roman;serif"/>
                  <w:b w:val="false"/>
                  <w:color w:val="0000FF"/>
                  <w:sz w:val="20"/>
                  <w:u w:val="single"/>
                </w:rPr>
                <w:t>80</w:t>
              </w:r>
            </w:hyperlink>
          </w:p>
        </w:tc>
      </w:tr>
      <w:tr>
        <w:trPr/>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75">
              <w:r>
                <w:rPr>
                  <w:rStyle w:val="InternetLink"/>
                  <w:rFonts w:ascii="Times New Roman;serif" w:hAnsi="Times New Roman;serif"/>
                  <w:b w:val="false"/>
                  <w:color w:val="0000FF"/>
                  <w:sz w:val="20"/>
                  <w:u w:val="single"/>
                </w:rPr>
                <w:t>Item 6 —</w:t>
              </w:r>
            </w:hyperlink>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75">
              <w:r>
                <w:rPr>
                  <w:rStyle w:val="InternetLink"/>
                  <w:rFonts w:ascii="Times New Roman;serif" w:hAnsi="Times New Roman;serif"/>
                  <w:b w:val="false"/>
                  <w:color w:val="0000FF"/>
                  <w:sz w:val="20"/>
                  <w:u w:val="single"/>
                </w:rPr>
                <w:t>Exhibits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75">
              <w:r>
                <w:rPr>
                  <w:rStyle w:val="InternetLink"/>
                  <w:rFonts w:ascii="Times New Roman;serif" w:hAnsi="Times New Roman;serif"/>
                  <w:b w:val="false"/>
                  <w:color w:val="0000FF"/>
                  <w:sz w:val="20"/>
                  <w:u w:val="single"/>
                </w:rPr>
                <w:t>81</w:t>
              </w:r>
            </w:hyperlink>
          </w:p>
        </w:tc>
      </w:tr>
      <w:tr>
        <w:trP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2b3bfd314c944abaca110fc2b4e1e3e_178">
              <w:r>
                <w:rPr>
                  <w:rStyle w:val="InternetLink"/>
                  <w:rFonts w:ascii="Times New Roman;serif" w:hAnsi="Times New Roman;serif"/>
                  <w:b w:val="false"/>
                  <w:color w:val="0000FF"/>
                  <w:sz w:val="20"/>
                  <w:u w:val="single"/>
                </w:rPr>
                <w:t>Signatures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2b3bfd314c944abaca110fc2b4e1e3e_178">
              <w:r>
                <w:rPr>
                  <w:rStyle w:val="InternetLink"/>
                  <w:rFonts w:ascii="Times New Roman;serif" w:hAnsi="Times New Roman;serif"/>
                  <w:b w:val="false"/>
                  <w:color w:val="0000FF"/>
                  <w:sz w:val="20"/>
                  <w:u w:val="single"/>
                </w:rPr>
                <w:t>82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color w:val="000000"/>
          <w:sz w:val="20"/>
          <w:u w:val="single"/>
        </w:rPr>
        <w:t>Forward-Looking Statements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Quarterly Report contains forward</w:t>
        <w:noBreakHyphen/>
        <w:t>looking statements within the meaning of the Private Securities Litigation Reform Act of 1995. The events described in forward</w:t>
        <w:noBreakHyphen/>
        <w:t>looking statements contained in this Quarterly Report may not occur. Generally, these statements relate to business plans or strategies, projected or anticipated results or other consequences of our plans or strategies, projected or anticipated results from acquisitions to be made by us, or projections involving anticipated revenues, earnings, costs or other aspects of our operating results. The words “may,” “will,” “expect,” “believe,” “anticipate,” “project,” “plan,” “intend,” “estimate,” and “continue,” and their opposites and similar expressions are intended to identify forward</w:t>
        <w:noBreakHyphen/>
        <w:t xml:space="preserve">looking statements. We caution you that these statements are not guarantees of future performance or events and are subject to a number of uncertainties, risks and other influences, many of which are beyond our control, which may influence the accuracy of the statements and the projections upon which the statements are based. Factors which may cause actual results and outcomes to differ materially from those contained in the forward-looking statements include, but are not limited to, the risks and uncertainties discussed in Part I, Item 1A (“Risk Factors”) of our Annual Report on Form 10-K for the year ended December 31, 2025, Part I, Item 2 of this Quarterly Report and Part II, Item 1A of this Quarterly Report.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Any one or more of these uncertainties, risks and other influences could materially affect our results of operations and whether forward</w:t>
        <w:noBreakHyphen/>
        <w:t>looking statements made by us ultimately prove to be accurate. Our actual results, performance and achievements could differ materially from those expressed or implied in these forward</w:t>
        <w:noBreakHyphen/>
        <w:t>looking statements. We undertake no obligation to publicly update or revise any forward</w:t>
        <w:noBreakHyphen/>
        <w:t xml:space="preserve">looking statements, whether from new information, future events or otherwise except as required by law.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center"/>
        <w:rPr/>
      </w:pPr>
      <w:r>
        <w:rPr>
          <w:rFonts w:ascii="Times New Roman;serif" w:hAnsi="Times New Roman;serif"/>
          <w:b/>
          <w:color w:val="000000"/>
          <w:sz w:val="20"/>
        </w:rPr>
        <w:t xml:space="preserve">PART I. </w:t>
      </w:r>
      <w:r>
        <w:rPr>
          <w:rFonts w:ascii="Times New Roman;serif" w:hAnsi="Times New Roman;serif"/>
          <w:b/>
          <w:color w:val="000000"/>
          <w:sz w:val="20"/>
          <w:u w:val="single"/>
        </w:rPr>
        <w:t>FINANCIAL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20"/>
        </w:rPr>
        <w:t xml:space="preserve">Item 1. </w:t>
      </w:r>
      <w:r>
        <w:rPr>
          <w:rFonts w:ascii="Times New Roman;serif" w:hAnsi="Times New Roman;serif"/>
          <w:b/>
          <w:color w:val="000000"/>
          <w:sz w:val="20"/>
          <w:u w:val="single"/>
        </w:rPr>
        <w:t>Financial Statements</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350"/>
        <w:gridCol w:w="2031"/>
        <w:gridCol w:w="2053"/>
        <w:gridCol w:w="210"/>
        <w:gridCol w:w="1128"/>
        <w:gridCol w:w="116"/>
        <w:gridCol w:w="116"/>
        <w:gridCol w:w="116"/>
        <w:gridCol w:w="116"/>
        <w:gridCol w:w="210"/>
        <w:gridCol w:w="1128"/>
        <w:gridCol w:w="631"/>
      </w:tblGrid>
      <w:tr>
        <w:trPr/>
        <w:tc>
          <w:tcPr>
            <w:tcW w:w="2350"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KINGSTONE COMPANIES, INC. AND SUBSIDIARIES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tc>
      </w:tr>
      <w:tr>
        <w:trPr/>
        <w:tc>
          <w:tcPr>
            <w:tcW w:w="643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43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(unaudited) </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Fixed-maturity securities, held-to-maturity, at amortized cost (fair value of $5,065,341 at June 30, 2026 and $5,137,267 at December 31, 2025) </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6,039,691 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6,042,348 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Fixed-maturity securities, available-for-sale, at fair value (amortized cost of $324,716,045 at June 30, 2026 and $296,738,055 at December 31, 2025)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Equity securities, at fair value (cost of $13,598,454 at June 30, 2026 and $13,546,654 at December 31, 2025)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9,810,500 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investments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4,280,522 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4,552,378 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investments </w:t>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334,056,643 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309,688,511 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 xml:space="preserve">Cash and cash equivalents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16,924,856 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12,178,730 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Premiums receivable, net of allowance for credit losses of $80,779 at June 30, 2026, and $20,831 at December 31, 2025</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19,284,233 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21,012,408 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Reinsurance receivables, net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53,310,542 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58,996,945 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reinsurance</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1,807,102 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2,142,329 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policy acquisition costs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27,576,599 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27,867,207 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Intangible assets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and equipment, net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8,164,732 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7,897,675 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income taxes, net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5,482,371 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4,179,559 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10,826,794 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8,961,787 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Total assets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477,933,872 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453,425,151 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op w:val="doub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Liabilities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and loss adjustment expense reserves </w:t>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167,475,018 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140,538,618 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Unearned premiums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152,627,206 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154,028,072 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Advance premiums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6,142,453 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4,003,453 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Reinsurance balances payable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1,698,082 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5,232,319 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ceding commission revenue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2,830,354 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8,362,529 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accrued expenses and other liabilities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10,018,235 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11,253,649 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4,181,916 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2,835,135 </w:t>
            </w:r>
          </w:p>
        </w:tc>
        <w:tc>
          <w:tcPr>
            <w:tcW w:w="6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Debt, net (current $1,335,349 and long-term $2,465,799 at June 30, 2026, current $1,296,900 and long-term $3,143,227 at December 31, 2025)</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3,801,148 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4,440,127 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w:t>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348,774,412 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330,693,902 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Commitments and Contingencies (Note 11) </w:t>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Stockholders' Equity </w:t>
            </w:r>
          </w:p>
        </w:tc>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 $0.01 par value; authorized 2,500,000 shares </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Common stock, $0.01 par value; authorized 20,000,000 shares; issued 16,018,235 shares at June 30, 2026 and 15,921,651 shares at December 31, 2025; outstanding 14,474,664 shares at June 30, 2026 and 14,397,526 shares at December 31, 2025</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160,182 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159,216 </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in excess of par</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100,568,894 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99,624,713 </w:t>
            </w:r>
          </w:p>
        </w:tc>
        <w:tc>
          <w:tcPr>
            <w:tcW w:w="63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other comprehensive loss </w:t>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(8,522,036)</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(6,081,530)</w:t>
            </w:r>
          </w:p>
        </w:tc>
        <w:tc>
          <w:tcPr>
            <w:tcW w:w="631"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42,812,260 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34,596,857 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 </w:t>
            </w:r>
            <w:r>
              <w:rPr>
                <w:rFonts w:ascii="Times New Roman;serif" w:hAnsi="Times New Roman;serif"/>
                <w:b/>
                <w:color w:val="000000"/>
                <w:sz w:val="18"/>
              </w:rPr>
              <w:t>Stockholders' equity before treasury stock</w:t>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135,019,300 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128,299,256 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90"/>
              <w:jc w:val="left"/>
              <w:rPr>
                <w:color w:val="000000"/>
              </w:rPr>
            </w:pPr>
            <w:r>
              <w:rPr>
                <w:color w:val="000000"/>
              </w:rPr>
              <w:t> </w:t>
            </w:r>
            <w:r>
              <w:rPr>
                <w:rFonts w:ascii="Times New Roman;serif" w:hAnsi="Times New Roman;serif"/>
                <w:b w:val="false"/>
                <w:color w:val="000000"/>
                <w:sz w:val="18"/>
              </w:rPr>
              <w:t>Treasury stock, at cost, 1,543,571 shares at June 30, 2026 and 1,524,125 at December 31, 2025</w:t>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(5,859,840)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Total stockholders' equity </w:t>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129,159,460 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122,731,249 </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Total liabilities and stockholders' equity </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477,933,872 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453,425,151 </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i/>
          <w:color w:val="000000"/>
          <w:sz w:val="20"/>
        </w:rPr>
        <w:t>See accompanying notes to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0" w:after="0"/>
        <w:jc w:val="center"/>
        <w:rPr/>
      </w:pPr>
      <w:r>
        <w:rPr>
          <w:rFonts w:ascii="Times New Roman;serif" w:hAnsi="Times New Roman;serif"/>
          <w:b/>
          <w:color w:val="000000"/>
          <w:sz w:val="20"/>
        </w:rPr>
        <w:t>KINGSTONE COMPANIES, INC. AND SUBSIDIARIES</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Condensed Consolidated Statements of Income and Comprehensive Income (Unaudited)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55"/>
        <w:gridCol w:w="1024"/>
        <w:gridCol w:w="918"/>
        <w:gridCol w:w="196"/>
        <w:gridCol w:w="961"/>
        <w:gridCol w:w="109"/>
        <w:gridCol w:w="109"/>
        <w:gridCol w:w="109"/>
        <w:gridCol w:w="109"/>
        <w:gridCol w:w="196"/>
        <w:gridCol w:w="961"/>
        <w:gridCol w:w="109"/>
        <w:gridCol w:w="109"/>
        <w:gridCol w:w="109"/>
        <w:gridCol w:w="109"/>
        <w:gridCol w:w="196"/>
        <w:gridCol w:w="1051"/>
        <w:gridCol w:w="109"/>
        <w:gridCol w:w="109"/>
        <w:gridCol w:w="109"/>
        <w:gridCol w:w="109"/>
        <w:gridCol w:w="196"/>
        <w:gridCol w:w="961"/>
        <w:gridCol w:w="582"/>
      </w:tblGrid>
      <w:tr>
        <w:trPr/>
        <w:tc>
          <w:tcPr>
            <w:tcW w:w="1655"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Three Months Ended</w:t>
              <w:b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2"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Six Months Ended</w:t>
              <w:br/>
              <w:t>June 30,</w:t>
            </w:r>
          </w:p>
        </w:tc>
      </w:tr>
      <w:tr>
        <w:trPr/>
        <w:tc>
          <w:tcPr>
            <w:tcW w:w="3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59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4,348,863 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408,472 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Realized gain on sale of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1,965,989 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291,660 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65,853,546 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52,294,779 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125,629,282 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102,793,554 </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11,573,138 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21,768,550 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19,942,509 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7,727,367 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15,132,789 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2,189,217 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1,237,227 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304,528 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46,341,501 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38,128,076 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113,518,479 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83,908,510 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 before taxes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19,512,045 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14,166,703 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12,110,803 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18,885,044 </w:t>
            </w:r>
          </w:p>
        </w:tc>
        <w:tc>
          <w:tcPr>
            <w:tcW w:w="582"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4,041,874 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2,448,882 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3,750,052 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income</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15,470,171 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11,252,332 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9,661,921 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Other comprehensive (loss) income, net of tax </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(increase) decrease in net unrealized losses on available-for-sale-securities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(689,985)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1,289,253 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(3,294,501)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4,101,685 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Reclassification adjustment for net realized losses included in net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5,804 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net unrealized losses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(487,657)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1,293,331 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(3,089,250)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4,107,489 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benefit (expense) related to items of other comprehensive (loss)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648,744 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(862,572)</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comprehensive (loss) income, net of tax</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(385,249)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1,021,731 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(2,440,506)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3,244,917 </w:t>
            </w:r>
          </w:p>
        </w:tc>
        <w:tc>
          <w:tcPr>
            <w:tcW w:w="5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Comprehensive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15,084,922 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12,274,063 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7,221,415 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18,379,909 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Earnings per common share:</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1.10 </w:t>
            </w:r>
          </w:p>
        </w:tc>
        <w:tc>
          <w:tcPr>
            <w:tcW w:w="582"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58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Weighted average common shares outstanding</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14,480,305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13,925,707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14,467,100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225"/>
              <w:jc w:val="right"/>
              <w:rPr>
                <w:rFonts w:ascii="Times New Roman;serif" w:hAnsi="Times New Roman;serif"/>
                <w:b w:val="false"/>
                <w:color w:val="000000"/>
                <w:sz w:val="18"/>
              </w:rPr>
            </w:pPr>
            <w:r>
              <w:rPr>
                <w:rFonts w:ascii="Times New Roman;serif" w:hAnsi="Times New Roman;serif"/>
                <w:b w:val="false"/>
                <w:color w:val="000000"/>
                <w:sz w:val="18"/>
              </w:rPr>
              <w:t>13,700,308</w:t>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2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14,671,627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14,387,538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14,638,799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14,148,748</w:t>
            </w:r>
          </w:p>
        </w:tc>
      </w:tr>
      <w:tr>
        <w:trPr/>
        <w:tc>
          <w:tcPr>
            <w:tcW w:w="3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18"/>
              </w:rPr>
              <w:t xml:space="preserve">Dividends declared and paid per common share </w:t>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582"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center"/>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KINGSTONE COMPANIES, INC. AND SUBSIDIARIES </w:t>
      </w:r>
    </w:p>
    <w:tbl>
      <w:tblPr>
        <w:tblW w:w="6255" w:type="dxa"/>
        <w:jc w:val="left"/>
        <w:tblInd w:w="0" w:type="dxa"/>
        <w:tblLayout w:type="fixed"/>
        <w:tblCellMar>
          <w:top w:w="28" w:type="dxa"/>
          <w:left w:w="28" w:type="dxa"/>
          <w:bottom w:w="28" w:type="dxa"/>
          <w:right w:w="28" w:type="dxa"/>
        </w:tblCellMar>
      </w:tblPr>
      <w:tblGrid>
        <w:gridCol w:w="2003"/>
        <w:gridCol w:w="1761"/>
        <w:gridCol w:w="2491"/>
      </w:tblGrid>
      <w:tr>
        <w:trPr/>
        <w:tc>
          <w:tcPr>
            <w:tcW w:w="20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c>
      </w:tr>
      <w:tr>
        <w:trPr/>
        <w:tc>
          <w:tcPr>
            <w:tcW w:w="62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w:t>
            </w:r>
          </w:p>
        </w:tc>
      </w:tr>
    </w:tbl>
    <w:tbl>
      <w:tblPr>
        <w:tblW w:w="14769" w:type="dxa"/>
        <w:jc w:val="left"/>
        <w:tblInd w:w="0" w:type="dxa"/>
        <w:tblLayout w:type="fixed"/>
        <w:tblCellMar>
          <w:top w:w="28" w:type="dxa"/>
          <w:left w:w="28" w:type="dxa"/>
          <w:bottom w:w="28" w:type="dxa"/>
          <w:right w:w="28" w:type="dxa"/>
        </w:tblCellMar>
      </w:tblPr>
      <w:tblGrid>
        <w:gridCol w:w="864"/>
        <w:gridCol w:w="241"/>
        <w:gridCol w:w="231"/>
        <w:gridCol w:w="195"/>
        <w:gridCol w:w="195"/>
        <w:gridCol w:w="196"/>
        <w:gridCol w:w="109"/>
        <w:gridCol w:w="109"/>
        <w:gridCol w:w="109"/>
        <w:gridCol w:w="262"/>
        <w:gridCol w:w="282"/>
        <w:gridCol w:w="147"/>
        <w:gridCol w:w="109"/>
        <w:gridCol w:w="109"/>
        <w:gridCol w:w="109"/>
        <w:gridCol w:w="304"/>
        <w:gridCol w:w="304"/>
        <w:gridCol w:w="308"/>
        <w:gridCol w:w="109"/>
        <w:gridCol w:w="109"/>
        <w:gridCol w:w="109"/>
        <w:gridCol w:w="196"/>
        <w:gridCol w:w="736"/>
        <w:gridCol w:w="109"/>
        <w:gridCol w:w="109"/>
        <w:gridCol w:w="109"/>
        <w:gridCol w:w="109"/>
        <w:gridCol w:w="196"/>
        <w:gridCol w:w="1051"/>
        <w:gridCol w:w="109"/>
        <w:gridCol w:w="109"/>
        <w:gridCol w:w="109"/>
        <w:gridCol w:w="109"/>
        <w:gridCol w:w="196"/>
        <w:gridCol w:w="911"/>
        <w:gridCol w:w="109"/>
        <w:gridCol w:w="109"/>
        <w:gridCol w:w="109"/>
        <w:gridCol w:w="109"/>
        <w:gridCol w:w="196"/>
        <w:gridCol w:w="961"/>
        <w:gridCol w:w="109"/>
        <w:gridCol w:w="109"/>
        <w:gridCol w:w="109"/>
        <w:gridCol w:w="109"/>
        <w:gridCol w:w="274"/>
        <w:gridCol w:w="274"/>
        <w:gridCol w:w="278"/>
        <w:gridCol w:w="109"/>
        <w:gridCol w:w="109"/>
        <w:gridCol w:w="109"/>
        <w:gridCol w:w="196"/>
        <w:gridCol w:w="886"/>
        <w:gridCol w:w="109"/>
        <w:gridCol w:w="109"/>
        <w:gridCol w:w="109"/>
        <w:gridCol w:w="109"/>
        <w:gridCol w:w="196"/>
        <w:gridCol w:w="105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Capital </w:t>
              <w:br/>
              <w:t xml:space="preserve">in Excess </w:t>
              <w:br/>
              <w:t xml:space="preserve">of 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 xml:space="preserve">Other </w:t>
              <w:br/>
              <w:t>Comprehensive</w:t>
              <w:br/>
              <w:t xml:space="preserv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Total </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April 1, 2026</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16,006,728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99,982,907 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(8,136,787)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28,066,331 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114,504,510 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deducted from restricted stock awards for payment of withholding taxes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(3,655)</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(59,828)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(724,242)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(724,242)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15,470,171 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15,470,171 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unrealized losses on available-for-sale securities,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(385,249)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(385,249)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16,018,235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160,182 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100,568,894 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(8,522,036)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42,812,260 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1,543,571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(5,859,840)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129,159,460 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left"/>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KINGSTONE COMPANIES, INC. AND SUBSIDIARIES </w:t>
      </w:r>
    </w:p>
    <w:tbl>
      <w:tblPr>
        <w:tblW w:w="6255" w:type="dxa"/>
        <w:jc w:val="left"/>
        <w:tblInd w:w="0" w:type="dxa"/>
        <w:tblLayout w:type="fixed"/>
        <w:tblCellMar>
          <w:top w:w="28" w:type="dxa"/>
          <w:left w:w="28" w:type="dxa"/>
          <w:bottom w:w="28" w:type="dxa"/>
          <w:right w:w="28" w:type="dxa"/>
        </w:tblCellMar>
      </w:tblPr>
      <w:tblGrid>
        <w:gridCol w:w="2003"/>
        <w:gridCol w:w="1761"/>
        <w:gridCol w:w="2491"/>
      </w:tblGrid>
      <w:tr>
        <w:trPr/>
        <w:tc>
          <w:tcPr>
            <w:tcW w:w="20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c>
      </w:tr>
      <w:tr>
        <w:trPr/>
        <w:tc>
          <w:tcPr>
            <w:tcW w:w="62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w:t>
            </w:r>
          </w:p>
        </w:tc>
      </w:tr>
    </w:tbl>
    <w:p>
      <w:pPr>
        <w:pStyle w:val="TextBody"/>
        <w:bidi w:val="0"/>
        <w:spacing w:before="160" w:after="283"/>
        <w:jc w:val="left"/>
        <w:rPr/>
      </w:pPr>
      <w:r>
        <w:rPr/>
      </w:r>
    </w:p>
    <w:tbl>
      <w:tblPr>
        <w:tblW w:w="14717" w:type="dxa"/>
        <w:jc w:val="left"/>
        <w:tblInd w:w="0" w:type="dxa"/>
        <w:tblLayout w:type="fixed"/>
        <w:tblCellMar>
          <w:top w:w="28" w:type="dxa"/>
          <w:left w:w="28" w:type="dxa"/>
          <w:bottom w:w="28" w:type="dxa"/>
          <w:right w:w="28" w:type="dxa"/>
        </w:tblCellMar>
      </w:tblPr>
      <w:tblGrid>
        <w:gridCol w:w="864"/>
        <w:gridCol w:w="241"/>
        <w:gridCol w:w="231"/>
        <w:gridCol w:w="195"/>
        <w:gridCol w:w="195"/>
        <w:gridCol w:w="196"/>
        <w:gridCol w:w="109"/>
        <w:gridCol w:w="109"/>
        <w:gridCol w:w="109"/>
        <w:gridCol w:w="262"/>
        <w:gridCol w:w="282"/>
        <w:gridCol w:w="147"/>
        <w:gridCol w:w="109"/>
        <w:gridCol w:w="109"/>
        <w:gridCol w:w="109"/>
        <w:gridCol w:w="368"/>
        <w:gridCol w:w="368"/>
        <w:gridCol w:w="308"/>
        <w:gridCol w:w="109"/>
        <w:gridCol w:w="109"/>
        <w:gridCol w:w="109"/>
        <w:gridCol w:w="196"/>
        <w:gridCol w:w="736"/>
        <w:gridCol w:w="109"/>
        <w:gridCol w:w="109"/>
        <w:gridCol w:w="109"/>
        <w:gridCol w:w="109"/>
        <w:gridCol w:w="196"/>
        <w:gridCol w:w="961"/>
        <w:gridCol w:w="109"/>
        <w:gridCol w:w="109"/>
        <w:gridCol w:w="109"/>
        <w:gridCol w:w="109"/>
        <w:gridCol w:w="196"/>
        <w:gridCol w:w="911"/>
        <w:gridCol w:w="109"/>
        <w:gridCol w:w="109"/>
        <w:gridCol w:w="109"/>
        <w:gridCol w:w="109"/>
        <w:gridCol w:w="196"/>
        <w:gridCol w:w="961"/>
        <w:gridCol w:w="109"/>
        <w:gridCol w:w="109"/>
        <w:gridCol w:w="109"/>
        <w:gridCol w:w="109"/>
        <w:gridCol w:w="274"/>
        <w:gridCol w:w="274"/>
        <w:gridCol w:w="278"/>
        <w:gridCol w:w="109"/>
        <w:gridCol w:w="109"/>
        <w:gridCol w:w="109"/>
        <w:gridCol w:w="196"/>
        <w:gridCol w:w="886"/>
        <w:gridCol w:w="109"/>
        <w:gridCol w:w="109"/>
        <w:gridCol w:w="109"/>
        <w:gridCol w:w="109"/>
        <w:gridCol w:w="196"/>
        <w:gridCol w:w="961"/>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Preferred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Capital </w:t>
              <w:br/>
              <w:t xml:space="preserve">in Excess </w:t>
              <w:br/>
              <w:t xml:space="preserve">of Par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 xml:space="preserve">Other </w:t>
              <w:br/>
              <w:t xml:space="preserve">Comprehensive </w:t>
              <w:br/>
              <w:t xml:space="preserve">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Treasury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Amount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Total </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April 1, 2025</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15,283,417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152,834 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98,450,640 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(9,952,290)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(873,214)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82,209,963 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471,857 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3,334 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deducted from restricted stock awards for payment of withholding taxes</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4,057 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39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371,634 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Offering costs on previously issued common stock</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11,252,332 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net unrealized losses on available-for-sale securities,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1,021,731 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15,661,240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156,612 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98,840,728 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(8,930,559)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10,379,118 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94,877,892 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left"/>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KINGSTONE COMPANIES, INC. AND SUBSIDIARIES </w:t>
      </w:r>
    </w:p>
    <w:tbl>
      <w:tblPr>
        <w:tblW w:w="6255" w:type="dxa"/>
        <w:jc w:val="left"/>
        <w:tblInd w:w="0" w:type="dxa"/>
        <w:tblLayout w:type="fixed"/>
        <w:tblCellMar>
          <w:top w:w="28" w:type="dxa"/>
          <w:left w:w="28" w:type="dxa"/>
          <w:bottom w:w="28" w:type="dxa"/>
          <w:right w:w="28" w:type="dxa"/>
        </w:tblCellMar>
      </w:tblPr>
      <w:tblGrid>
        <w:gridCol w:w="2003"/>
        <w:gridCol w:w="1761"/>
        <w:gridCol w:w="2491"/>
      </w:tblGrid>
      <w:tr>
        <w:trPr/>
        <w:tc>
          <w:tcPr>
            <w:tcW w:w="20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c>
      </w:tr>
      <w:tr>
        <w:trPr/>
        <w:tc>
          <w:tcPr>
            <w:tcW w:w="62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2026</w:t>
            </w:r>
          </w:p>
        </w:tc>
      </w:tr>
    </w:tbl>
    <w:tbl>
      <w:tblPr>
        <w:tblW w:w="14920" w:type="dxa"/>
        <w:jc w:val="left"/>
        <w:tblInd w:w="0" w:type="dxa"/>
        <w:tblLayout w:type="fixed"/>
        <w:tblCellMar>
          <w:top w:w="28" w:type="dxa"/>
          <w:left w:w="28" w:type="dxa"/>
          <w:bottom w:w="28" w:type="dxa"/>
          <w:right w:w="28" w:type="dxa"/>
        </w:tblCellMar>
      </w:tblPr>
      <w:tblGrid>
        <w:gridCol w:w="876"/>
        <w:gridCol w:w="229"/>
        <w:gridCol w:w="231"/>
        <w:gridCol w:w="195"/>
        <w:gridCol w:w="195"/>
        <w:gridCol w:w="196"/>
        <w:gridCol w:w="109"/>
        <w:gridCol w:w="109"/>
        <w:gridCol w:w="109"/>
        <w:gridCol w:w="262"/>
        <w:gridCol w:w="282"/>
        <w:gridCol w:w="147"/>
        <w:gridCol w:w="109"/>
        <w:gridCol w:w="109"/>
        <w:gridCol w:w="109"/>
        <w:gridCol w:w="330"/>
        <w:gridCol w:w="331"/>
        <w:gridCol w:w="308"/>
        <w:gridCol w:w="109"/>
        <w:gridCol w:w="109"/>
        <w:gridCol w:w="109"/>
        <w:gridCol w:w="196"/>
        <w:gridCol w:w="736"/>
        <w:gridCol w:w="109"/>
        <w:gridCol w:w="109"/>
        <w:gridCol w:w="109"/>
        <w:gridCol w:w="109"/>
        <w:gridCol w:w="196"/>
        <w:gridCol w:w="1051"/>
        <w:gridCol w:w="109"/>
        <w:gridCol w:w="109"/>
        <w:gridCol w:w="109"/>
        <w:gridCol w:w="109"/>
        <w:gridCol w:w="196"/>
        <w:gridCol w:w="911"/>
        <w:gridCol w:w="109"/>
        <w:gridCol w:w="109"/>
        <w:gridCol w:w="109"/>
        <w:gridCol w:w="109"/>
        <w:gridCol w:w="196"/>
        <w:gridCol w:w="961"/>
        <w:gridCol w:w="109"/>
        <w:gridCol w:w="109"/>
        <w:gridCol w:w="109"/>
        <w:gridCol w:w="109"/>
        <w:gridCol w:w="323"/>
        <w:gridCol w:w="323"/>
        <w:gridCol w:w="278"/>
        <w:gridCol w:w="109"/>
        <w:gridCol w:w="109"/>
        <w:gridCol w:w="109"/>
        <w:gridCol w:w="196"/>
        <w:gridCol w:w="886"/>
        <w:gridCol w:w="109"/>
        <w:gridCol w:w="109"/>
        <w:gridCol w:w="109"/>
        <w:gridCol w:w="109"/>
        <w:gridCol w:w="196"/>
        <w:gridCol w:w="1051"/>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Capital </w:t>
              <w:br/>
              <w:t xml:space="preserve">in Excess </w:t>
              <w:br/>
              <w:t>of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2026</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15,921,651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99,624,713 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(6,081,530)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34,596,857 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122,731,249 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deducted from restricted stock awards for payment of withholding taxes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(24,012)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(396,018)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37,692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treasury stock</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19,446 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(291,833)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(1,446,518)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(1,446,518)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9,661,921 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net unrealized losses on available-for-sale securities, net of tax</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(2,440,506)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(2,440,506)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2026</w:t>
            </w:r>
          </w:p>
        </w:tc>
        <w:tc>
          <w:tcPr>
            <w:tcW w:w="586"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16,018,235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160,182 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100,568,894 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(8,522,036)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42,812,260 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1,543,571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(5,859,840)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129,159,460 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left"/>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240" w:after="283"/>
        <w:jc w:val="righ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KINGSTONE COMPANIES, INC. AND SUBSIDIARIES </w:t>
      </w:r>
    </w:p>
    <w:tbl>
      <w:tblPr>
        <w:tblW w:w="6255" w:type="dxa"/>
        <w:jc w:val="left"/>
        <w:tblInd w:w="0" w:type="dxa"/>
        <w:tblLayout w:type="fixed"/>
        <w:tblCellMar>
          <w:top w:w="28" w:type="dxa"/>
          <w:left w:w="28" w:type="dxa"/>
          <w:bottom w:w="28" w:type="dxa"/>
          <w:right w:w="28" w:type="dxa"/>
        </w:tblCellMar>
      </w:tblPr>
      <w:tblGrid>
        <w:gridCol w:w="2003"/>
        <w:gridCol w:w="1761"/>
        <w:gridCol w:w="2491"/>
      </w:tblGrid>
      <w:tr>
        <w:trPr/>
        <w:tc>
          <w:tcPr>
            <w:tcW w:w="2003"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r>
      <w:tr>
        <w:trPr/>
        <w:tc>
          <w:tcPr>
            <w:tcW w:w="625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 (Unaudited)</w:t>
            </w:r>
          </w:p>
        </w:tc>
      </w:tr>
      <w:tr>
        <w:trPr/>
        <w:tc>
          <w:tcPr>
            <w:tcW w:w="625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 2025</w:t>
            </w:r>
          </w:p>
        </w:tc>
      </w:tr>
    </w:tbl>
    <w:tbl>
      <w:tblPr>
        <w:tblW w:w="14782" w:type="dxa"/>
        <w:jc w:val="left"/>
        <w:tblInd w:w="0" w:type="dxa"/>
        <w:tblLayout w:type="fixed"/>
        <w:tblCellMar>
          <w:top w:w="28" w:type="dxa"/>
          <w:left w:w="28" w:type="dxa"/>
          <w:bottom w:w="28" w:type="dxa"/>
          <w:right w:w="28" w:type="dxa"/>
        </w:tblCellMar>
      </w:tblPr>
      <w:tblGrid>
        <w:gridCol w:w="876"/>
        <w:gridCol w:w="229"/>
        <w:gridCol w:w="231"/>
        <w:gridCol w:w="195"/>
        <w:gridCol w:w="195"/>
        <w:gridCol w:w="196"/>
        <w:gridCol w:w="109"/>
        <w:gridCol w:w="109"/>
        <w:gridCol w:w="109"/>
        <w:gridCol w:w="262"/>
        <w:gridCol w:w="282"/>
        <w:gridCol w:w="147"/>
        <w:gridCol w:w="109"/>
        <w:gridCol w:w="109"/>
        <w:gridCol w:w="109"/>
        <w:gridCol w:w="367"/>
        <w:gridCol w:w="369"/>
        <w:gridCol w:w="308"/>
        <w:gridCol w:w="109"/>
        <w:gridCol w:w="109"/>
        <w:gridCol w:w="109"/>
        <w:gridCol w:w="196"/>
        <w:gridCol w:w="736"/>
        <w:gridCol w:w="109"/>
        <w:gridCol w:w="109"/>
        <w:gridCol w:w="109"/>
        <w:gridCol w:w="109"/>
        <w:gridCol w:w="196"/>
        <w:gridCol w:w="961"/>
        <w:gridCol w:w="109"/>
        <w:gridCol w:w="109"/>
        <w:gridCol w:w="109"/>
        <w:gridCol w:w="109"/>
        <w:gridCol w:w="196"/>
        <w:gridCol w:w="976"/>
        <w:gridCol w:w="109"/>
        <w:gridCol w:w="109"/>
        <w:gridCol w:w="109"/>
        <w:gridCol w:w="109"/>
        <w:gridCol w:w="196"/>
        <w:gridCol w:w="961"/>
        <w:gridCol w:w="109"/>
        <w:gridCol w:w="109"/>
        <w:gridCol w:w="109"/>
        <w:gridCol w:w="109"/>
        <w:gridCol w:w="274"/>
        <w:gridCol w:w="274"/>
        <w:gridCol w:w="278"/>
        <w:gridCol w:w="109"/>
        <w:gridCol w:w="109"/>
        <w:gridCol w:w="109"/>
        <w:gridCol w:w="196"/>
        <w:gridCol w:w="886"/>
        <w:gridCol w:w="109"/>
        <w:gridCol w:w="109"/>
        <w:gridCol w:w="109"/>
        <w:gridCol w:w="109"/>
        <w:gridCol w:w="196"/>
        <w:gridCol w:w="961"/>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Capital </w:t>
              <w:br/>
              <w:t xml:space="preserve">in Excess </w:t>
              <w:br/>
              <w:t>of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 xml:space="preserve">Other </w:t>
              <w:br/>
              <w:t>Comprehensive</w:t>
              <w:br/>
              <w: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Accumulated </w:t>
              <w:br/>
              <w:t>(Deficit) 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January 1, 2025</w:t>
            </w:r>
          </w:p>
        </w:tc>
        <w:tc>
          <w:tcPr>
            <w:tcW w:w="58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14,448,205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89,063,326 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(12,175,476)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(4,755,874)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66,708,451 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restricted stock awards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216,226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deducted from restricted stock awards for payment of withholding taxes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(35,942)</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stock options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48,986 </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Exercise of warrants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371,634 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Shares deducted from restricted stock awards for payment of withholding taxes</w:t>
            </w:r>
          </w:p>
        </w:tc>
        <w:tc>
          <w:tcPr>
            <w:tcW w:w="39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offering costs of $324,134</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612,999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9,478,252 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9,484,382 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net unrealized losses on available-for-sale securities, net of tax</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3,244,917 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3,244,917 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June 30, 2025</w:t>
            </w:r>
          </w:p>
        </w:tc>
        <w:tc>
          <w:tcPr>
            <w:tcW w:w="58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15,661,240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156,612 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98,840,728 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(8,930,559)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10,379,118 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(5,568,007)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94,877,892 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left"/>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2099"/>
        <w:gridCol w:w="1783"/>
        <w:gridCol w:w="1793"/>
        <w:gridCol w:w="137"/>
        <w:gridCol w:w="137"/>
        <w:gridCol w:w="137"/>
        <w:gridCol w:w="247"/>
        <w:gridCol w:w="1307"/>
        <w:gridCol w:w="137"/>
        <w:gridCol w:w="137"/>
        <w:gridCol w:w="137"/>
        <w:gridCol w:w="137"/>
        <w:gridCol w:w="247"/>
        <w:gridCol w:w="1307"/>
        <w:gridCol w:w="463"/>
      </w:tblGrid>
      <w:tr>
        <w:trPr/>
        <w:tc>
          <w:tcPr>
            <w:tcW w:w="209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KINGSTONE COMPANIES, INC. AND SUBSIDIARIES </w:t>
            </w:r>
          </w:p>
        </w:tc>
      </w:tr>
      <w:tr>
        <w:trPr/>
        <w:tc>
          <w:tcPr>
            <w:tcW w:w="10205"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tc>
      </w:tr>
      <w:tr>
        <w:trPr/>
        <w:tc>
          <w:tcPr>
            <w:tcW w:w="5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Six months ended June 30,</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6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operating activities: </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9,661,921 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Adjustments to reconcile net income to net cash flows provided by operating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losses on investments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205,251 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5,804 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equity investments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297,895 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288,506 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(gains) on other investments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271,856 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(702,782)</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(1,965,989)</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1,476,980 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1,237,227 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Credit losses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56,145 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69,060 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of bond discount, net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(28,977)</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and issuance costs on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62,757 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174,962 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1,299,915 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810,867 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 benefit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(654,068)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(372,296)</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Decrease (increase) in operating assets: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Premiums receivable, net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1,672,030 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4,419,958 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Reinsurance receivables, net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5,686,403 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13,883,393 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reinsurance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335,227 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(3,649,273)</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policy acquisition costs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290,608 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884,341 </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assets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(1,865,007)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432,234 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Increase (decrease) in operating liabilities: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and loss adjustment expense reserves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26,936,400 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7,717,026 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Unearned premiums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(1,400,866)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(4,438,637)</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Advance premiums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2,139,000 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2,209,518 </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Reinsurance balances payable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(3,534,237)</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(5,068,605)</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ceding commission revenue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(5,532,175)</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(4,545,591)</w:t>
            </w:r>
          </w:p>
        </w:tc>
        <w:tc>
          <w:tcPr>
            <w:tcW w:w="46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accrued expenses and other liabilities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(1,235,414)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(2,586,241)</w:t>
            </w:r>
          </w:p>
        </w:tc>
        <w:tc>
          <w:tcPr>
            <w:tcW w:w="46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1,346,781 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3,159,483 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cash flows provided by operating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37,459,778 </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27,131,737 </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investing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Purchase - fixed-maturity securities available-for-sale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(45,409,491)</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(46,825,871)</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Sale and maturity - fixed-maturity securities available-for-sale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17,223,774 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20,172,732 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 equity securities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(19,100)</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real estate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3,600,000 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Acquisition of property and equipment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(1,744,037)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(1,440,460)</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cash flows used in investing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(29,981,554)</w:t>
            </w:r>
          </w:p>
        </w:tc>
        <w:tc>
          <w:tcPr>
            <w:tcW w:w="1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(24,512,699)</w:t>
            </w:r>
          </w:p>
        </w:tc>
        <w:tc>
          <w:tcPr>
            <w:tcW w:w="4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Cash flows from financing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payments on equipment financing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(638,979)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(602,712)</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Principal payments on 2024 Notes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(5,950,000)</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691"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exercise of stock options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41,250 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57,088 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net exercise of stock options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(14,305)</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Withholding taxes paid on vested restricted stock awards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(396,018)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(548,500)</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proceeds from issuance of common stock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9,484,382 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of treasury stock</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(291,833)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(1,446,518)</w:t>
            </w:r>
          </w:p>
        </w:tc>
        <w:tc>
          <w:tcPr>
            <w:tcW w:w="13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Net cash flows (used in) provided by financing activities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(2,732,098)</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2,425,953 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cash and cash equivalents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4,746,126 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5,044,991 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beginning of period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12,178,730 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28,669,441 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Cash and cash equivalents, end of period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16,924,856 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33,714,432 </w:t>
            </w:r>
          </w:p>
        </w:tc>
        <w:tc>
          <w:tcPr>
            <w:tcW w:w="4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Supplemental disclosures of cash flow information: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taxes-federal</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1,762,000 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1,353,000 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taxes-state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paid for interest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122,285 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1,370,448 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Supplemental schedule of non-cash investing and financing activities: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comprehensive (loss) income, net of tax </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(2,440,506)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3,244,917 </w:t>
            </w:r>
          </w:p>
        </w:tc>
        <w:tc>
          <w:tcPr>
            <w:tcW w:w="4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liability in exchange for right-of-use asset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0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198,042 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150" w:type="dxa"/>
        <w:jc w:val="left"/>
        <w:tblInd w:w="0" w:type="dxa"/>
        <w:tblLayout w:type="fixed"/>
        <w:tblCellMar>
          <w:top w:w="28" w:type="dxa"/>
          <w:left w:w="28" w:type="dxa"/>
          <w:bottom w:w="28" w:type="dxa"/>
          <w:right w:w="28" w:type="dxa"/>
        </w:tblCellMar>
      </w:tblPr>
      <w:tblGrid>
        <w:gridCol w:w="1967"/>
        <w:gridCol w:w="1729"/>
        <w:gridCol w:w="2454"/>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61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center"/>
        <w:rPr/>
      </w:pPr>
      <w:r>
        <w:rPr>
          <w:rFonts w:ascii="Times New Roman;serif" w:hAnsi="Times New Roman;serif"/>
          <w:b/>
          <w:color w:val="000000"/>
          <w:sz w:val="18"/>
        </w:rPr>
        <w:t>KINGSTONE COMPANIES, INC. AND SUBSIDIARIES</w:t>
      </w:r>
      <w:r>
        <w:rPr>
          <w:color w:val="000000"/>
        </w:rPr>
        <w:t xml:space="preserve">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pPr>
      <w:r>
        <w:rPr>
          <w:rFonts w:ascii="Times New Roman;serif" w:hAnsi="Times New Roman;serif"/>
          <w:b/>
          <w:color w:val="000000"/>
          <w:sz w:val="18"/>
        </w:rPr>
        <w:t>(Unaudited)</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1 - Nature of Business and Basis of Presentation</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rPr>
        <w:t xml:space="preserve">Kingstone Companies, Inc. (referred to herein as "Kingstone" or the “Company” or, on a standalone basis for the parent company only, the “Holding Company”), operates through its wholly-owned subsidiaries, Kingstone Insurance Company ("KICO") and Kingstone America Insurance Company ("KAIC"). KICO is a New York domiciled carrier writing business through retail and wholesale agents and brokers. KICO is actively writing personal lines and commercial auto physical damage insurance in New York, and in 2025 was the 11th largest writer of homeowners insurance in New York. Beginning in June 2026, KICO began writing homeowners coverage in California on a non-admitted basis. KICO is also licensed in the states of New Jersey, Rhode Island, Massachusetts, Connecticut, Pennsylvania, New Hampshire, and Maine. For the </w:t>
      </w:r>
      <w:r>
        <w:rPr>
          <w:rFonts w:ascii="Times New Roman;serif" w:hAnsi="Times New Roman;serif"/>
          <w:b w:val="false"/>
          <w:color w:val="000000"/>
          <w:sz w:val="20"/>
        </w:rPr>
        <w:t>three</w:t>
      </w:r>
      <w:r>
        <w:rPr>
          <w:color w:val="000000"/>
        </w:rPr>
        <w:t xml:space="preserve"> </w:t>
      </w:r>
      <w:r>
        <w:rPr>
          <w:rFonts w:ascii="Times New Roman;serif" w:hAnsi="Times New Roman;serif"/>
          <w:b w:val="false"/>
          <w:color w:val="000000"/>
          <w:sz w:val="18"/>
        </w:rPr>
        <w:t xml:space="preserve">months ended June 30, 2026 and 2025, 98.5% and 97.9%, respectively, of KICO’s direct premiums written came from the New York policies. For the six months ended June 30, 2026 and 2025, 98.6% and 98.1%, respectively, of KICO’s direct premiums written came from the New York policies. Kingstone, through its wholly-owned subsidiary, Cosi Agency, Inc. (“Cosi”), a multi-state licensed general agency, receives commission revenue from KICO for the policies it places with others and pays commissions to these agencies. KAIC is a Connecticut domiciled carrier which plans to start writing business in Connecticut beginning in the second half of 2026.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in accordance with U.S. generally accepted accounting principles (“GAAP”). The principles for condensed interim financial information do not require the inclusion of all the information and footnotes required by GAAP for complete financial statements. Therefore, these condensed consolidated financial statements should be read in conjunction with the consolidated financial statements as of and for the year ended December 31, 2025 and notes thereto included in the Company’s Annual Report on Form 10-K filed with the Securities and Exchange Commission (the “SEC”) on March 16, 2026. The accompanying condensed consolidated financial statements have not been audited by an independent registered public accounting firm in accordance with standards of the Public Company Accounting Oversight Board (United States) but, in the opinion of management, such financial statements include all adjustments, consisting only of normal recurring adjustments, necessary for a fair presentation of the Company’s financial position and results of operations. The results of operations for the six months ended June 30, 2026 may not be indicative of the results that may be expected for the year ending December 31,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2 – Accounting Policies</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u w:val="single"/>
        </w:rPr>
        <w:t>Basis of Presentation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See Note 2 to the Consolidated Financial Statements in the Company’s Annual Report on Form 10-K for the year ended December 31, 2025 for further information. </w:t>
      </w:r>
    </w:p>
    <w:p>
      <w:pPr>
        <w:pStyle w:val="TextBody"/>
        <w:bidi w:val="0"/>
        <w:spacing w:lineRule="auto" w:line="288" w:before="240" w:after="283"/>
        <w:jc w:val="both"/>
        <w:rPr/>
      </w:pPr>
      <w:r>
        <w:rPr>
          <w:rFonts w:ascii="Times New Roman;serif" w:hAnsi="Times New Roman;serif"/>
          <w:b w:val="false"/>
          <w:color w:val="000000"/>
          <w:sz w:val="18"/>
          <w:u w:val="single"/>
        </w:rPr>
        <w:t>Principles of Consolidation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condensed consolidated financial statements include the accounts of Kingstone and its wholly-owned subsidiaries: (1) KICO and its wholly-owned subsidiaries, CMIC Properties, Inc. (“Properties”) and 15 Joys Lane, LLC (“15 Joys Lane”), which together, until March 2025, owned the land and building from which KICO operated (see Note 14 - Sale of Real Estate), (2) KAIC, an insurance carrier licensed by the state of Connecticut on May 1, 2026, which plans to begin writing business in the second half of 2026, and (3) Cosi. All significant inter-company account balances and transactions have been eliminated in consolidation.</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Use of Estimates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these estimates and assumptions, including estimates related to reserves for losses and loss adjustment expense (“LAE”), which are subject to estimation errors due to the inherent uncertainty in projecting ultimate claim amounts that will be reported and settled over a period of many years. In addition, estimates and assumptions associated with loss and LAE recoverable under reinsurance contracts and other receivables or payables under reinsurance contracts related to contingent ceding commission revenue require judgments by management. On an ongoing basis, management reevaluates its assumptions and the methods for calculating these estimates. Actual results may differ significantly from the estimates used in preparing the condensed consolidated financial statements.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Accounting Changes</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December 2023, the Financial Accounting Standards Board (the "FASB") issued Accounting Standards Update ("ASU") No. 2023-09, Improvements to Income Tax Disclosures (“ASU 2023-09”), which requires disaggregated information about a reporting entity’s effective tax rate reconciliation as well as information on income taxes paid. The standard is intended to benefit investors by providing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more detailed income tax disclosures that would be useful in making capital allocation decisions. ASU-2023-09 is effective for public companies with annual periods beginning after December 15, 2024. The Company prospectively adopted ASU-2023-09 effective December 31, 2025, and has added the required disclosures that meet the materiality thresholds for the six months ended June 30, 2026. See Note 9 – Income Taxes. The adoption of the guidance updated disclosures but did not have an impact on the Company's results of operations.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Recent Accounting Pronouncements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November 2024, the FASB issued ASU 2024-03, Disaggregation of Income Statement Expenses ("ASU 2024-03"). ASU 2024-03 requires disaggregated disclosure of income statement expenses. ASU 2024-03 does not change the expense captions currently presented on the income statement; rather it requires disaggregation of certain expense captions into specified categories in disclosures within the footnotes to the financial statements. ASU 2024-03 is effective for annual reporting periods, as amended by ASU 2025-01, beginning after December 15, 2026, and interim reporting periods within fiscal years beginning after December 15, 2027. ASU 2024-03 can be applied on a prospective basis; however, retrospective application is permitted. Early adoption is permitted. The Company is currently evaluating the effect the updated guidance will have on its financial statement disclosures.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September 2025, the FASB issued ASU 2025-06, Intangibles—Goodwill and Other—Internal-Use Software (Subtopic 350-40) ("ASU 2025-06"). ASU 2025-06 updates the accounting guidance for internal-use software by eliminating references to software development project stages, thereby requiring companies to start capitalizing software costs when (i) management has authorized and committed to funding the project and (ii) it is probable the project will be completed and the software will be used as intended. ASU 2025-06 is effective for annual periods beginning after December 15, 2027, with early adoption permitted. Amendments can be applied either (i) prospectively, (ii) through a modified transition approach based on the existing projects status and whether software costs were capitalized before the date of adoption, or (iii) retrospectively. The Company is currently evaluating the impact of ASU 2025-06 on its financial condition and results of operations.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December 2025, the FASB issued ASU 2025</w:t>
        <w:noBreakHyphen/>
        <w:t>11, Interim Reporting (Topic 270): Narrow</w:t>
        <w:noBreakHyphen/>
        <w:t>Scope Improvements (“ASU 2025</w:t>
        <w:noBreakHyphen/>
        <w:t>11”). ASU 2025</w:t>
        <w:noBreakHyphen/>
        <w:t>11 clarifies the scope, form, content, and disclosure requirements applicable to interim financial reporting under U.S. GAAP. ASU 2025-11 improves the navigability of Topic 270 and provides clearer guidance on when the interim reporting requirements apply. Specifically, the amendments (i) clarify that Topic 270 applies to entities that provide interim financial statements and accompanying notes in accordance with GAAP, (ii) add a comprehensive list of required interim disclosures drawn from other FASB topics, and (iii) introduce a disclosure principle requiring entities to disclose events occurring after the end of the most recent annual reporting period that have a material impact on the entity. ASU 2025-11 is not intended to change the fundamental nature of interim reporting, or expand or reduce existing disclosure requirements. ASU 2025</w:t>
        <w:noBreakHyphen/>
        <w:t>11 is effective for interim reporting periods within annual periods beginning after December 15, 2027. Early adoption is permitted. The guidance may be applied prospectively or retrospectively. Because ASU 2025</w:t>
        <w:noBreakHyphen/>
        <w:t>11 primarily provides clarifying guidance and requires disclosures in certain circumstances, it will not have a material impact on the Company's financial condition or results of operations.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determined that all other recently issued accounting pronouncements will not have a material impact on its consolidated financial position, results of operations and cash flows, or do not apply to its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Note 3 - Investments </w:t>
      </w:r>
    </w:p>
    <w:p>
      <w:pPr>
        <w:pStyle w:val="TextBody"/>
        <w:bidi w:val="0"/>
        <w:spacing w:lineRule="auto" w:line="288" w:before="240" w:after="283"/>
        <w:jc w:val="both"/>
        <w:rPr/>
      </w:pPr>
      <w:r>
        <w:rPr>
          <w:rFonts w:ascii="Times New Roman;serif" w:hAnsi="Times New Roman;serif"/>
          <w:b w:val="false"/>
          <w:color w:val="000000"/>
          <w:sz w:val="18"/>
          <w:u w:val="single"/>
        </w:rPr>
        <w:t>Fixed-Maturity Securities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amortized cost, estimated fair value, and gross unrealized gains and losses on investments in fixed-maturity securities classified as available-for-sale for which an allowance for credit losses has not been recorded, as of June 30, 2026 and December 31, 2025 are summarized as follows: </w:t>
      </w:r>
    </w:p>
    <w:tbl>
      <w:tblPr>
        <w:tblW w:w="10714" w:type="dxa"/>
        <w:jc w:val="left"/>
        <w:tblInd w:w="0" w:type="dxa"/>
        <w:tblLayout w:type="fixed"/>
        <w:tblCellMar>
          <w:top w:w="28" w:type="dxa"/>
          <w:left w:w="28" w:type="dxa"/>
          <w:bottom w:w="28" w:type="dxa"/>
          <w:right w:w="28" w:type="dxa"/>
        </w:tblCellMar>
      </w:tblPr>
      <w:tblGrid>
        <w:gridCol w:w="467"/>
        <w:gridCol w:w="411"/>
        <w:gridCol w:w="413"/>
        <w:gridCol w:w="109"/>
        <w:gridCol w:w="109"/>
        <w:gridCol w:w="109"/>
        <w:gridCol w:w="196"/>
        <w:gridCol w:w="1051"/>
        <w:gridCol w:w="109"/>
        <w:gridCol w:w="109"/>
        <w:gridCol w:w="109"/>
        <w:gridCol w:w="109"/>
        <w:gridCol w:w="196"/>
        <w:gridCol w:w="736"/>
        <w:gridCol w:w="109"/>
        <w:gridCol w:w="109"/>
        <w:gridCol w:w="109"/>
        <w:gridCol w:w="109"/>
        <w:gridCol w:w="196"/>
        <w:gridCol w:w="886"/>
        <w:gridCol w:w="109"/>
        <w:gridCol w:w="109"/>
        <w:gridCol w:w="109"/>
        <w:gridCol w:w="109"/>
        <w:gridCol w:w="196"/>
        <w:gridCol w:w="886"/>
        <w:gridCol w:w="109"/>
        <w:gridCol w:w="109"/>
        <w:gridCol w:w="109"/>
        <w:gridCol w:w="109"/>
        <w:gridCol w:w="196"/>
        <w:gridCol w:w="1051"/>
        <w:gridCol w:w="109"/>
        <w:gridCol w:w="109"/>
        <w:gridCol w:w="109"/>
        <w:gridCol w:w="109"/>
        <w:gridCol w:w="196"/>
        <w:gridCol w:w="97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br/>
              <w:t xml:space="preserve">Unrealized </w:t>
              <w:br/>
              <w:t xml:space="preserve">Gains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Unrealized Losses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 xml:space="preserve">Fair </w:t>
              <w:br/>
              <w:t xml:space="preserve">Value </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Net</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Losses </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Less than 12</w:t>
              <w:br/>
              <w:t>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More than 12</w:t>
              <w:br/>
              <w:t xml:space="preserve">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r>
      <w:tr>
        <w:trPr/>
        <w:tc>
          <w:tcPr>
            <w:tcW w:w="1291"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1,498,106 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Political subdivisions of States, Territories and Possessions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21,582,546 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154,932,078 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151,259,652 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(3,672,426)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(1) (2)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144,169,245 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139,595,917 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(4,573,328)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fixed-maturity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324,716,045 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740,468 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(1,857,071)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(9,673,512)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(10,790,115)</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624" w:type="dxa"/>
        <w:jc w:val="left"/>
        <w:tblInd w:w="0" w:type="dxa"/>
        <w:tblLayout w:type="fixed"/>
        <w:tblCellMar>
          <w:top w:w="28" w:type="dxa"/>
          <w:left w:w="28" w:type="dxa"/>
          <w:bottom w:w="28" w:type="dxa"/>
          <w:right w:w="28" w:type="dxa"/>
        </w:tblCellMar>
      </w:tblPr>
      <w:tblGrid>
        <w:gridCol w:w="467"/>
        <w:gridCol w:w="411"/>
        <w:gridCol w:w="413"/>
        <w:gridCol w:w="109"/>
        <w:gridCol w:w="109"/>
        <w:gridCol w:w="109"/>
        <w:gridCol w:w="196"/>
        <w:gridCol w:w="1051"/>
        <w:gridCol w:w="109"/>
        <w:gridCol w:w="109"/>
        <w:gridCol w:w="109"/>
        <w:gridCol w:w="109"/>
        <w:gridCol w:w="196"/>
        <w:gridCol w:w="871"/>
        <w:gridCol w:w="109"/>
        <w:gridCol w:w="109"/>
        <w:gridCol w:w="109"/>
        <w:gridCol w:w="109"/>
        <w:gridCol w:w="196"/>
        <w:gridCol w:w="751"/>
        <w:gridCol w:w="109"/>
        <w:gridCol w:w="109"/>
        <w:gridCol w:w="109"/>
        <w:gridCol w:w="109"/>
        <w:gridCol w:w="196"/>
        <w:gridCol w:w="886"/>
        <w:gridCol w:w="109"/>
        <w:gridCol w:w="109"/>
        <w:gridCol w:w="109"/>
        <w:gridCol w:w="109"/>
        <w:gridCol w:w="196"/>
        <w:gridCol w:w="1051"/>
        <w:gridCol w:w="109"/>
        <w:gridCol w:w="109"/>
        <w:gridCol w:w="109"/>
        <w:gridCol w:w="109"/>
        <w:gridCol w:w="196"/>
        <w:gridCol w:w="886"/>
        <w:gridCol w:w="154"/>
      </w:tblGrid>
      <w:tr>
        <w:trPr/>
        <w:tc>
          <w:tcPr>
            <w:tcW w:w="46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6" w:type="dxa"/>
            <w:gridSpan w:val="3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Net</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Losses </w:t>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Less than 12</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More than 12</w:t>
              <w:b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Fixed-Maturity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and obligations of U.S. government corporations and agencies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Political subdivisions of States, Territories and Possessions (1)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24,125,578 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(2,352,145)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131,958,643 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(2,540,470)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129,866,682 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(2,091,961)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(1) (2)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139,656,710 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(4,477,673)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136,389,885 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(3,266,825)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fixed-maturity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296,738,055 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2,033,872 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(181,869)</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(9,552,868)</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(7,700,865)</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1195"/>
        <w:jc w:val="both"/>
        <w:rPr>
          <w:rFonts w:ascii="Times New Roman;serif" w:hAnsi="Times New Roman;serif"/>
          <w:b w:val="false"/>
          <w:color w:val="000000"/>
          <w:sz w:val="18"/>
        </w:rPr>
      </w:pPr>
      <w:r>
        <w:rPr>
          <w:rFonts w:ascii="Times New Roman;serif" w:hAnsi="Times New Roman;serif"/>
          <w:b w:val="false"/>
          <w:color w:val="000000"/>
          <w:sz w:val="18"/>
        </w:rPr>
        <w:t xml:space="preserve">(1)In October 2022, KICO placed certain U.S. Treasury securities to fulfill the required collateral for a sale-leaseback transaction in a designated custodian account (see Note 7 – Debt - “Equipment Financing”). As of December 31, 2024 KICO had sold its U.S. Treasury securities and replaced a portion of its other fixed-maturity securities in the designated custodian account. As of June 30, 2026 and December 31, 2025, the amount of required collateral was approximately $2,770,000 and $3,616,000, respectively.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of June 30, 2026 and December 31, 2025, the estimated fair value of the eligible collateral was approximately $2,770,000 and $3,616,000, respectively.</w:t>
      </w:r>
    </w:p>
    <w:p>
      <w:pPr>
        <w:pStyle w:val="TextBody"/>
        <w:bidi w:val="0"/>
        <w:spacing w:lineRule="auto" w:line="288" w:before="0" w:after="0"/>
        <w:ind w:left="0" w:right="0" w:hanging="1195"/>
        <w:jc w:val="both"/>
        <w:rPr>
          <w:rFonts w:ascii="Times New Roman;serif" w:hAnsi="Times New Roman;serif"/>
          <w:b w:val="false"/>
          <w:color w:val="000000"/>
          <w:sz w:val="18"/>
        </w:rPr>
      </w:pPr>
      <w:r>
        <w:rPr>
          <w:rFonts w:ascii="Times New Roman;serif" w:hAnsi="Times New Roman;serif"/>
          <w:b w:val="false"/>
          <w:color w:val="000000"/>
          <w:sz w:val="18"/>
        </w:rPr>
        <w:t>(2)KICO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2026 and December 31, 2025, the estimated fair value of the eligible investments was approximately $9,117,000 and $9,598,000, respectively. KICO will retain all rights regarding all securities if pledged as collateral. As of June 30, 2026 and December 31, 2025, there was no outstanding balance on the FHLBNY credit line.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summary of the amortized cost and estimated fair value of the Company’s investments in available-for-sale fixed-maturity securities by contractual maturity as of June 30, 2026 and December 31, 2025 is shown below: </w:t>
      </w:r>
    </w:p>
    <w:tbl>
      <w:tblPr>
        <w:tblW w:w="10205" w:type="dxa"/>
        <w:jc w:val="left"/>
        <w:tblInd w:w="0" w:type="dxa"/>
        <w:tblLayout w:type="fixed"/>
        <w:tblCellMar>
          <w:top w:w="28" w:type="dxa"/>
          <w:left w:w="28" w:type="dxa"/>
          <w:bottom w:w="28" w:type="dxa"/>
          <w:right w:w="28" w:type="dxa"/>
        </w:tblCellMar>
      </w:tblPr>
      <w:tblGrid>
        <w:gridCol w:w="1241"/>
        <w:gridCol w:w="1091"/>
        <w:gridCol w:w="1095"/>
        <w:gridCol w:w="109"/>
        <w:gridCol w:w="109"/>
        <w:gridCol w:w="109"/>
        <w:gridCol w:w="196"/>
        <w:gridCol w:w="1051"/>
        <w:gridCol w:w="109"/>
        <w:gridCol w:w="109"/>
        <w:gridCol w:w="109"/>
        <w:gridCol w:w="109"/>
        <w:gridCol w:w="196"/>
        <w:gridCol w:w="1051"/>
        <w:gridCol w:w="109"/>
        <w:gridCol w:w="109"/>
        <w:gridCol w:w="109"/>
        <w:gridCol w:w="109"/>
        <w:gridCol w:w="196"/>
        <w:gridCol w:w="1051"/>
        <w:gridCol w:w="109"/>
        <w:gridCol w:w="109"/>
        <w:gridCol w:w="109"/>
        <w:gridCol w:w="109"/>
        <w:gridCol w:w="196"/>
        <w:gridCol w:w="1051"/>
        <w:gridCol w:w="155"/>
      </w:tblGrid>
      <w:tr>
        <w:trPr/>
        <w:tc>
          <w:tcPr>
            <w:tcW w:w="124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4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4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Remaining Time to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 xml:space="preserve">Fair Value </w:t>
            </w:r>
          </w:p>
        </w:tc>
      </w:tr>
      <w:tr>
        <w:trPr/>
        <w:tc>
          <w:tcPr>
            <w:tcW w:w="34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than one year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12,012,425 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12,002,575 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6,052,600 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One to five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83,206,786 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81,502,952 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76,122,161 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75,365,535 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Five to ten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67,415,790 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65,260,051 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54,998,070 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53,590,654 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More than 10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17,911,799 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15,564,435 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19,921,935 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17,638,516 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144,169,245 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139,595,917 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139,656,710 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136,389,885 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324,716,045 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296,738,055 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actual maturities may differ from contractual maturities because certain borrowers have the right to call or prepay obligations with or without penalties.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was no allowance for credit losses on fixed-maturity securities classified as available-for-sale as of June 30, 2026 and December 31, 2025, respectively. </w:t>
      </w:r>
    </w:p>
    <w:p>
      <w:pPr>
        <w:pStyle w:val="TextBody"/>
        <w:bidi w:val="0"/>
        <w:spacing w:lineRule="auto" w:line="288" w:before="240" w:after="283"/>
        <w:jc w:val="both"/>
        <w:rPr/>
      </w:pPr>
      <w:r>
        <w:rPr>
          <w:rFonts w:ascii="Times New Roman;serif" w:hAnsi="Times New Roman;serif"/>
          <w:b w:val="false"/>
          <w:color w:val="000000"/>
          <w:sz w:val="18"/>
          <w:u w:val="single"/>
        </w:rPr>
        <w:t>Equity Securities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cost and estimated fair value of, and gross unrealized gains and losses on, investments in equity securities as of June 30, 2026 and December 31, 2025 are as follows: </w:t>
      </w:r>
    </w:p>
    <w:tbl>
      <w:tblPr>
        <w:tblW w:w="8736" w:type="dxa"/>
        <w:jc w:val="left"/>
        <w:tblInd w:w="0" w:type="dxa"/>
        <w:tblLayout w:type="fixed"/>
        <w:tblCellMar>
          <w:top w:w="28" w:type="dxa"/>
          <w:left w:w="28" w:type="dxa"/>
          <w:bottom w:w="28" w:type="dxa"/>
          <w:right w:w="28" w:type="dxa"/>
        </w:tblCellMar>
      </w:tblPr>
      <w:tblGrid>
        <w:gridCol w:w="999"/>
        <w:gridCol w:w="878"/>
        <w:gridCol w:w="882"/>
        <w:gridCol w:w="109"/>
        <w:gridCol w:w="109"/>
        <w:gridCol w:w="109"/>
        <w:gridCol w:w="196"/>
        <w:gridCol w:w="961"/>
        <w:gridCol w:w="109"/>
        <w:gridCol w:w="109"/>
        <w:gridCol w:w="109"/>
        <w:gridCol w:w="109"/>
        <w:gridCol w:w="353"/>
        <w:gridCol w:w="380"/>
        <w:gridCol w:w="198"/>
        <w:gridCol w:w="109"/>
        <w:gridCol w:w="109"/>
        <w:gridCol w:w="109"/>
        <w:gridCol w:w="196"/>
        <w:gridCol w:w="946"/>
        <w:gridCol w:w="109"/>
        <w:gridCol w:w="109"/>
        <w:gridCol w:w="109"/>
        <w:gridCol w:w="109"/>
        <w:gridCol w:w="196"/>
        <w:gridCol w:w="87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5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Unrealized</w:t>
              <w:br/>
              <w:t xml:space="preserve">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 xml:space="preserve">Losses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Value </w:t>
            </w:r>
          </w:p>
        </w:tc>
      </w:tr>
      <w:tr>
        <w:trPr/>
        <w:tc>
          <w:tcPr>
            <w:tcW w:w="2759"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6,719,200 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Fixed income exchange traded funds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2,954,400 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FHLBNY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13,598,454 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(3,787,954)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9,810,500 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8826" w:type="dxa"/>
        <w:jc w:val="left"/>
        <w:tblInd w:w="0" w:type="dxa"/>
        <w:tblLayout w:type="fixed"/>
        <w:tblCellMar>
          <w:top w:w="28" w:type="dxa"/>
          <w:left w:w="28" w:type="dxa"/>
          <w:bottom w:w="28" w:type="dxa"/>
          <w:right w:w="28" w:type="dxa"/>
        </w:tblCellMar>
      </w:tblPr>
      <w:tblGrid>
        <w:gridCol w:w="999"/>
        <w:gridCol w:w="878"/>
        <w:gridCol w:w="882"/>
        <w:gridCol w:w="109"/>
        <w:gridCol w:w="109"/>
        <w:gridCol w:w="109"/>
        <w:gridCol w:w="196"/>
        <w:gridCol w:w="961"/>
        <w:gridCol w:w="109"/>
        <w:gridCol w:w="109"/>
        <w:gridCol w:w="109"/>
        <w:gridCol w:w="109"/>
        <w:gridCol w:w="353"/>
        <w:gridCol w:w="380"/>
        <w:gridCol w:w="198"/>
        <w:gridCol w:w="109"/>
        <w:gridCol w:w="109"/>
        <w:gridCol w:w="109"/>
        <w:gridCol w:w="196"/>
        <w:gridCol w:w="946"/>
        <w:gridCol w:w="109"/>
        <w:gridCol w:w="109"/>
        <w:gridCol w:w="109"/>
        <w:gridCol w:w="109"/>
        <w:gridCol w:w="196"/>
        <w:gridCol w:w="961"/>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Gross</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Losses </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Fair Value</w:t>
            </w:r>
          </w:p>
        </w:tc>
      </w:tr>
      <w:tr>
        <w:trPr/>
        <w:tc>
          <w:tcPr>
            <w:tcW w:w="2759"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Equity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Preferred stocks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6,984,695 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Fixed income exchange traded funds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2,986,800 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FHLBNY common stock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13,546,654 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(3,490,059)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u w:val="single"/>
        </w:rPr>
        <w:t>Other Investments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cost and estimated fair value of, and gross gains on, the Company’s other investments as of June 30, 2026 and December 31, 2025 are as follows: </w:t>
      </w:r>
    </w:p>
    <w:tbl>
      <w:tblPr>
        <w:tblW w:w="10205" w:type="dxa"/>
        <w:jc w:val="left"/>
        <w:tblInd w:w="0" w:type="dxa"/>
        <w:tblLayout w:type="fixed"/>
        <w:tblCellMar>
          <w:top w:w="28" w:type="dxa"/>
          <w:left w:w="28" w:type="dxa"/>
          <w:bottom w:w="28" w:type="dxa"/>
          <w:right w:w="28" w:type="dxa"/>
        </w:tblCellMar>
      </w:tblPr>
      <w:tblGrid>
        <w:gridCol w:w="399"/>
        <w:gridCol w:w="351"/>
        <w:gridCol w:w="354"/>
        <w:gridCol w:w="109"/>
        <w:gridCol w:w="109"/>
        <w:gridCol w:w="109"/>
        <w:gridCol w:w="196"/>
        <w:gridCol w:w="871"/>
        <w:gridCol w:w="109"/>
        <w:gridCol w:w="109"/>
        <w:gridCol w:w="109"/>
        <w:gridCol w:w="109"/>
        <w:gridCol w:w="198"/>
        <w:gridCol w:w="883"/>
        <w:gridCol w:w="110"/>
        <w:gridCol w:w="109"/>
        <w:gridCol w:w="109"/>
        <w:gridCol w:w="109"/>
        <w:gridCol w:w="196"/>
        <w:gridCol w:w="871"/>
        <w:gridCol w:w="109"/>
        <w:gridCol w:w="109"/>
        <w:gridCol w:w="109"/>
        <w:gridCol w:w="109"/>
        <w:gridCol w:w="196"/>
        <w:gridCol w:w="871"/>
        <w:gridCol w:w="109"/>
        <w:gridCol w:w="109"/>
        <w:gridCol w:w="109"/>
        <w:gridCol w:w="109"/>
        <w:gridCol w:w="199"/>
        <w:gridCol w:w="885"/>
        <w:gridCol w:w="110"/>
        <w:gridCol w:w="109"/>
        <w:gridCol w:w="109"/>
        <w:gridCol w:w="109"/>
        <w:gridCol w:w="196"/>
        <w:gridCol w:w="871"/>
        <w:gridCol w:w="159"/>
      </w:tblGrid>
      <w:tr>
        <w:trPr/>
        <w:tc>
          <w:tcPr>
            <w:tcW w:w="39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0"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Gross Unrealized</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 xml:space="preserve">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 xml:space="preserve">Gross Unrealized </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 xml:space="preserve">Gains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Value </w:t>
            </w:r>
          </w:p>
        </w:tc>
      </w:tr>
      <w:tr>
        <w:trPr/>
        <w:tc>
          <w:tcPr>
            <w:tcW w:w="11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Other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Hedge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2,293,482 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4,280,522 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2,565,338 </w:t>
            </w:r>
          </w:p>
        </w:tc>
        <w:tc>
          <w:tcPr>
            <w:tcW w:w="11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4,552,378 </w:t>
            </w:r>
          </w:p>
        </w:tc>
        <w:tc>
          <w:tcPr>
            <w:tcW w:w="15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u w:val="single"/>
        </w:rPr>
        <w:t>Held-to-Maturity Securities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cost or amortized cost and estimated fair value of, and unrealized gross gains and losses on, investments in held-to-maturity fixed-maturity securities as of June 30, 2026 and December 31, 2025 are summarized as follows: </w:t>
      </w:r>
    </w:p>
    <w:tbl>
      <w:tblPr>
        <w:tblW w:w="10205" w:type="dxa"/>
        <w:jc w:val="left"/>
        <w:tblInd w:w="0" w:type="dxa"/>
        <w:tblLayout w:type="fixed"/>
        <w:tblCellMar>
          <w:top w:w="28" w:type="dxa"/>
          <w:left w:w="28" w:type="dxa"/>
          <w:bottom w:w="28" w:type="dxa"/>
          <w:right w:w="28" w:type="dxa"/>
        </w:tblCellMar>
      </w:tblPr>
      <w:tblGrid>
        <w:gridCol w:w="673"/>
        <w:gridCol w:w="592"/>
        <w:gridCol w:w="597"/>
        <w:gridCol w:w="109"/>
        <w:gridCol w:w="109"/>
        <w:gridCol w:w="109"/>
        <w:gridCol w:w="196"/>
        <w:gridCol w:w="871"/>
        <w:gridCol w:w="109"/>
        <w:gridCol w:w="109"/>
        <w:gridCol w:w="109"/>
        <w:gridCol w:w="109"/>
        <w:gridCol w:w="355"/>
        <w:gridCol w:w="382"/>
        <w:gridCol w:w="199"/>
        <w:gridCol w:w="109"/>
        <w:gridCol w:w="109"/>
        <w:gridCol w:w="109"/>
        <w:gridCol w:w="200"/>
        <w:gridCol w:w="596"/>
        <w:gridCol w:w="111"/>
        <w:gridCol w:w="109"/>
        <w:gridCol w:w="109"/>
        <w:gridCol w:w="109"/>
        <w:gridCol w:w="196"/>
        <w:gridCol w:w="763"/>
        <w:gridCol w:w="109"/>
        <w:gridCol w:w="109"/>
        <w:gridCol w:w="109"/>
        <w:gridCol w:w="109"/>
        <w:gridCol w:w="196"/>
        <w:gridCol w:w="871"/>
        <w:gridCol w:w="109"/>
        <w:gridCol w:w="109"/>
        <w:gridCol w:w="109"/>
        <w:gridCol w:w="109"/>
        <w:gridCol w:w="196"/>
        <w:gridCol w:w="760"/>
        <w:gridCol w:w="162"/>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 xml:space="preserve">Gains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 xml:space="preserve">Value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Net</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Losses</w:t>
            </w:r>
          </w:p>
        </w:tc>
      </w:tr>
      <w:tr>
        <w:trPr/>
        <w:tc>
          <w:tcPr>
            <w:tcW w:w="1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Less than 12</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More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62"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Held-to-Maturity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(35,726)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Exchange traded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(67,861)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(870,763)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(870,763)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6,039,691 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(969,341)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5,065,341 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(974,350)</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673"/>
        <w:gridCol w:w="592"/>
        <w:gridCol w:w="597"/>
        <w:gridCol w:w="109"/>
        <w:gridCol w:w="109"/>
        <w:gridCol w:w="109"/>
        <w:gridCol w:w="196"/>
        <w:gridCol w:w="871"/>
        <w:gridCol w:w="109"/>
        <w:gridCol w:w="109"/>
        <w:gridCol w:w="109"/>
        <w:gridCol w:w="109"/>
        <w:gridCol w:w="355"/>
        <w:gridCol w:w="382"/>
        <w:gridCol w:w="199"/>
        <w:gridCol w:w="109"/>
        <w:gridCol w:w="109"/>
        <w:gridCol w:w="109"/>
        <w:gridCol w:w="200"/>
        <w:gridCol w:w="596"/>
        <w:gridCol w:w="111"/>
        <w:gridCol w:w="109"/>
        <w:gridCol w:w="109"/>
        <w:gridCol w:w="109"/>
        <w:gridCol w:w="196"/>
        <w:gridCol w:w="763"/>
        <w:gridCol w:w="109"/>
        <w:gridCol w:w="109"/>
        <w:gridCol w:w="109"/>
        <w:gridCol w:w="109"/>
        <w:gridCol w:w="196"/>
        <w:gridCol w:w="871"/>
        <w:gridCol w:w="109"/>
        <w:gridCol w:w="109"/>
        <w:gridCol w:w="109"/>
        <w:gridCol w:w="109"/>
        <w:gridCol w:w="196"/>
        <w:gridCol w:w="760"/>
        <w:gridCol w:w="162"/>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Cost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op w:val="single" w:sz="6"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Net</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3" w:before="0" w:after="0"/>
              <w:jc w:val="center"/>
              <w:rPr>
                <w:rFonts w:ascii="Times New Roman;serif" w:hAnsi="Times New Roman;serif"/>
                <w:b/>
                <w:color w:val="000000"/>
                <w:sz w:val="18"/>
              </w:rPr>
            </w:pPr>
            <w:r>
              <w:rPr>
                <w:rFonts w:ascii="Times New Roman;serif" w:hAnsi="Times New Roman;serif"/>
                <w:b/>
                <w:color w:val="000000"/>
                <w:sz w:val="18"/>
              </w:rPr>
              <w:t>Losses</w:t>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2"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Less than 12</w:t>
              <w:br/>
              <w:t>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More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continue"/>
            <w:tcBorders>
              <w:top w:val="single" w:sz="6" w:space="0" w:color="000000"/>
            </w:tcBorders>
            <w:tcMar>
              <w:top w:w="52" w:type="dxa"/>
              <w:left w:w="0" w:type="dxa"/>
              <w:bottom w:w="0" w:type="dxa"/>
              <w:right w:w="0" w:type="dxa"/>
            </w:tcMar>
            <w:vAlign w:val="center"/>
          </w:tcPr>
          <w:p>
            <w:pPr>
              <w:pStyle w:val="Normal"/>
              <w:bidi w:val="0"/>
              <w:jc w:val="left"/>
              <w:rPr/>
            </w:pPr>
            <w:r>
              <w:rPr/>
            </w:r>
          </w:p>
        </w:tc>
      </w:tr>
      <w:tr>
        <w:trPr/>
        <w:tc>
          <w:tcPr>
            <w:tcW w:w="1862"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Held-to-Maturity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(25,153)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Exchange traded debt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(62,111)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(817,817)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6,042,348 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(902,011)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5,137,267 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(905,081)</w:t>
            </w:r>
          </w:p>
        </w:tc>
        <w:tc>
          <w:tcPr>
            <w:tcW w:w="1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Held-to-maturity U.S. Treasury securities are held in trust pursuant to various states’ minimum funds requirements.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summary of the amortized cost and estimated fair value of the Company’s investments in held-to-maturity securities by contractual maturity as of June 30, 2026 and December 31, 2025 is shown below: </w:t>
      </w:r>
    </w:p>
    <w:tbl>
      <w:tblPr>
        <w:tblW w:w="8426" w:type="dxa"/>
        <w:jc w:val="left"/>
        <w:tblInd w:w="0" w:type="dxa"/>
        <w:tblLayout w:type="fixed"/>
        <w:tblCellMar>
          <w:top w:w="28" w:type="dxa"/>
          <w:left w:w="28" w:type="dxa"/>
          <w:bottom w:w="28" w:type="dxa"/>
          <w:right w:w="28" w:type="dxa"/>
        </w:tblCellMar>
      </w:tblPr>
      <w:tblGrid>
        <w:gridCol w:w="858"/>
        <w:gridCol w:w="754"/>
        <w:gridCol w:w="757"/>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Remaining Time to Maturity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 xml:space="preserve">Amortized </w:t>
              <w:br/>
              <w:t xml:space="preserve">Cost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236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than one year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One to five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Five to ten years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More than 10 years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3,107,805 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6,039,691 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5,065,341 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6,042,348 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5,137,267 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actual maturities may differ from contractual maturities because certain borrowers have the right to call or prepay obligations with or without penalties.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was no allowance for credit losses on held-to-maturity fixed-maturity securities as of June 30, 2026 and December 31, 2025, respectively. </w:t>
      </w:r>
    </w:p>
    <w:p>
      <w:pPr>
        <w:pStyle w:val="TextBody"/>
        <w:bidi w:val="0"/>
        <w:spacing w:lineRule="auto" w:line="288" w:before="240" w:after="283"/>
        <w:jc w:val="both"/>
        <w:rPr/>
      </w:pPr>
      <w:r>
        <w:rPr>
          <w:rFonts w:ascii="Times New Roman;serif" w:hAnsi="Times New Roman;serif"/>
          <w:b w:val="false"/>
          <w:color w:val="000000"/>
          <w:sz w:val="18"/>
          <w:u w:val="single"/>
        </w:rPr>
        <w:t>Investment Income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Major categories of the Company’s net investment income are summarized as follows: </w:t>
      </w:r>
    </w:p>
    <w:tbl>
      <w:tblPr>
        <w:tblW w:w="7755" w:type="dxa"/>
        <w:jc w:val="left"/>
        <w:tblInd w:w="0" w:type="dxa"/>
        <w:tblLayout w:type="fixed"/>
        <w:tblCellMar>
          <w:top w:w="28" w:type="dxa"/>
          <w:left w:w="28" w:type="dxa"/>
          <w:bottom w:w="28" w:type="dxa"/>
          <w:right w:w="28" w:type="dxa"/>
        </w:tblCellMar>
      </w:tblPr>
      <w:tblGrid>
        <w:gridCol w:w="731"/>
        <w:gridCol w:w="644"/>
        <w:gridCol w:w="650"/>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731"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Income: </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Fixed-maturity securities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2,130,385 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4,061,683 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Equity securities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246,638 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w:t>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3,543,205 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2,356,735 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6,988,687 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4,452,129 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Expenses: </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Investment expenses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222,377 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103,266 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investment income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3,428,729 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2,300,267 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6,766,310 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4,348,863 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There were no proceeds from the redemptions of fixed-maturity securities held-to-maturity for the six months ended June 30,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Proceeds from the sale or maturity of fixed-maturity securities available-for-sale were $17,223,774 and $20,172,732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were no proceeds from the sale of equity securities for the six months ended June 30, 2026 and 2025, respectively. </w:t>
      </w:r>
    </w:p>
    <w:p>
      <w:pPr>
        <w:pStyle w:val="TextBody"/>
        <w:bidi w:val="0"/>
        <w:spacing w:before="240" w:after="283"/>
        <w:jc w:val="both"/>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net gains (losses) on investments are summarized as follows: </w:t>
      </w:r>
    </w:p>
    <w:tbl>
      <w:tblPr>
        <w:tblW w:w="8077" w:type="dxa"/>
        <w:jc w:val="left"/>
        <w:tblInd w:w="0" w:type="dxa"/>
        <w:tblLayout w:type="fixed"/>
        <w:tblCellMar>
          <w:top w:w="28" w:type="dxa"/>
          <w:left w:w="28" w:type="dxa"/>
          <w:bottom w:w="28" w:type="dxa"/>
          <w:right w:w="28" w:type="dxa"/>
        </w:tblCellMar>
      </w:tblPr>
      <w:tblGrid>
        <w:gridCol w:w="946"/>
        <w:gridCol w:w="830"/>
        <w:gridCol w:w="834"/>
        <w:gridCol w:w="196"/>
        <w:gridCol w:w="736"/>
        <w:gridCol w:w="109"/>
        <w:gridCol w:w="109"/>
        <w:gridCol w:w="109"/>
        <w:gridCol w:w="109"/>
        <w:gridCol w:w="196"/>
        <w:gridCol w:w="736"/>
        <w:gridCol w:w="109"/>
        <w:gridCol w:w="109"/>
        <w:gridCol w:w="109"/>
        <w:gridCol w:w="109"/>
        <w:gridCol w:w="196"/>
        <w:gridCol w:w="811"/>
        <w:gridCol w:w="109"/>
        <w:gridCol w:w="109"/>
        <w:gridCol w:w="109"/>
        <w:gridCol w:w="109"/>
        <w:gridCol w:w="196"/>
        <w:gridCol w:w="736"/>
        <w:gridCol w:w="356"/>
      </w:tblGrid>
      <w:tr>
        <w:trPr/>
        <w:tc>
          <w:tcPr>
            <w:tcW w:w="94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18"/>
              </w:rPr>
              <w:t>Realized Gains (Losses)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9"/>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Fixed-maturity securities: </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gains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realized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(202,729)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(206,994)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(6,646)</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 xml:space="preserve">Net realized losses </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(202,328)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(205,251)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(5,804)</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color w:val="000000"/>
                <w:sz w:val="18"/>
              </w:rPr>
              <w:t>Unrealized Gains (Losses)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Equity Securities: </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gains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(288,506)</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(81,100)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(95,176)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(297,895)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(288,506)</w:t>
            </w:r>
          </w:p>
        </w:tc>
        <w:tc>
          <w:tcPr>
            <w:tcW w:w="3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Other Investments: </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gains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702,782 </w:t>
            </w:r>
          </w:p>
        </w:tc>
        <w:tc>
          <w:tcPr>
            <w:tcW w:w="356"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(271,856)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645,705 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(271,856)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702,782 </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Net unrealized gains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(569,751)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414,276 </w:t>
            </w:r>
          </w:p>
        </w:tc>
        <w:tc>
          <w:tcPr>
            <w:tcW w:w="3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 xml:space="preserve">Net gains (losses) on investments </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240,345 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546,451 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(775,002)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408,472 </w:t>
            </w:r>
          </w:p>
        </w:tc>
        <w:tc>
          <w:tcPr>
            <w:tcW w:w="3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Allowance for Credit Loss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available-for-sale fixed maturity securities, a credit loss exists if the present value of cash flows expected to be collected is less than the amortized cost basis. The allowance for credit losses related to available-for-sale fixed maturity securities is the difference between the present value of cash flows expected to be collected and the amortized cost basis, limited by the amount that the fair value is less than the amortized cost basis. The Company considers all available evidence when determining whether an investment requires a credit loss write-down or allowance to be recorded, which is recognized in net income (loss) through an allowance for credit losses. Any remaining decline in fair value represents the noncredit portion of the impairment, which is recognized in other comprehensive (loss) income, net of tax.</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did not identify any available-for-sale securities as of June 30, 2026 and December 31, 2025 which presented a risk of loss due to credit deterioration of the security.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At June 30, 2026 and December 31, 2025, there were 273 and 125 fixed-maturity securities, respectively, that accounted for the gross unrealized losses. The Company determined that none of the unrealized losses were deemed to be credit losses for its portfolio of investments for the six months ended June 30, 2026 and 2025. Significant factors influencing the Company’s determination that unrealized losses were temporary included credit quality considerations, the magnitude of the unrealized losses in relation to each security’s cost, the nature of the investment and interest rate environment factors, and management’s intent and ability to hold the investment for a period of time sufficient to allow for an anticipated recovery of estimated fair value to the Company’s cost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held available-for-sale securities with unrealized losses representing declines that were considered temporary at June 30, 2026 as follows: </w:t>
      </w:r>
    </w:p>
    <w:tbl>
      <w:tblPr>
        <w:tblW w:w="13395" w:type="dxa"/>
        <w:jc w:val="left"/>
        <w:tblInd w:w="0" w:type="dxa"/>
        <w:tblLayout w:type="fixed"/>
        <w:tblCellMar>
          <w:top w:w="28" w:type="dxa"/>
          <w:left w:w="28" w:type="dxa"/>
          <w:bottom w:w="28" w:type="dxa"/>
          <w:right w:w="28" w:type="dxa"/>
        </w:tblCellMar>
      </w:tblPr>
      <w:tblGrid>
        <w:gridCol w:w="543"/>
        <w:gridCol w:w="477"/>
        <w:gridCol w:w="481"/>
        <w:gridCol w:w="109"/>
        <w:gridCol w:w="109"/>
        <w:gridCol w:w="109"/>
        <w:gridCol w:w="196"/>
        <w:gridCol w:w="1051"/>
        <w:gridCol w:w="109"/>
        <w:gridCol w:w="109"/>
        <w:gridCol w:w="109"/>
        <w:gridCol w:w="109"/>
        <w:gridCol w:w="196"/>
        <w:gridCol w:w="886"/>
        <w:gridCol w:w="109"/>
        <w:gridCol w:w="109"/>
        <w:gridCol w:w="109"/>
        <w:gridCol w:w="109"/>
        <w:gridCol w:w="265"/>
        <w:gridCol w:w="265"/>
        <w:gridCol w:w="266"/>
        <w:gridCol w:w="109"/>
        <w:gridCol w:w="109"/>
        <w:gridCol w:w="109"/>
        <w:gridCol w:w="196"/>
        <w:gridCol w:w="961"/>
        <w:gridCol w:w="109"/>
        <w:gridCol w:w="109"/>
        <w:gridCol w:w="109"/>
        <w:gridCol w:w="109"/>
        <w:gridCol w:w="196"/>
        <w:gridCol w:w="886"/>
        <w:gridCol w:w="109"/>
        <w:gridCol w:w="109"/>
        <w:gridCol w:w="109"/>
        <w:gridCol w:w="109"/>
        <w:gridCol w:w="265"/>
        <w:gridCol w:w="265"/>
        <w:gridCol w:w="266"/>
        <w:gridCol w:w="109"/>
        <w:gridCol w:w="109"/>
        <w:gridCol w:w="109"/>
        <w:gridCol w:w="196"/>
        <w:gridCol w:w="1051"/>
        <w:gridCol w:w="109"/>
        <w:gridCol w:w="109"/>
        <w:gridCol w:w="109"/>
        <w:gridCol w:w="109"/>
        <w:gridCol w:w="196"/>
        <w:gridCol w:w="97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7"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Unrealized</w:t>
              <w:br/>
              <w:t xml:space="preserve">Losses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No. of </w:t>
              <w:br/>
              <w:t xml:space="preserve">Positions </w:t>
              <w:br/>
              <w:t xml:space="preserve">Held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 xml:space="preserve">Value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15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Available-for-Sale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and obligations of U.S. government corporations and agencies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Political subdivisions of States, Territories and Possessions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13,863,574 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13,863,574 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(2,582,468)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and other bonds industrial and miscellaneous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103,239,199 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30,041,135 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133,280,334 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(3,770,976)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69,019,763 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25,776,802 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94,796,565 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(5,166,848)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fixed-maturity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173,746,777 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(1,857,071)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69,681,511 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(9,673,512)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2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243,428,288 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(11,530,583)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held available-for-sale securities with unrealized losses representing declines that were considered temporary at December 31, 2025 as follows: </w:t>
      </w:r>
    </w:p>
    <w:tbl>
      <w:tblPr>
        <w:tblW w:w="13080" w:type="dxa"/>
        <w:jc w:val="left"/>
        <w:tblInd w:w="0" w:type="dxa"/>
        <w:tblLayout w:type="fixed"/>
        <w:tblCellMar>
          <w:top w:w="28" w:type="dxa"/>
          <w:left w:w="28" w:type="dxa"/>
          <w:bottom w:w="28" w:type="dxa"/>
          <w:right w:w="28" w:type="dxa"/>
        </w:tblCellMar>
      </w:tblPr>
      <w:tblGrid>
        <w:gridCol w:w="543"/>
        <w:gridCol w:w="477"/>
        <w:gridCol w:w="481"/>
        <w:gridCol w:w="109"/>
        <w:gridCol w:w="109"/>
        <w:gridCol w:w="109"/>
        <w:gridCol w:w="196"/>
        <w:gridCol w:w="961"/>
        <w:gridCol w:w="109"/>
        <w:gridCol w:w="109"/>
        <w:gridCol w:w="109"/>
        <w:gridCol w:w="109"/>
        <w:gridCol w:w="196"/>
        <w:gridCol w:w="751"/>
        <w:gridCol w:w="109"/>
        <w:gridCol w:w="109"/>
        <w:gridCol w:w="109"/>
        <w:gridCol w:w="109"/>
        <w:gridCol w:w="265"/>
        <w:gridCol w:w="265"/>
        <w:gridCol w:w="266"/>
        <w:gridCol w:w="109"/>
        <w:gridCol w:w="109"/>
        <w:gridCol w:w="109"/>
        <w:gridCol w:w="196"/>
        <w:gridCol w:w="961"/>
        <w:gridCol w:w="109"/>
        <w:gridCol w:w="109"/>
        <w:gridCol w:w="109"/>
        <w:gridCol w:w="109"/>
        <w:gridCol w:w="196"/>
        <w:gridCol w:w="886"/>
        <w:gridCol w:w="109"/>
        <w:gridCol w:w="109"/>
        <w:gridCol w:w="109"/>
        <w:gridCol w:w="109"/>
        <w:gridCol w:w="265"/>
        <w:gridCol w:w="265"/>
        <w:gridCol w:w="266"/>
        <w:gridCol w:w="109"/>
        <w:gridCol w:w="109"/>
        <w:gridCol w:w="109"/>
        <w:gridCol w:w="196"/>
        <w:gridCol w:w="1051"/>
        <w:gridCol w:w="109"/>
        <w:gridCol w:w="109"/>
        <w:gridCol w:w="109"/>
        <w:gridCol w:w="109"/>
        <w:gridCol w:w="196"/>
        <w:gridCol w:w="886"/>
        <w:gridCol w:w="154"/>
      </w:tblGrid>
      <w:tr>
        <w:trPr/>
        <w:tc>
          <w:tcPr>
            <w:tcW w:w="543"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2" w:type="dxa"/>
            <w:gridSpan w:val="45"/>
            <w:tcBorders>
              <w:bottom w:val="single" w:sz="6"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2"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Less than 12 months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7" w:type="dxa"/>
            <w:gridSpan w:val="15"/>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12 months or more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r>
          </w:p>
        </w:tc>
      </w:tr>
      <w:tr>
        <w:trPr/>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No. of </w:t>
              <w:br/>
              <w:t xml:space="preserve">Positions </w:t>
              <w:br/>
              <w:t>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Unrealized</w:t>
              <w:br/>
              <w:t>Losses</w:t>
            </w:r>
          </w:p>
        </w:tc>
      </w:tr>
      <w:tr>
        <w:trPr/>
        <w:tc>
          <w:tcPr>
            <w:tcW w:w="1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Available-for-Sale Securities: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Political subdivisions of States, Territories and Possessions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13,926,802 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13,926,802 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(2,534,725)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and other bonds industrial and miscellaneous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21,525,673 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(118,901)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34,677,856 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(2,540,470)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56,203,529 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(2,659,371)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18,055,734 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(62,968)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29,673,084 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(4,477,673)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47,728,818 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(4,540,641)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fixed-maturity securities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39,581,407 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(181,869)</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78,277,742 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(9,552,868)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6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117,859,149 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(9,734,737)</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4 - Fair Value Measurements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information about the Company’s investments that are measured at fair value on a recurring basis at June 30, 2026 and December 31, 2025 indicating the level of the fair value hierarchy of the valuation inputs the Company utilized to determine such fair value: </w:t>
      </w:r>
    </w:p>
    <w:tbl>
      <w:tblPr>
        <w:tblW w:w="10205" w:type="dxa"/>
        <w:jc w:val="left"/>
        <w:tblInd w:w="0" w:type="dxa"/>
        <w:tblLayout w:type="fixed"/>
        <w:tblCellMar>
          <w:top w:w="28" w:type="dxa"/>
          <w:left w:w="28" w:type="dxa"/>
          <w:bottom w:w="28" w:type="dxa"/>
          <w:right w:w="28" w:type="dxa"/>
        </w:tblCellMar>
      </w:tblPr>
      <w:tblGrid>
        <w:gridCol w:w="1606"/>
        <w:gridCol w:w="1410"/>
        <w:gridCol w:w="1413"/>
        <w:gridCol w:w="196"/>
        <w:gridCol w:w="1051"/>
        <w:gridCol w:w="109"/>
        <w:gridCol w:w="109"/>
        <w:gridCol w:w="109"/>
        <w:gridCol w:w="109"/>
        <w:gridCol w:w="196"/>
        <w:gridCol w:w="1051"/>
        <w:gridCol w:w="109"/>
        <w:gridCol w:w="109"/>
        <w:gridCol w:w="109"/>
        <w:gridCol w:w="109"/>
        <w:gridCol w:w="257"/>
        <w:gridCol w:w="277"/>
        <w:gridCol w:w="145"/>
        <w:gridCol w:w="109"/>
        <w:gridCol w:w="109"/>
        <w:gridCol w:w="109"/>
        <w:gridCol w:w="196"/>
        <w:gridCol w:w="1051"/>
        <w:gridCol w:w="157"/>
      </w:tblGrid>
      <w:tr>
        <w:trPr/>
        <w:tc>
          <w:tcPr>
            <w:tcW w:w="16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Total </w:t>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Fixed-maturity securities available-for-sale </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and obligations of U.S. government corporations and agencies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Political subdivisions of States, Territories and Possessions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21,582,546 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21,582,546 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and other bonds industrial and miscellaneous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151,259,652 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151,259,652 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139,595,917 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139,595,917 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 maturities </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152,747,467 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161,178,463 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Equity securities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9,810,500 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9,810,500 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investments, at fair value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162,557,967 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161,178,463 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323,736,430 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606"/>
        <w:gridCol w:w="1410"/>
        <w:gridCol w:w="1413"/>
        <w:gridCol w:w="196"/>
        <w:gridCol w:w="1051"/>
        <w:gridCol w:w="109"/>
        <w:gridCol w:w="109"/>
        <w:gridCol w:w="109"/>
        <w:gridCol w:w="109"/>
        <w:gridCol w:w="196"/>
        <w:gridCol w:w="1051"/>
        <w:gridCol w:w="109"/>
        <w:gridCol w:w="109"/>
        <w:gridCol w:w="109"/>
        <w:gridCol w:w="109"/>
        <w:gridCol w:w="257"/>
        <w:gridCol w:w="277"/>
        <w:gridCol w:w="145"/>
        <w:gridCol w:w="109"/>
        <w:gridCol w:w="109"/>
        <w:gridCol w:w="109"/>
        <w:gridCol w:w="196"/>
        <w:gridCol w:w="1051"/>
        <w:gridCol w:w="157"/>
      </w:tblGrid>
      <w:tr>
        <w:trPr/>
        <w:tc>
          <w:tcPr>
            <w:tcW w:w="1606"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6"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Level 1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Level 3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Total </w:t>
            </w:r>
          </w:p>
        </w:tc>
      </w:tr>
      <w:tr>
        <w:trPr/>
        <w:tc>
          <w:tcPr>
            <w:tcW w:w="4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Fixed-maturity securities available-for-sale </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U.S. Treasury securities and obligations of U.S. government corporations and agencies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1,007,190 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Political subdivisions of States, Territories and Possessions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21,773,433 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21,773,433 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Corporate and other bonds industrial and miscellaneous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129,866,682 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129,866,682 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Residential mortgage and other asset backed securities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136,389,885 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136,389,885 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fixed maturities </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130,873,872 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158,163,318 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Equity securities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investments, at fair value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140,930,467 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158,163,318 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299,093,785 </w:t>
            </w:r>
          </w:p>
        </w:tc>
        <w:tc>
          <w:tcPr>
            <w:tcW w:w="1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sets forth the Company’s investment in a hedge fund measured at Net Asset Value (“NAV”) per share as of June 30, 2026 and December 31, 2025. The Company measures this investment at fair value on a recurring basis. Fair value using NAV per share is as follows as of the dates indicated: </w:t>
      </w:r>
    </w:p>
    <w:tbl>
      <w:tblPr>
        <w:tblW w:w="5024" w:type="dxa"/>
        <w:jc w:val="left"/>
        <w:tblInd w:w="0" w:type="dxa"/>
        <w:tblLayout w:type="fixed"/>
        <w:tblCellMar>
          <w:top w:w="28" w:type="dxa"/>
          <w:left w:w="28" w:type="dxa"/>
          <w:bottom w:w="28" w:type="dxa"/>
          <w:right w:w="28" w:type="dxa"/>
        </w:tblCellMar>
      </w:tblPr>
      <w:tblGrid>
        <w:gridCol w:w="580"/>
        <w:gridCol w:w="510"/>
        <w:gridCol w:w="515"/>
        <w:gridCol w:w="109"/>
        <w:gridCol w:w="109"/>
        <w:gridCol w:w="109"/>
        <w:gridCol w:w="196"/>
        <w:gridCol w:w="871"/>
        <w:gridCol w:w="109"/>
        <w:gridCol w:w="109"/>
        <w:gridCol w:w="109"/>
        <w:gridCol w:w="109"/>
        <w:gridCol w:w="255"/>
        <w:gridCol w:w="1134"/>
        <w:gridCol w:w="200"/>
      </w:tblGrid>
      <w:tr>
        <w:trPr/>
        <w:tc>
          <w:tcPr>
            <w:tcW w:w="58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Category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Other Investments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Hedge fund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4,280,522 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4,552,378 </w:t>
            </w:r>
          </w:p>
        </w:tc>
        <w:tc>
          <w:tcPr>
            <w:tcW w:w="200"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hedge fund investment is generally redeemable with at least 45 days prior written notice. The hedge fund investment is accounted for as a limited partnership by the Company. Income is earned based upon the Company’s allocated share of the partnership's changes in unrealized gains and losses to its partners, which are recorded in the condensed consolidated statements of operations and comprehensive income within net gains (losses) on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000000"/>
          <w:sz w:val="18"/>
        </w:rPr>
        <w:t>Note 5 - Fair Value of Financial Instruments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estimated fair values of the Company’s financial instruments, including their fair value level as of June 30, 2026 and December 31, 2025 are as follows: </w:t>
      </w:r>
    </w:p>
    <w:tbl>
      <w:tblPr>
        <w:tblW w:w="10205" w:type="dxa"/>
        <w:jc w:val="left"/>
        <w:tblInd w:w="0" w:type="dxa"/>
        <w:tblLayout w:type="fixed"/>
        <w:tblCellMar>
          <w:top w:w="28" w:type="dxa"/>
          <w:left w:w="28" w:type="dxa"/>
          <w:bottom w:w="28" w:type="dxa"/>
          <w:right w:w="28" w:type="dxa"/>
        </w:tblCellMar>
      </w:tblPr>
      <w:tblGrid>
        <w:gridCol w:w="1143"/>
        <w:gridCol w:w="1003"/>
        <w:gridCol w:w="1008"/>
        <w:gridCol w:w="211"/>
        <w:gridCol w:w="1186"/>
        <w:gridCol w:w="109"/>
        <w:gridCol w:w="109"/>
        <w:gridCol w:w="109"/>
        <w:gridCol w:w="109"/>
        <w:gridCol w:w="211"/>
        <w:gridCol w:w="1186"/>
        <w:gridCol w:w="109"/>
        <w:gridCol w:w="109"/>
        <w:gridCol w:w="109"/>
        <w:gridCol w:w="109"/>
        <w:gridCol w:w="211"/>
        <w:gridCol w:w="1186"/>
        <w:gridCol w:w="109"/>
        <w:gridCol w:w="109"/>
        <w:gridCol w:w="109"/>
        <w:gridCol w:w="109"/>
        <w:gridCol w:w="211"/>
        <w:gridCol w:w="1186"/>
        <w:gridCol w:w="155"/>
      </w:tblGrid>
      <w:tr>
        <w:trPr/>
        <w:tc>
          <w:tcPr>
            <w:tcW w:w="114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3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6"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Fixed-maturity securities, held-to maturity,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6,039,691 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5,065,341 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6,042,348 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5,137,267 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Fixed-maturity securities, available-for-sale,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152,747,467 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152,747,467 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130,873,872 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130,873,872 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Fixed-maturity securities, available-for-sale, 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161,178,463 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161,178,463 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158,163,318 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158,163,318 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Level 1</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16,924,856 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12,178,730 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12,178,730 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net, Level 1</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19,284,233 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21,012,408 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21,012,408 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receivables, net, Level 3</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53,310,542 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53,310,542 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58,996,945 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balances payable, Level 3</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1,698,082 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5,232,319 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5,232,319 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Debt - Equipment financing, Level 2</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3,801,148 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3,771,742 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4,440,127 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4,380,922 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Note 6 – Property and Casualty Insurance Activity </w:t>
      </w:r>
    </w:p>
    <w:p>
      <w:pPr>
        <w:pStyle w:val="TextBody"/>
        <w:bidi w:val="0"/>
        <w:spacing w:lineRule="auto" w:line="288" w:before="240" w:after="283"/>
        <w:jc w:val="both"/>
        <w:rPr/>
      </w:pPr>
      <w:r>
        <w:rPr>
          <w:rFonts w:ascii="Times New Roman;serif" w:hAnsi="Times New Roman;serif"/>
          <w:b w:val="false"/>
          <w:color w:val="000000"/>
          <w:sz w:val="18"/>
          <w:u w:val="single"/>
        </w:rPr>
        <w:t>Premiums Earned</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Premiums written, ceded and earned are as follows: </w:t>
      </w:r>
    </w:p>
    <w:tbl>
      <w:tblPr>
        <w:tblW w:w="8754" w:type="dxa"/>
        <w:jc w:val="left"/>
        <w:tblInd w:w="0" w:type="dxa"/>
        <w:tblLayout w:type="fixed"/>
        <w:tblCellMar>
          <w:top w:w="28" w:type="dxa"/>
          <w:left w:w="28" w:type="dxa"/>
          <w:bottom w:w="28" w:type="dxa"/>
          <w:right w:w="28" w:type="dxa"/>
        </w:tblCellMar>
      </w:tblPr>
      <w:tblGrid>
        <w:gridCol w:w="1013"/>
        <w:gridCol w:w="894"/>
        <w:gridCol w:w="898"/>
        <w:gridCol w:w="196"/>
        <w:gridCol w:w="1051"/>
        <w:gridCol w:w="109"/>
        <w:gridCol w:w="109"/>
        <w:gridCol w:w="109"/>
        <w:gridCol w:w="109"/>
        <w:gridCol w:w="330"/>
        <w:gridCol w:w="355"/>
        <w:gridCol w:w="185"/>
        <w:gridCol w:w="109"/>
        <w:gridCol w:w="109"/>
        <w:gridCol w:w="109"/>
        <w:gridCol w:w="196"/>
        <w:gridCol w:w="1036"/>
        <w:gridCol w:w="109"/>
        <w:gridCol w:w="109"/>
        <w:gridCol w:w="109"/>
        <w:gridCol w:w="109"/>
        <w:gridCol w:w="196"/>
        <w:gridCol w:w="1051"/>
        <w:gridCol w:w="154"/>
      </w:tblGrid>
      <w:tr>
        <w:trPr/>
        <w:tc>
          <w:tcPr>
            <w:tcW w:w="101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Direct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Assumed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Ceded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Net </w:t>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written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142,097,049 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3,285,295 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145,382,344 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1,400,866 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(30,446,919)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(29,046,053)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earned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143,497,915 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(27,161,624)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written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119,237,405 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(6,017,324)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113,220,081 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(27,920,395)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(23,481,758)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earned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123,676,042 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(33,937,719)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written</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72,493,668 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(4,704,561)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67,789,107 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(8,337,155)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(7,321,630)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earned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73,509,193 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(13,041,716)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written</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61,062,409 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52,210,674 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1,968,256 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(7,963,670)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(5,995,414)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Premiums earned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63,030,665 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(16,815,405)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r>
        <w:trPr/>
        <w:tc>
          <w:tcPr>
            <w:tcW w:w="2805"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Premium receipts in advance of the policy effective date are recorded as advance premiums. The balance of advance premiums as of June 30, 2026 and December 31, 2025 was $6,142,453 and $4,003,453,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Loss and Loss Adjustment Expense Reserves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a reconciliation of the beginning and ending balances for unpaid loss and LAE reserves: </w:t>
      </w:r>
    </w:p>
    <w:tbl>
      <w:tblPr>
        <w:tblW w:w="7091" w:type="dxa"/>
        <w:jc w:val="left"/>
        <w:tblInd w:w="0" w:type="dxa"/>
        <w:tblLayout w:type="fixed"/>
        <w:tblCellMar>
          <w:top w:w="28" w:type="dxa"/>
          <w:left w:w="28" w:type="dxa"/>
          <w:bottom w:w="28" w:type="dxa"/>
          <w:right w:w="28" w:type="dxa"/>
        </w:tblCellMar>
      </w:tblPr>
      <w:tblGrid>
        <w:gridCol w:w="896"/>
        <w:gridCol w:w="788"/>
        <w:gridCol w:w="791"/>
        <w:gridCol w:w="314"/>
        <w:gridCol w:w="1686"/>
        <w:gridCol w:w="174"/>
        <w:gridCol w:w="109"/>
        <w:gridCol w:w="109"/>
        <w:gridCol w:w="109"/>
        <w:gridCol w:w="296"/>
        <w:gridCol w:w="1587"/>
        <w:gridCol w:w="232"/>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6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Year ended December 31,</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at beginning of period </w:t>
            </w:r>
          </w:p>
        </w:tc>
        <w:tc>
          <w:tcPr>
            <w:tcW w:w="31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140,538,618 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126,210,428 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reinsurance recoverables</w:t>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(33,232,365)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(32,322,637)</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balance, beginning of period </w:t>
            </w:r>
          </w:p>
        </w:tc>
        <w:tc>
          <w:tcPr>
            <w:tcW w:w="2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107,306,253 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93,887,791 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Incurred related to:</w:t>
            </w:r>
          </w:p>
        </w:tc>
        <w:tc>
          <w:tcPr>
            <w:tcW w:w="21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w:t>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72,405,016 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85,349,385 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Prior years</w:t>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(2,900,135)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(1,083,663)</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incurred</w:t>
            </w:r>
          </w:p>
        </w:tc>
        <w:tc>
          <w:tcPr>
            <w:tcW w:w="20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84,265,722 </w:t>
            </w:r>
          </w:p>
        </w:tc>
        <w:tc>
          <w:tcPr>
            <w:tcW w:w="23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Paid related to:</w:t>
            </w:r>
          </w:p>
        </w:tc>
        <w:tc>
          <w:tcPr>
            <w:tcW w:w="21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year</w:t>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28,629,519 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40,940,473 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Prior years</w:t>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19,638,622 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29,906,787 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paid</w:t>
            </w:r>
          </w:p>
        </w:tc>
        <w:tc>
          <w:tcPr>
            <w:tcW w:w="200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48,268,141 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70,847,260 </w:t>
            </w:r>
          </w:p>
        </w:tc>
        <w:tc>
          <w:tcPr>
            <w:tcW w:w="2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balance at end of period</w:t>
            </w:r>
          </w:p>
        </w:tc>
        <w:tc>
          <w:tcPr>
            <w:tcW w:w="200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128,542,993 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107,306,253 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 reinsurance recoverables</w:t>
            </w:r>
          </w:p>
        </w:tc>
        <w:tc>
          <w:tcPr>
            <w:tcW w:w="200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38,932,025 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33,232,365 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at end of period </w:t>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167,475,018 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140,538,618 </w:t>
            </w:r>
          </w:p>
        </w:tc>
        <w:tc>
          <w:tcPr>
            <w:tcW w:w="2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Incurred losses and LAE are presented in the accompanying condensed consolidated statements of income and comprehensive income net of reinsurance recoveries under reinsurance contracts of $18,540,237 and $10,645,332 for the six months ended June 30, 2026 and 2025, respectively.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Prior year incurred loss and LAE development is based upon estimates by line of business and accident year. Prior year loss and LAE development incurred during the six months ended June 30, 2026 and 2025 was $2,900,135 favorable and $812,256 favorable, respectively. During the six months ended June 30, 2026, property claims overall developed better than expected driven primarily by reserve takedowns on several fire and water claims from accident years 2024 and 2025 as well as a large subrogation recovery on a water damage claim from accident year 2023, resulting in favorable development. During the six months ended June 30, 2025, the favorable development was attributable to reserve decreases on fire and water damage claims from accident years 2022 through 2024 as well as a large subrogation recovery on a water damage claim from accident year 2022. </w:t>
      </w:r>
    </w:p>
    <w:p>
      <w:pPr>
        <w:pStyle w:val="TextBody"/>
        <w:bidi w:val="0"/>
        <w:spacing w:lineRule="auto" w:line="288" w:before="240" w:after="283"/>
        <w:jc w:val="both"/>
        <w:rPr/>
      </w:pPr>
      <w:r>
        <w:rPr>
          <w:rFonts w:ascii="Times New Roman;serif" w:hAnsi="Times New Roman;serif"/>
          <w:b w:val="false"/>
          <w:color w:val="000000"/>
          <w:sz w:val="18"/>
          <w:u w:val="single"/>
        </w:rPr>
        <w:t>Loss and LAE Reserves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reserving process for loss and LAE reserves provides for the Company’s best estimate at a particular point in time of the ultimate unpaid cost of all losses and LAE incurred, including settlement and administration of losses, and is based on facts and circumstances then known including losses that have occurred but that have not yet been reported. The process relies on standard actuarial reserving methodologies, judgments relative to estimates of ultimate claim severity and frequency, the length of time before losses will develop to their ultimate level (‘tail’ factors), and the likelihood of changes in the law or other external factors that are beyond the Company’s control. Several actuarial reserving methodologies are used to estimate required loss reserves. The process produces carried reserves set by management based upon the actuaries’ best estimate and is the cumulative combination of the best estimates made by line of business, accident year, and loss and LAE. The amount of loss and LAE reserves for individual reported claims (the “case reserve”) is determined by the claims department and changes over time as new information is gathered. Such information is critical to the review of appropriate IBNR reserves and includes a review of coverage applicability, comparative liability on the part of the insured, injury severity, property damage, replacement cost estimates, and any other information considered pertinent to estimating the exposure presented by the claim. The amounts of loss and LAE reserves for unreported claims and development on known claims (IBNR reserves) are determined using historical information aggregated by line of business as adjusted to current conditions. Since this process produces loss reserves set by management based upon the actuaries’ best estimate, there is no explicit or implicit provision for uncertainty in the carried loss reserves.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Due to the inherent uncertainty associated with the reserving process, the ultimate liability may differ, perhaps substantially, from the original estimate. Such estimates are regularly reviewed and updated and any resulting adjustments are included in the current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results. Reserves are closely monitored and are recomputed periodically using the most recent information on reported claims and a variety of statistical techniques. On at least a quarterly basis, the Company reviews by line of business existing reserves, new claims, changes to existing case reserves, and paid losses with respect to the current and prior periods. Several methods are used, varying by line of business and accident year, in order to select the estimated period-end loss reserves. These methods include the following: </w:t>
      </w:r>
    </w:p>
    <w:p>
      <w:pPr>
        <w:pStyle w:val="TextBody"/>
        <w:bidi w:val="0"/>
        <w:spacing w:lineRule="auto" w:line="288" w:before="240" w:after="283"/>
        <w:jc w:val="both"/>
        <w:rPr/>
      </w:pPr>
      <w:r>
        <w:rPr>
          <w:rFonts w:ascii="Times New Roman;serif" w:hAnsi="Times New Roman;serif"/>
          <w:b w:val="false"/>
          <w:i/>
          <w:color w:val="000000"/>
          <w:sz w:val="18"/>
        </w:rPr>
        <w:t>Paid Loss Development</w:t>
      </w:r>
      <w:r>
        <w:rPr>
          <w:color w:val="000000"/>
        </w:rPr>
        <w:t xml:space="preserve"> – </w:t>
      </w:r>
      <w:r>
        <w:rPr>
          <w:rFonts w:ascii="Times New Roman;serif" w:hAnsi="Times New Roman;serif"/>
          <w:b w:val="false"/>
          <w:color w:val="000000"/>
          <w:sz w:val="18"/>
        </w:rPr>
        <w:t xml:space="preserve">historical patterns of paid loss development are used to project future paid loss emergence in order to estimate required reserves. </w:t>
      </w:r>
    </w:p>
    <w:p>
      <w:pPr>
        <w:pStyle w:val="TextBody"/>
        <w:bidi w:val="0"/>
        <w:spacing w:lineRule="auto" w:line="288" w:before="240" w:after="283"/>
        <w:jc w:val="both"/>
        <w:rPr/>
      </w:pPr>
      <w:r>
        <w:rPr>
          <w:rFonts w:ascii="Times New Roman;serif" w:hAnsi="Times New Roman;serif"/>
          <w:b w:val="false"/>
          <w:i/>
          <w:color w:val="000000"/>
          <w:sz w:val="18"/>
        </w:rPr>
        <w:t>Incurred Loss Development</w:t>
      </w:r>
      <w:r>
        <w:rPr>
          <w:color w:val="000000"/>
        </w:rPr>
        <w:t xml:space="preserve"> – </w:t>
      </w:r>
      <w:r>
        <w:rPr>
          <w:rFonts w:ascii="Times New Roman;serif" w:hAnsi="Times New Roman;serif"/>
          <w:b w:val="false"/>
          <w:color w:val="000000"/>
          <w:sz w:val="18"/>
        </w:rPr>
        <w:t xml:space="preserve">historical patterns of incurred loss development, reflecting both paid losses and changes in case reserves, are used to project future incurred loss emergence in order to estimate required reserves. </w:t>
      </w:r>
    </w:p>
    <w:p>
      <w:pPr>
        <w:pStyle w:val="TextBody"/>
        <w:bidi w:val="0"/>
        <w:spacing w:lineRule="auto" w:line="288" w:before="240" w:after="283"/>
        <w:jc w:val="both"/>
        <w:rPr/>
      </w:pPr>
      <w:r>
        <w:rPr>
          <w:rFonts w:ascii="Times New Roman;serif" w:hAnsi="Times New Roman;serif"/>
          <w:b w:val="false"/>
          <w:i/>
          <w:color w:val="000000"/>
          <w:sz w:val="18"/>
        </w:rPr>
        <w:t>Paid Bornhuetter-Ferguson (“BF”)</w:t>
      </w:r>
      <w:r>
        <w:rPr>
          <w:color w:val="000000"/>
        </w:rPr>
        <w:t xml:space="preserve"> – </w:t>
      </w:r>
      <w:r>
        <w:rPr>
          <w:rFonts w:ascii="Times New Roman;serif" w:hAnsi="Times New Roman;serif"/>
          <w:b w:val="false"/>
          <w:color w:val="000000"/>
          <w:sz w:val="18"/>
        </w:rPr>
        <w:t xml:space="preserve">an estimated loss ratio for a particular accident year is determined, and is weighted against the portion of the accident year claims that have been paid, based on historical paid loss development patterns. The estimate of required reserves assumes that the remaining unpaid portion of a particular accident year will pay out at a rate consistent with the estimated loss ratio for that year. This method can be useful for situations where an unusually high or low amount of paid losses exists at the early stages of the claims development process. </w:t>
      </w:r>
    </w:p>
    <w:p>
      <w:pPr>
        <w:pStyle w:val="TextBody"/>
        <w:bidi w:val="0"/>
        <w:spacing w:lineRule="auto" w:line="288" w:before="240" w:after="283"/>
        <w:jc w:val="both"/>
        <w:rPr/>
      </w:pPr>
      <w:r>
        <w:rPr>
          <w:rFonts w:ascii="Times New Roman;serif" w:hAnsi="Times New Roman;serif"/>
          <w:b w:val="false"/>
          <w:i/>
          <w:color w:val="000000"/>
          <w:sz w:val="18"/>
        </w:rPr>
        <w:t>Incurred Bornhuetter-Ferguson (“BF”)</w:t>
      </w:r>
      <w:r>
        <w:rPr>
          <w:color w:val="000000"/>
        </w:rPr>
        <w:t xml:space="preserve"> </w:t>
      </w:r>
      <w:r>
        <w:rPr>
          <w:rFonts w:ascii="Times New Roman;serif" w:hAnsi="Times New Roman;serif"/>
          <w:b w:val="false"/>
          <w:color w:val="000000"/>
          <w:sz w:val="18"/>
        </w:rPr>
        <w:t xml:space="preserve">- an estimated loss ratio for a particular accident year is determined, and is weighted against the portion of the accident year claims that have been reported, based on historical incurred loss development patterns. The estimate of required reserves assumes that the remaining unreported portion of a particular accident year will pay out at a rate consistent with the estimated loss ratio for that year. This method can be useful for situations where an unusually high or low amount of reported losses exists at the early stages of the claims development process. </w:t>
      </w:r>
    </w:p>
    <w:p>
      <w:pPr>
        <w:pStyle w:val="TextBody"/>
        <w:bidi w:val="0"/>
        <w:spacing w:lineRule="auto" w:line="288" w:before="240" w:after="283"/>
        <w:jc w:val="both"/>
        <w:rPr/>
      </w:pPr>
      <w:r>
        <w:rPr>
          <w:rFonts w:ascii="Times New Roman;serif" w:hAnsi="Times New Roman;serif"/>
          <w:b w:val="false"/>
          <w:i/>
          <w:color w:val="000000"/>
          <w:sz w:val="18"/>
        </w:rPr>
        <w:t xml:space="preserve">Incremental Claim-Based Methods </w:t>
      </w:r>
      <w:r>
        <w:rPr>
          <w:color w:val="000000"/>
        </w:rPr>
        <w:t xml:space="preserve">– </w:t>
      </w:r>
      <w:r>
        <w:rPr>
          <w:rFonts w:ascii="Times New Roman;serif" w:hAnsi="Times New Roman;serif"/>
          <w:b w:val="false"/>
          <w:color w:val="000000"/>
          <w:sz w:val="18"/>
        </w:rPr>
        <w:t xml:space="preserve">historical patterns of incremental incurred losses and paid LAE during various stages of development are reviewed and assumptions are made regarding average loss and LAE development applied to remaining claims inventory. Such methods more properly reflect changes in the speed of claims closure and the relative adequacy of case reserve levels at various stages of development. These methods may provide a more accurate estimate of IBNR for lines of business with relatively few remaining open claims but for which significant recent settlement activity has occurred. </w:t>
      </w:r>
    </w:p>
    <w:p>
      <w:pPr>
        <w:pStyle w:val="TextBody"/>
        <w:bidi w:val="0"/>
        <w:spacing w:lineRule="auto" w:line="288" w:before="240" w:after="283"/>
        <w:jc w:val="both"/>
        <w:rPr/>
      </w:pPr>
      <w:r>
        <w:rPr>
          <w:rFonts w:ascii="Times New Roman;serif" w:hAnsi="Times New Roman;serif"/>
          <w:b w:val="false"/>
          <w:i/>
          <w:color w:val="000000"/>
          <w:sz w:val="18"/>
        </w:rPr>
        <w:t>Frequency / Severity Based Methods</w:t>
      </w:r>
      <w:r>
        <w:rPr>
          <w:color w:val="000000"/>
        </w:rPr>
        <w:t xml:space="preserve"> – </w:t>
      </w:r>
      <w:r>
        <w:rPr>
          <w:rFonts w:ascii="Times New Roman;serif" w:hAnsi="Times New Roman;serif"/>
          <w:b w:val="false"/>
          <w:color w:val="000000"/>
          <w:sz w:val="18"/>
        </w:rPr>
        <w:t xml:space="preserve">historical measurements of claim frequency and average paid claim size (severity) are reviewed for more mature accident years where a majority of claims have been reported and/or closed. These historical averages are trended forward to more recent periods in order to estimate ultimate losses for newer accident years that are not yet fully developed. These methods are useful for lines of business with slow and/or volatile loss development patterns, such as liability lines where information pertaining to individual cases may not be completely known for many years. The claim frequency and severity information for older periods can then be used as reasonable measures for developing a range of estimates for more recent immature periods.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Management’s best estimate of required reserves is generally based on an average of the methods above, with appropriate weighting of methods based on the line of business and accident year being projected. In some cases, additional methods or historical data from industry sources are employed to supplement the projections derived from the methods listed above.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Three key assumptions that materially affect the estimate of loss reserves are the loss ratio estimate for the current accident year used in the BF methods, the loss development factor selections used in the loss development methods, and the loss severity assumptions used in the frequency / severity method described above. The loss ratio estimates used in the BF methods are selected after reviewing historical accident year loss ratios adjusted for rate changes, trend, and mix of business. The severity assumptions used in the frequency / severity method are determined by reviewing historical average claim severity for older more mature accident periods, trended forward to less mature accident periods.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reviews the carried reserves levels on a regular basis as additional information becomes available and makes adjustments in the periods in which such adjustments are determined to be necessary. The Company is not aware of any claim trends that have emerged or that would cause future adverse development that have not already been contemplated in setting current carried reserves levels.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New York State, lawsuits for negligence are subject to certain limitations and must be commenced within three years from the date of the accident or are otherwise barred. Accordingly, the Company’s exposure to unreported claims (“pure” IBNR) for accident dates of June 30, 2023 and prior is limited, although there remains the possibility of adverse development on reported claims (“case development” IBNR). In certain rare circumstances states have retroactively revised a statute of limitations. The Company is not aware of any such effort that would have a material impact on the Company’s results.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is information about incurred and paid claims development as of June 30, 2026, net of reinsurance, as well as the cumulative reported claims by accident year and total IBNR reserves as of June 30, 2026 included in the net incurred loss and allocated expense amounts. The historical information regarding incurred and paid claims development for the years ended December 31, 2017 to December 31, 2025 is presented as supplementary unaudited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All Lines of Business</w:t>
      </w:r>
    </w:p>
    <w:p>
      <w:pPr>
        <w:pStyle w:val="TextBody"/>
        <w:bidi w:val="0"/>
        <w:spacing w:lineRule="auto" w:line="288" w:before="0" w:after="0"/>
        <w:jc w:val="both"/>
        <w:rPr/>
      </w:pPr>
      <w:r>
        <w:rPr>
          <w:rFonts w:ascii="Times New Roman;serif" w:hAnsi="Times New Roman;serif"/>
          <w:b/>
          <w:i/>
          <w:color w:val="000000"/>
          <w:sz w:val="18"/>
        </w:rPr>
        <w:t>(in thousands, except reported claims data)</w:t>
      </w:r>
      <w:r>
        <w:rPr>
          <w:color w:val="000000"/>
        </w:rPr>
        <w:t xml:space="preserve"> </w:t>
      </w:r>
    </w:p>
    <w:tbl>
      <w:tblPr>
        <w:tblW w:w="16021"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327"/>
        <w:gridCol w:w="205"/>
        <w:gridCol w:w="441"/>
        <w:gridCol w:w="109"/>
        <w:gridCol w:w="327"/>
        <w:gridCol w:w="991"/>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3" w:type="dxa"/>
            <w:gridSpan w:val="5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Incurred Loss and Allocated Loss Adjustment Expenses, Net of Reinsurance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As of</w:t>
              <w:br/>
              <w:t>June 30, 2026</w:t>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w:t>
              <w:br/>
              <w:t xml:space="preserve">Months </w:t>
              <w:br/>
              <w:t>Ended</w:t>
              <w:b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Cumulative</w:t>
              <w:br/>
              <w:t>Number of</w:t>
              <w:br/>
              <w:t>Reported</w:t>
              <w:br/>
              <w:t>Claims by</w:t>
              <w:br/>
              <w:t>Accident</w:t>
              <w:br/>
              <w:t>Year</w:t>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 2017 - 2025)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3,401</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4,238</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4,511</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5,896</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98,902 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5,838</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4,721</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4,102</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57,860 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3,152</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75,084 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2,406</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1,657</w:t>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r>
              <w:rPr>
                <w:rFonts w:ascii="Times New Roman;serif" w:hAnsi="Times New Roman;serif"/>
                <w:b/>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684,371 </w:t>
            </w:r>
          </w:p>
        </w:tc>
        <w:tc>
          <w:tcPr>
            <w:tcW w:w="109" w:type="dxa"/>
            <w:tcBorders>
              <w:top w:val="single" w:sz="8"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All Lines of Business</w:t>
      </w:r>
    </w:p>
    <w:p>
      <w:pPr>
        <w:pStyle w:val="TextBody"/>
        <w:bidi w:val="0"/>
        <w:spacing w:lineRule="auto" w:line="288" w:before="0" w:after="0"/>
        <w:jc w:val="both"/>
        <w:rPr/>
      </w:pPr>
      <w:r>
        <w:rPr>
          <w:rFonts w:ascii="Times New Roman;serif" w:hAnsi="Times New Roman;serif"/>
          <w:b/>
          <w:i/>
          <w:color w:val="000000"/>
          <w:sz w:val="18"/>
        </w:rPr>
        <w:t>(in thousands)</w:t>
      </w:r>
      <w:r>
        <w:rPr>
          <w:color w:val="000000"/>
        </w:rPr>
        <w:t xml:space="preserve"> </w:t>
      </w:r>
    </w:p>
    <w:tbl>
      <w:tblPr>
        <w:tblW w:w="13666" w:type="dxa"/>
        <w:jc w:val="left"/>
        <w:tblInd w:w="0" w:type="dxa"/>
        <w:tblLayout w:type="fixed"/>
        <w:tblCellMar>
          <w:top w:w="28" w:type="dxa"/>
          <w:left w:w="28" w:type="dxa"/>
          <w:bottom w:w="28" w:type="dxa"/>
          <w:right w:w="28" w:type="dxa"/>
        </w:tblCellMar>
      </w:tblPr>
      <w:tblGrid>
        <w:gridCol w:w="272"/>
        <w:gridCol w:w="239"/>
        <w:gridCol w:w="240"/>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8" w:type="dxa"/>
            <w:gridSpan w:val="57"/>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Cumulative Paid Loss and Allocated Loss Adjustment Expenses, Net of Reinsurance</w:t>
            </w:r>
          </w:p>
        </w:tc>
      </w:tr>
      <w:tr>
        <w:trPr/>
        <w:tc>
          <w:tcPr>
            <w:tcW w:w="751"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Accident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For the Years Ended 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Six</w:t>
              <w:br/>
              <w:t>Months Ended</w:t>
              <w:br/>
              <w:t>June 30,</w:t>
              <w:br/>
              <w:t>2026</w:t>
            </w:r>
          </w:p>
        </w:tc>
      </w:tr>
      <w:tr>
        <w:trPr/>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2018</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2019</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75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5" w:type="dxa"/>
            <w:gridSpan w:val="5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 2017 - 2025)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31,393 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63,932 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70,376 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39,045 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85,314 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92,342 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45,856 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68,170 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71,667 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60,511 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26,702 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565,473 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3" w:type="dxa"/>
            <w:gridSpan w:val="57"/>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Net liability for unpaid loss and allocated loss adjustment expenses for the accident years presented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118,898 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3" w:type="dxa"/>
            <w:gridSpan w:val="57"/>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All outstanding liabilities before 2017, net of reinsurance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53" w:type="dxa"/>
            <w:gridSpan w:val="57"/>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Liabilities for loss and allocated loss adjustment expenses, net of reinsurance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120,457 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(Components may not sum to totals due to rounding)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Reported claim counts are measured on an occurrence or per event basis. A single claim occurrence could result in more than one loss type or claimant; however, the Company counts claims at the occurrence level as a single claim regardless of the number of claimants or claim features involved.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reconciliation of the net incurred and paid loss development tables to the loss and LAE reserves in the condensed consolidated balance sheet is as follows:</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Reconciliation of the Disclosure of Incurred and Paid Loss Development</w:t>
      </w:r>
    </w:p>
    <w:p>
      <w:pPr>
        <w:pStyle w:val="TextBody"/>
        <w:bidi w:val="0"/>
        <w:spacing w:lineRule="auto" w:line="288" w:before="0" w:after="0"/>
        <w:jc w:val="center"/>
        <w:rPr/>
      </w:pPr>
      <w:r>
        <w:rPr>
          <w:rFonts w:ascii="Times New Roman;serif" w:hAnsi="Times New Roman;serif"/>
          <w:b/>
          <w:color w:val="000000"/>
          <w:sz w:val="18"/>
        </w:rPr>
        <w:t>to the Liability for Loss and LAE Reserves</w:t>
      </w:r>
      <w:r>
        <w:rPr>
          <w:color w:val="000000"/>
        </w:rPr>
        <w:t xml:space="preserve"> </w:t>
      </w:r>
    </w:p>
    <w:tbl>
      <w:tblPr>
        <w:tblW w:w="6733" w:type="dxa"/>
        <w:jc w:val="center"/>
        <w:tblInd w:w="0" w:type="dxa"/>
        <w:tblLayout w:type="fixed"/>
        <w:tblCellMar>
          <w:top w:w="28" w:type="dxa"/>
          <w:left w:w="28" w:type="dxa"/>
          <w:bottom w:w="28" w:type="dxa"/>
          <w:right w:w="28" w:type="dxa"/>
        </w:tblCellMar>
      </w:tblPr>
      <w:tblGrid>
        <w:gridCol w:w="2005"/>
        <w:gridCol w:w="1760"/>
        <w:gridCol w:w="1769"/>
        <w:gridCol w:w="216"/>
        <w:gridCol w:w="813"/>
        <w:gridCol w:w="170"/>
      </w:tblGrid>
      <w:tr>
        <w:trPr/>
        <w:tc>
          <w:tcPr>
            <w:tcW w:w="2005"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3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 thousands)</w:t>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br/>
              <w:t>June 30, 2026</w:t>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for allocated loss and loss adjustment expenses, net of reinsurance</w:t>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120,457 </w:t>
            </w:r>
          </w:p>
        </w:tc>
        <w:tc>
          <w:tcPr>
            <w:tcW w:w="17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reinsurance recoverable on unpaid losses</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38,932 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loss adjustment expenses</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8,086 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liability for loss and LAE reserves</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167,475 </w:t>
            </w:r>
          </w:p>
        </w:tc>
        <w:tc>
          <w:tcPr>
            <w:tcW w:w="1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val="false"/>
          <w:color w:val="000000"/>
          <w:sz w:val="18"/>
          <w:u w:val="single"/>
        </w:rPr>
        <w:t>Reinsurance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January 1, 2025, the Company entered into a 16% quota share reinsurance treaty for its personal lines business, which primarily consisted of homeowners’ and dwelling fire policies, covering the period from January 1, 2025 through January 1, 2026 (“2025/2026 Treaty”). Upon the expiration of the 2025/2026 Treaty on January 1, 2026, the Company entered into a new 5% quota share reinsurance treaty for its personal lines business written in all states except California (for which the Company entered into a new 30% quota share reinsurance treaty) covering the period from January 1, 2026 through January 1, 2027 (“2026/2027 Treaty”).</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Company’s excess of loss and catastrophe reinsurance treaties expired on June 30, 2026 and the Company entered into new excess of loss and catastrophe reinsurance treaties effective July 1, 2026. The new catastrophe reinsurance treaties include the second year of the $125,000,000 catastrophe bond ("Series 2025-1 Notes") issued on July 1, 2025. The Series 2025-1 Notes were priced at 4.5% and issued through a Bermuda-registered special purpose insurer, 1886 Re Ltd., providing KICO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cover four annual risk periods from July 1, 2025, through June 30, 2029.</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Effective January 1, 2025, the Company renewed an underlying excess of loss reinsurance treaty ("Underlying XOL Treaty") covering the period from January 1, 2025 through June 30, 2025. The treaty provided 50% reinsurance coverage for losses of $400,000 in excess of $600,000. Losses from named storms were excluded from the treaty. Effective July 1, 2025, the Underlying XOL Treaty was renewed along with the Company's excess of loss reinsurance treaty covering the period from July 1, 2025 through June 30, 2026 ("2025/2026 XOL Treaties"). Combined, the renewed 2025/2026 XOL Treaties provided 50% reinsurance coverage for losses of $250,000 in excess of $750,000, and 100% reinsurance coverage for losses in excess of $1,000,000 up to $9,000,000 together with facultative coverage. Effective July 1, 2026, the Underlying XOL Treaty was renewed along with the Company's excess of loss reinsurance treaty covering the period from July 1, 2026 through June 30, 2027 ("2026/2027 XOL Treaties"). Combined, the renewed 2026/2027 XOL Treaties provide 50% reinsurance coverage for losses of $250,000 in excess of $750,000, and 100% reinsurance coverage for losses in excess of $1,000,000 up to $11,000,000 together with facultative coverage. For the period October 1, 2024 through April 30, 2025, the Company purchased catastrophe reinsurance which provides coverage for winter storm losses to the extent of 71% of $4,500,000 in excess of $5,500,000. For the period October 15, 2025 through April 30, 2026, the Company purchased catastrophe reinsurance which provides coverage for winter storm losses to the extent of 90% of $5,000,000 in excess of $5,000,000. For the period July 1, 2026 through June 30, 2027, the Company purchased 70% of all perils coverage excluding named storm losses of $5,000,000 in excess of $5,000,000.</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Material terms for reinsurance treaties in effect for the treaty years shown below are as follows (see Note 15 - Subsequent Events, Reinsurance):</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413" w:type="dxa"/>
        <w:jc w:val="left"/>
        <w:tblInd w:w="0" w:type="dxa"/>
        <w:tblLayout w:type="fixed"/>
        <w:tblCellMar>
          <w:top w:w="28" w:type="dxa"/>
          <w:left w:w="28" w:type="dxa"/>
          <w:bottom w:w="28" w:type="dxa"/>
          <w:right w:w="28" w:type="dxa"/>
        </w:tblCellMar>
      </w:tblPr>
      <w:tblGrid>
        <w:gridCol w:w="499"/>
        <w:gridCol w:w="372"/>
        <w:gridCol w:w="255"/>
        <w:gridCol w:w="196"/>
        <w:gridCol w:w="1051"/>
        <w:gridCol w:w="109"/>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78"/>
        <w:gridCol w:w="178"/>
        <w:gridCol w:w="255"/>
      </w:tblGrid>
      <w:tr>
        <w:trPr/>
        <w:tc>
          <w:tcPr>
            <w:tcW w:w="4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Treaty Period </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2026/2027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2025/2026 Treaty</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Line of Business</w:t>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January 2, </w:t>
              <w:br/>
              <w:t>2027</w:t>
              <w:br/>
              <w:t xml:space="preserve">to </w:t>
              <w:br/>
              <w:t xml:space="preserve">June 30, </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July 1, </w:t>
              <w:br/>
              <w:t xml:space="preserve">2026 </w:t>
              <w:br/>
              <w:t xml:space="preserve">to </w:t>
              <w:br/>
              <w:t>January 1,</w:t>
              <w:br/>
              <w:t>2027</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January 2, </w:t>
              <w:br/>
              <w:t>2026</w:t>
              <w:br/>
              <w:t xml:space="preserve">to </w:t>
              <w:b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July 1, </w:t>
              <w:br/>
              <w:t xml:space="preserve">2025 </w:t>
              <w:br/>
              <w:t xml:space="preserve">to </w:t>
              <w:br/>
              <w:t>January 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January 2, </w:t>
              <w:br/>
              <w:t>2025</w:t>
              <w:br/>
              <w:t xml:space="preserve">to </w:t>
              <w:br/>
              <w:t xml:space="preserve">June 30, </w:t>
              <w:br/>
              <w:t>2025</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Personal Lines: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Homeowners, dwelling fire and canine legal liability</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Quota share treaty:</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Percent ceded (6)</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Risk retained on initial</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$1,000,000 of losses (4) (5) (6)</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Losses per occurrence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subject to quota share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coverage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date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Excess of loss coverage and</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facultative facility</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(1) (4) (5)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reinsurance coverage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 occurrence (4) (5)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10,175,000 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Losses per occurrence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subject to reinsurance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(5)</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date</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Catastrophe Reinsurance: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Initial loss subject to personal</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lines quota share treaty (5)</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Risk retained per catastrophe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occurrence (5) (6) (7) (8)</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 coverage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 quota share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(2) (5) (8)</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495,250,000 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434,500,000 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Reinstatement premium</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protection (3)</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both"/>
        <w:rPr/>
      </w:pPr>
      <w:r>
        <w:rPr/>
      </w:r>
    </w:p>
    <w:p>
      <w:pPr>
        <w:pStyle w:val="TextBody"/>
        <w:bidi w:val="0"/>
        <w:spacing w:lineRule="auto" w:line="288"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(1)For personal lines, includes the addition of an automatic facultative facility allowing KICO to obtain homeowners single risk coverage up to $9,000,000 in total insured value, which covers direct losses from $3,500,000 to $9,000,000 through June 30, 2026. Effective July 1, 2026, homeowners single risk coverage was increased to $11,000,000 in total insured value, which covers direct losses from $3,500,000 to $11,000,000 through June 30, 2027.</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 xml:space="preserve">(2)Through June 30, 2026, 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Effective July 1, 2026, catastrophe coverage is limited on an annual basis to two times the per occurrence amounts, except for one occurrence on: (i) 70% of the first layer of $5,000,000 in excess of $5,000,000 for all perils excluding named storms, and (ii), 95% of the first layer of $5,000,000 in excess of $5,000,000 for named storms, and one occurrence on 45% of the layer of $275,000,000 in excess of $215,000,000, which is covered under the catastrophe bond. Duration of 168 consecutive hours for a non-named catastrophe occurrence from windstorm, hail, tornado, hurricane and cyclone. For named storms, duration beginning on the date a watch, warning, advisory, or other bulletin is first issued, continuing for a time period thereafter during which such named storm continues, regardless of its category rating or lack thereof and regardless of whether the watch, warning, advisory or other bulletin remains in effect for such named storm, and ending on the fourth calendar day following the issuance of the last watch, warning, advisory or other bulletin. </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(3)For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 For the period July 1, 2026 through June 30, 2027 (expiration date of the catastrophe reinsurance treaty), reinstatement premium protection for $50,000,000 of catastrophe coverage in excess of $10,000,000 for named storms only.</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(4)For the period January 1, 2024 through June 30, 2025, the Underlying XOL Treaty provides 50% reinsurance coverage for losses of $400,000 in excess of $600,000. Excludes losses from named storms. Reduces retention to $530,000 from $730,000 under the quota share treaty that expired on January 1, 2025.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For the period July 1, 2026 through June 30, 2027, the Underlying XOL Treaty combined with the excess of loss treaty provide 50% reinsurance coverage for losses of $250,000 in excess of $750,000, and 100% reinsurance coverage for losses in excess of $1,000,000 up to $11,000,000 together with facultative coverage. Increased retention to $715,000 from $640,000 under the 2025/2026 Treaty, and increased retention to $825,000 under the 2026/2027 Treaty (see note 5 below).</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(5)The personal lines quota share treaty (homeowners, dwelling fire and canine liability) will expire on January 1, 2027, with none of these coverages to be in effect during the period from January 2, 2027 through June 30, 2027. If and when this treaty is renewed on January 2, 2027, the personal lines quota share treaty, will be as provided for therein. Reinsurance coverage in effect from January 2, 2027 through June 30, 2027 is only for excess of loss, Underlying XOL, and catastrophe reinsurance treaties.</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(6)For the 2025/2026 Treaty, 6% of the 16% total of losses ceded under this treaty were excluded from a named catastrophe event. For the 2026/2027 Treaty, there is no exclusion for catastrophe events. Quota share reinsurance under the 2026/2027 treaty is 5% for personal lines business written in all states except California (for which the quota share rate is 30%).</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(7)Plus losses in excess of catastrophe coverage.</w:t>
      </w:r>
    </w:p>
    <w:p>
      <w:pPr>
        <w:pStyle w:val="TextBody"/>
        <w:bidi w:val="0"/>
        <w:spacing w:lineRule="auto" w:line="276" w:before="320" w:after="283"/>
        <w:ind w:left="0" w:right="0" w:hanging="1170"/>
        <w:jc w:val="both"/>
        <w:rPr>
          <w:rFonts w:ascii="Times New Roman;serif" w:hAnsi="Times New Roman;serif"/>
          <w:b w:val="false"/>
          <w:color w:val="000000"/>
          <w:sz w:val="18"/>
        </w:rPr>
      </w:pPr>
      <w:r>
        <w:rPr>
          <w:rFonts w:ascii="Times New Roman;serif" w:hAnsi="Times New Roman;serif"/>
          <w:b w:val="false"/>
          <w:color w:val="000000"/>
          <w:sz w:val="18"/>
        </w:rPr>
        <w:t xml:space="preserve">(8)Effective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an additional catastrophe reinsurance treaty provided coverage for winter storm losses to the extent of 90% of $5,000,000 in excess of $5,000,000. Retention for winter storms was $5,200,000 under the 2025/2026 Treaty from January 1, 2025 through April 30, 2025, $3,900,000 from October 15, 2025 through January 1, 2026, the expiration date of the 2025/2026 Treaty, and $5,000,000 under the 2026/2027 Treaty through April 30, 2026. Effective July 1, 2026 through June 30, 2027, catastrophe coverage is 95% of the first layer of $5,000,000 in excess of $5,000,000 for named storms, 70% for all other catastrophe risks. The remaining coverage is at 100% of $490,000,000 in excess of $10,000,000. </w:t>
      </w:r>
    </w:p>
    <w:p>
      <w:pPr>
        <w:pStyle w:val="TextBody"/>
        <w:bidi w:val="0"/>
        <w:spacing w:before="24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240" w:after="283"/>
        <w:jc w:val="both"/>
        <w:rPr/>
      </w:pPr>
      <w:r>
        <w:rPr/>
      </w:r>
    </w:p>
    <w:p>
      <w:pPr>
        <w:pStyle w:val="TextBody"/>
        <w:bidi w:val="0"/>
        <w:spacing w:before="240" w:after="283"/>
        <w:jc w:val="both"/>
        <w:rPr/>
      </w:pPr>
      <w:r>
        <w:rPr/>
      </w:r>
    </w:p>
    <w:tbl>
      <w:tblPr>
        <w:tblW w:w="9513" w:type="dxa"/>
        <w:jc w:val="left"/>
        <w:tblInd w:w="0" w:type="dxa"/>
        <w:tblLayout w:type="fixed"/>
        <w:tblCellMar>
          <w:top w:w="28" w:type="dxa"/>
          <w:left w:w="28" w:type="dxa"/>
          <w:bottom w:w="28" w:type="dxa"/>
          <w:right w:w="28" w:type="dxa"/>
        </w:tblCellMar>
      </w:tblPr>
      <w:tblGrid>
        <w:gridCol w:w="1754"/>
        <w:gridCol w:w="1540"/>
        <w:gridCol w:w="1551"/>
        <w:gridCol w:w="196"/>
        <w:gridCol w:w="871"/>
        <w:gridCol w:w="256"/>
        <w:gridCol w:w="109"/>
        <w:gridCol w:w="109"/>
        <w:gridCol w:w="109"/>
        <w:gridCol w:w="196"/>
        <w:gridCol w:w="871"/>
        <w:gridCol w:w="256"/>
        <w:gridCol w:w="109"/>
        <w:gridCol w:w="109"/>
        <w:gridCol w:w="109"/>
        <w:gridCol w:w="196"/>
        <w:gridCol w:w="871"/>
        <w:gridCol w:w="301"/>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Treaty Year</w:t>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Line of Business </w:t>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2026</w:t>
              <w:br/>
              <w:t>to</w:t>
              <w:br/>
              <w:t>June 30,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2025</w:t>
              <w:br/>
              <w:t>to</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2024</w:t>
              <w:br/>
              <w:t>to</w:t>
              <w:br/>
              <w:t>June 30, 2025</w:t>
            </w:r>
          </w:p>
        </w:tc>
      </w:tr>
      <w:tr>
        <w:trPr/>
        <w:tc>
          <w:tcPr>
            <w:tcW w:w="48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Personal Lines:</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Personal Umbrella </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Quota share treaty: </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Percent ceded - first $1,000,000 of coverage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Percent ceded - excess of $1,000,000 of coverage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Risk retained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reinsurance coverage per occurrence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Losses per occurrence subject to quota share reinsurance coverage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Expiration date </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Lines (1)</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 xml:space="preserve">(1)Coverage on all commercial lines policies expired in September 2020; reinsurance coverage is based on treaties in effect on the date of loss.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Company’s reinsurance program has been structured to enable the Company to grow its premium volume while maintaining regulatory capital and other financial ratios generally within or below the expected ranges used for regulatory oversight purposes. The reinsurance program also provides income as a result of ceding commissions earned pursuant to the quota share reinsurance contracts. The Company’s participation in reinsurance arrangements does not relieve the Company of its obligations to policyholders. </w:t>
      </w:r>
    </w:p>
    <w:p>
      <w:pPr>
        <w:pStyle w:val="TextBody"/>
        <w:bidi w:val="0"/>
        <w:spacing w:lineRule="auto" w:line="288" w:before="240" w:after="283"/>
        <w:jc w:val="both"/>
        <w:rPr/>
      </w:pPr>
      <w:r>
        <w:rPr>
          <w:rFonts w:ascii="Times New Roman;serif" w:hAnsi="Times New Roman;serif"/>
          <w:b w:val="false"/>
          <w:color w:val="000000"/>
          <w:sz w:val="18"/>
          <w:u w:val="single"/>
        </w:rPr>
        <w:t>Ceding Commission Revenue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 earned ceding commission revenue under the 2025/2026 Treaty for the three and six months ended June 30, 2025 based on: (i) a fixed provisional commission rate at which provisional ceding commissions were earned, and (ii) a sliding scale ("Sliding Scale") of commission rates and ultimate treaty year loss ratio on the policies reinsured under this agreement based upon which contingent ceding commissions are earned. The Sliding Scale included minimum and maximum commission rates in relation to specified ultimate loss ratios. The commission rate and contingent ceding commissions earned increase when the estimated ultimate loss ratio decreases and, conversely, the commission rate and contingent ceding commissions earned decrease when the estimated ultimate loss ratio increases.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 earned ceding commission revenue under the 2026/2027 Treaty for the three and six months ended June 30, 2026 based on only a fixed provisional commission rate at which provisional ceding commissions were earned, with no provision for Sliding Scale ceding commission.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Ceding commission revenue consists of the following: </w:t>
      </w:r>
    </w:p>
    <w:tbl>
      <w:tblPr>
        <w:tblW w:w="8700" w:type="dxa"/>
        <w:jc w:val="left"/>
        <w:tblInd w:w="0" w:type="dxa"/>
        <w:tblLayout w:type="fixed"/>
        <w:tblCellMar>
          <w:top w:w="28" w:type="dxa"/>
          <w:left w:w="28" w:type="dxa"/>
          <w:bottom w:w="28" w:type="dxa"/>
          <w:right w:w="28" w:type="dxa"/>
        </w:tblCellMar>
      </w:tblPr>
      <w:tblGrid>
        <w:gridCol w:w="1077"/>
        <w:gridCol w:w="944"/>
        <w:gridCol w:w="94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1077"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Provisional ceding commissions earned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3,387,505 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2,628,693 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6,639,909 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Contingent ceding commissions earned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(599,662)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Provisional ceding commissions are settled monthly. Balances due to or from reinsurers for contingent ceding commissions on the 2025/2026 Treaty will be settled annually based on the Loss Ratio of the treaty year that ends on January 1. Balances due to or from reinsurers for Sliding Scale contingent ceding commissions on quota share treaties are settled periodically based on the Loss Ratio of each treaty year that ends on June 30 for the expired treaties (which had June 30 expiration dates) that were subject to Sliding Scale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contingent commissions. The Loss Ratios from prior years’ treaties are subject to change as incurred losses from those periods develop, resulting in an increase or decrease in the commission rate and Sliding Scale contingent ceding commissions earned. As of June 30, 2026 and December 31, 2025, contingent ceding commissions receivable from reinsurers under the 2025/2026 Treaty was approximately $2,064,000 and $1,754,000, respectively, which is recorded in other assets on the accompanying condensed consolidated balance sheets. As of June 30, 2026 and December 31, 2025, net contingent ceding commissions payable to reinsurers under all other treaties was approximately $734,000 and $732,000, respectively, which is recorded in reinsurance balances payable on the accompanying condensed consolidated balance sheets. </w:t>
      </w:r>
    </w:p>
    <w:p>
      <w:pPr>
        <w:pStyle w:val="TextBody"/>
        <w:bidi w:val="0"/>
        <w:spacing w:lineRule="auto" w:line="288" w:before="240" w:after="283"/>
        <w:jc w:val="both"/>
        <w:rPr/>
      </w:pPr>
      <w:r>
        <w:rPr>
          <w:rFonts w:ascii="Times New Roman;serif" w:hAnsi="Times New Roman;serif"/>
          <w:b w:val="false"/>
          <w:color w:val="000000"/>
          <w:sz w:val="18"/>
          <w:u w:val="single"/>
        </w:rPr>
        <w:t>Expected Credit Losses – Uncollectible Reinsurance</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reviews reinsurance receivables which relate to both amounts already billed on ceded paid losses as well as ceded reserves that will be billed when losses are paid in the future. The Company has not recorded an allowance for uncollectible reinsurance as there is no perceived credit risk. The principal credit quality indicator used in the valuation of the allowance for reinsurance receivables is the financial strength rating of the reinsurer sourced from major rating agencies. Changes in the allowance for credit losses are presented as a component of other underwriting expenses on the condensed consolidated statements of income and comprehensive income.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Note 7 – Debt </w:t>
      </w:r>
    </w:p>
    <w:p>
      <w:pPr>
        <w:pStyle w:val="TextBody"/>
        <w:bidi w:val="0"/>
        <w:spacing w:lineRule="auto" w:line="288" w:before="240" w:after="283"/>
        <w:jc w:val="both"/>
        <w:rPr/>
      </w:pPr>
      <w:r>
        <w:rPr>
          <w:rFonts w:ascii="Times New Roman;serif" w:hAnsi="Times New Roman;serif"/>
          <w:b w:val="false"/>
          <w:color w:val="000000"/>
          <w:sz w:val="18"/>
          <w:u w:val="single"/>
        </w:rPr>
        <w:t>Federal Home Loan Bank</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July 2017, KICO became a member of, and invested in, FHLBNY. KICO is required to maintain an investment in the capital stock of FHLBNY. Based on the redemption provisions of FHLBNY, the stock has no quoted market value and is carried at cost. At its discretion, FHLBNY may declare dividends on the stock. Management reviews the stock for impairment based on the ultimate recoverability of the cost basis in the stock. At June 30, 2026 and December 31, 2025, no impairment has been recognized. FHLBNY members have access to a variety of flexible, low cost funding through FHLBNY’s credit products, enabling members to customize advances, which are to be fully collateralized. Eligible collateral to pledge to FHLBNY includes residential and commercial mortgage-backed securities, along with U.S. Treasury and agency securities. See Note 3 – Investments for eligible collateral held in a designated custodian account available for future advances. Advances are limited to 5% of KICO’s net admitted assets under statutory insurance principles as of the previous quarter.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If KICO has sufficient available collateral (as discussed below), based on KICO’s net admitted assets, the maximum allowable advance as of June 30, 2026 and December 31, 2025 was approximately $18,819,000 and $16,873,000, respectively. The estimated fair value of available collateral as of June 30, 2026 and December 31, 2025 was approximately $9,117,000 and $9,598,000, respectively. Effective April 15, 2025, advances are limited to 91% of the amount of available collateral. Prior to April 15, 2025, advances were limited to 85% of the amount of available collateral. There were no borrowings under this facility during the six months ended June 30, 2026 and 2025. </w:t>
      </w:r>
    </w:p>
    <w:p>
      <w:pPr>
        <w:pStyle w:val="TextBody"/>
        <w:bidi w:val="0"/>
        <w:spacing w:lineRule="auto" w:line="288" w:before="240" w:after="283"/>
        <w:jc w:val="both"/>
        <w:rPr/>
      </w:pPr>
      <w:r>
        <w:rPr>
          <w:rFonts w:ascii="Times New Roman;serif" w:hAnsi="Times New Roman;serif"/>
          <w:b w:val="false"/>
          <w:color w:val="000000"/>
          <w:sz w:val="18"/>
          <w:u w:val="single"/>
        </w:rPr>
        <w:t>Debt</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Debt as of June 30, 2026 and December 31, 2025 consists of the following: </w:t>
      </w:r>
    </w:p>
    <w:tbl>
      <w:tblPr>
        <w:tblW w:w="6219" w:type="dxa"/>
        <w:jc w:val="left"/>
        <w:tblInd w:w="0" w:type="dxa"/>
        <w:tblLayout w:type="fixed"/>
        <w:tblCellMar>
          <w:top w:w="28" w:type="dxa"/>
          <w:left w:w="28" w:type="dxa"/>
          <w:bottom w:w="28" w:type="dxa"/>
          <w:right w:w="28" w:type="dxa"/>
        </w:tblCellMar>
      </w:tblPr>
      <w:tblGrid>
        <w:gridCol w:w="1267"/>
        <w:gridCol w:w="1111"/>
        <w:gridCol w:w="1117"/>
        <w:gridCol w:w="196"/>
        <w:gridCol w:w="871"/>
        <w:gridCol w:w="109"/>
        <w:gridCol w:w="109"/>
        <w:gridCol w:w="109"/>
        <w:gridCol w:w="109"/>
        <w:gridCol w:w="196"/>
        <w:gridCol w:w="871"/>
        <w:gridCol w:w="154"/>
      </w:tblGrid>
      <w:tr>
        <w:trPr/>
        <w:tc>
          <w:tcPr>
            <w:tcW w:w="1267"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13.75% Senior Notes due 2026 ("2024 Notes")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Equipment financing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3,801,148 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4,440,127 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at end of period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3,801,148 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4,440,127 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pPr>
      <w:r>
        <w:rPr>
          <w:rFonts w:ascii="Times New Roman;serif" w:hAnsi="Times New Roman;serif"/>
          <w:b w:val="false"/>
          <w:color w:val="000000"/>
          <w:sz w:val="18"/>
          <w:u w:val="single"/>
        </w:rPr>
        <w:t>2024 Notes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 issued the 2024 Notes in the aggregate principal amount of $14,950,000 pursuant to a debt exchange agreement (the “2024 Exchange Agreement”). Interest was payable semi-annually in arrears on June 30 and December 30 of each year at the rate of 13.75% per annum. Pursuant to the 2024 Exchange Agreement, the expiration date of the then outstanding warrants to purchase 969,525 shares of Common Stock of the Company pursuant to a 2022 debt exchange agreement ("2022 Exchange Agreement") was extended from December 30, 2025 to June 30, 2026 (all such warrants were subsequently exercised as of December 31, 2025) (see Note 8 – Stockholders’ Equity).</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2024 Notes were redeemable, at the Company’s option, in whole or in part, at any time or in part from time to time, on and after September 12, 2024, upon not less than fifteen (15) and not more than sixty (60) days’ notice, equal to 100% of the principal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the 2024 Notes, plus, in each case, accrued and unpaid interest, if any, to the date of redemption (subject to the right of holders of record on the relevant record date to receive interest due on the relevant interest payment date).</w:t>
      </w:r>
    </w:p>
    <w:p>
      <w:pPr>
        <w:pStyle w:val="TextBody"/>
        <w:bidi w:val="0"/>
        <w:spacing w:lineRule="auto" w:line="268" w:before="240" w:after="283"/>
        <w:jc w:val="both"/>
        <w:rPr/>
      </w:pPr>
      <w:r>
        <w:rPr>
          <w:rFonts w:ascii="Times New Roman;serif" w:hAnsi="Times New Roman;serif"/>
          <w:b w:val="false"/>
          <w:color w:val="000000"/>
          <w:sz w:val="18"/>
        </w:rPr>
        <w:t xml:space="preserve">The 2024 Exchange Agreement provided for mandatory and optional prepayments of principal. The Company made optional prepayments of $3,500,000 on January 28, 2025, and $2,450,000 on February 24, 2025, and, accordingly, satisfied the entire principal balance of the 2024 Notes. Unamortized debt issue costs of $174,962 related to extinguished debt were expensed at the time the 2024 Notes were extinguished and recorded as loss on extinguishment of debt in the condensed consolidated statements of income and comprehensive income within other operating expenses. </w:t>
        <w:br/>
        <w:br/>
      </w:r>
      <w:r>
        <w:rPr>
          <w:rFonts w:ascii="Times New Roman;serif" w:hAnsi="Times New Roman;serif"/>
          <w:b w:val="false"/>
          <w:color w:val="000000"/>
          <w:sz w:val="18"/>
          <w:u w:val="single"/>
        </w:rPr>
        <w:t>Equipment Financing</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On October 27, 2022, KICO entered into a sale-leaseback transaction, whereby KICO sold $8,096,824 of fixed assets to a bank. Under GAAP, the sale-leaseback transaction is recorded as equipment financing (“Financing”). The provisions of the Financing require KICO to pay a monthly payment of principal and interest at the rate of 5.86% per annum totaling $126,877 for a term of 60 months, which commenced on October 27, 2022. The terms of the Financing provide buyout options to KICO at the end of the 60 month term, which are as follows: </w:t>
      </w:r>
    </w:p>
    <w:p>
      <w:pPr>
        <w:pStyle w:val="TextBody"/>
        <w:bidi w:val="0"/>
        <w:spacing w:lineRule="auto" w:line="288" w:before="240" w:after="283"/>
        <w:ind w:left="0" w:right="0" w:hanging="1350"/>
        <w:jc w:val="both"/>
        <w:rPr/>
      </w:pPr>
      <w:r>
        <w:rPr>
          <w:color w:val="000000"/>
        </w:rPr>
        <w:t>•</w:t>
      </w:r>
      <w:r>
        <w:rPr>
          <w:rFonts w:ascii="Times New Roman;serif" w:hAnsi="Times New Roman;serif"/>
          <w:b w:val="false"/>
          <w:color w:val="000000"/>
          <w:sz w:val="18"/>
        </w:rPr>
        <w:t>At the end of the lease, KICO may purchase the fixed assets for a purchase price of $2,024,206, which is 25% of the original fixed asset cost of $8,096,824; or</w:t>
      </w:r>
    </w:p>
    <w:p>
      <w:pPr>
        <w:pStyle w:val="TextBody"/>
        <w:bidi w:val="0"/>
        <w:spacing w:lineRule="auto" w:line="288" w:before="240" w:after="283"/>
        <w:ind w:left="0" w:right="0" w:hanging="1350"/>
        <w:jc w:val="left"/>
        <w:rPr/>
      </w:pPr>
      <w:r>
        <w:rPr>
          <w:color w:val="000000"/>
        </w:rPr>
        <w:t>•</w:t>
      </w:r>
      <w:r>
        <w:rPr>
          <w:rFonts w:ascii="Times New Roman;serif" w:hAnsi="Times New Roman;serif"/>
          <w:b w:val="false"/>
          <w:color w:val="000000"/>
          <w:sz w:val="18"/>
        </w:rPr>
        <w:t xml:space="preserve">KICO may renew the lease for 16 months at the same rental rate, which totals $2,030,036.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provision of the Financing requires KICO to pledge collateral for the lease obligation. As of June 30, 2026 and December 31, 2025, the amount of required collateral was approximately $2,770,000 and $3,616,000, respectively. As of June 30, 2026 and December 31, 2025, the fair value of KICO’s pledged collateral was approximately $2,770,000 and $3,616,000, respectively, in various fixed-maturity securities.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Future contractual payment obligations under the Financing as of June 30, 2026 are as follows: </w:t>
      </w:r>
    </w:p>
    <w:tbl>
      <w:tblPr>
        <w:tblW w:w="4570" w:type="dxa"/>
        <w:jc w:val="center"/>
        <w:tblInd w:w="0" w:type="dxa"/>
        <w:tblLayout w:type="fixed"/>
        <w:tblCellMar>
          <w:top w:w="28" w:type="dxa"/>
          <w:left w:w="28" w:type="dxa"/>
          <w:bottom w:w="28" w:type="dxa"/>
          <w:right w:w="28" w:type="dxa"/>
        </w:tblCellMar>
      </w:tblPr>
      <w:tblGrid>
        <w:gridCol w:w="1038"/>
        <w:gridCol w:w="912"/>
        <w:gridCol w:w="915"/>
        <w:gridCol w:w="109"/>
        <w:gridCol w:w="109"/>
        <w:gridCol w:w="109"/>
        <w:gridCol w:w="196"/>
        <w:gridCol w:w="871"/>
        <w:gridCol w:w="311"/>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For the Years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 xml:space="preserve">Total </w:t>
            </w:r>
          </w:p>
        </w:tc>
      </w:tr>
      <w:tr>
        <w:trPr/>
        <w:tc>
          <w:tcPr>
            <w:tcW w:w="286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657,921 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1,119,021 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1,776,942 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2028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2,024,206 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3,801,148 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Line of Credit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July 1, 2026, the Company entered in to a revolving line of credit agreement with Citizens Bank. See Note 15 - Subsequent Events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rFonts w:ascii="Times New Roman;serif" w:hAnsi="Times New Roman;serif"/>
          <w:b/>
          <w:color w:val="000000"/>
          <w:sz w:val="18"/>
        </w:rPr>
      </w:pPr>
      <w:r>
        <w:rPr>
          <w:rFonts w:ascii="Times New Roman;serif" w:hAnsi="Times New Roman;serif"/>
          <w:b/>
          <w:color w:val="000000"/>
          <w:sz w:val="18"/>
        </w:rPr>
        <w:t xml:space="preserve">Note 8 – Stockholders’ Equity </w:t>
      </w:r>
    </w:p>
    <w:p>
      <w:pPr>
        <w:pStyle w:val="TextBody"/>
        <w:bidi w:val="0"/>
        <w:spacing w:lineRule="auto" w:line="288" w:before="240" w:after="283"/>
        <w:jc w:val="both"/>
        <w:rPr/>
      </w:pPr>
      <w:r>
        <w:rPr>
          <w:rFonts w:ascii="Times New Roman;serif" w:hAnsi="Times New Roman;serif"/>
          <w:b w:val="false"/>
          <w:color w:val="000000"/>
          <w:sz w:val="18"/>
          <w:u w:val="single"/>
        </w:rPr>
        <w:t>Dividends Declared and Paid</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Dividends declared and paid on Common Stock were $724,242 and $0 for the three months ended June 30, 2026 and 2025. respectively. Dividends declared and paid on Common Stock were $1,446,518 and $0 for the six months ended June 30, 2026 and 2025. respectively. See Note 15 - Subsequent Events, Dividend Declared.</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Preferred Stock</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Board of Directors has the authority to issue shares of Preferred Stock from time to time in a series and to fix, before the issuance of each series, the number of shares in each series and the designation, liquidation preferences, conversion privileges, rights and limitations of each series. There was no preferred stock issued and outstanding as of June 30, 2026 and December 31, 2025.</w:t>
      </w:r>
    </w:p>
    <w:p>
      <w:pPr>
        <w:pStyle w:val="TextBody"/>
        <w:bidi w:val="0"/>
        <w:spacing w:lineRule="auto" w:line="288" w:before="240" w:after="283"/>
        <w:jc w:val="both"/>
        <w:rPr/>
      </w:pPr>
      <w:r>
        <w:rPr>
          <w:rFonts w:ascii="Times New Roman;serif" w:hAnsi="Times New Roman;serif"/>
          <w:b w:val="false"/>
          <w:color w:val="000000"/>
          <w:sz w:val="18"/>
          <w:u w:val="single"/>
        </w:rPr>
        <w:t>2014 Equity Participation Plan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Effective August 12, 2014, the Company's stockholders approved the 2014 Equity Participation Plan (the “2014 Plan”) pursuant to which a maximum of 700,000 shares of Common Stock of the Company were initially authorized to be issued pursuant to the grant of incentive stock options, non-statutory stock options, stock appreciation rights, restricted stock and stock bonuses. Incentive stock options granted under the 2014 Plan expire no later than ten years from the date of grant (except no later than five years for a grant to a 10%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stockholder). Non-statutory stock options granted under the 2014 Plan expire no later than ten years from the date of grant. The Board of Directors or the Compensation Committee determined the vesting provisions for stock awards granted under the 2014 Plan, subject to the provisions of the 2014 Plan. On August 5, 2020, the Company’s stockholders approved amendments to the 2014 Plan, including an increase in the maximum number of shares of Common Stock of the Company that were authorized to be issued pursuant to the 2014 Plan to 1,400,000. On August 9, 2023, the Company’s stockholders approved an amendment to the 2014 Plan to increase the maximum number of shares of Common Stock of the Company that were authorized to be issued pursuant to the 2014 Plan to 1,900,000. The 2014 Plan terminated on August 12, 2024 and no further awards may be granted under the 2014 Plan.</w:t>
      </w:r>
    </w:p>
    <w:p>
      <w:pPr>
        <w:pStyle w:val="TextBody"/>
        <w:bidi w:val="0"/>
        <w:spacing w:lineRule="auto" w:line="288" w:before="240" w:after="283"/>
        <w:jc w:val="both"/>
        <w:rPr/>
      </w:pPr>
      <w:r>
        <w:rPr>
          <w:rFonts w:ascii="Times New Roman;serif" w:hAnsi="Times New Roman;serif"/>
          <w:b w:val="false"/>
          <w:color w:val="000000"/>
          <w:sz w:val="18"/>
          <w:u w:val="single"/>
        </w:rPr>
        <w:t>2024 Equity Participation Plan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Effective August 7, 2024, the Company's stockholders approved the 2024 Equity Participation Plan (the “2024 Plan”) pursuant to which a maximum of 1,000,000 shares of Common Stock of the Company are authorized to be issued pursuant to the grant of incentive stock options, non-statutory stock options, stock appreciation rights, and stock bonus awards. Incentive stock options granted under the 2024 Plan expire no later than ten years from the date of grant (except no later than five years for a grant to a 10% stockholder). Non-statutory stock options granted under the 2024 Plan expire no later than ten years from the date of grant. The Board of Directors or the Compensation Committee determines the vesting provisions for stock awards granted under the 2024 Plan, subject to the provisions of the 2024 Plan. The 2024 Plan terminates on May 10, 2034 and no further awards may be granted under the 2024 Plan after such date.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As of June 30, 2026, there were 325,410 shares of Common Stock granted under the 2024 Plan pursuant to stock bonus awards, net of forfeitures.</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Stock Options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results of operations for the three months ended June 30, 2026 and 2025 include stock-based compensation expense for stock options totaling approximately $8,000 and $22,000, respectively, which is included in other operating expenses on the accompanying condensed consolidated statements of income and comprehensive income. The results of operations for the six months ended June 30, 2026 and 2025 include stock-based compensation expense for stock options totaling approximately $17,000 and $44,000, respectively, which is included in other operating expenses on the accompanying condensed consolidated statements of income and comprehensive income. Stock-based compensation expense related to stock options for the six months ended June 30, 2026 is net of estimated forfeitures of approximately 24%. </w:t>
      </w:r>
    </w:p>
    <w:p>
      <w:pPr>
        <w:pStyle w:val="TextBody"/>
        <w:bidi w:val="0"/>
        <w:spacing w:lineRule="auto" w:line="288" w:before="240" w:after="283"/>
        <w:jc w:val="both"/>
        <w:rPr/>
      </w:pPr>
      <w:r>
        <w:rPr>
          <w:rFonts w:ascii="Times New Roman;serif" w:hAnsi="Times New Roman;serif"/>
          <w:b w:val="false"/>
          <w:color w:val="000000"/>
          <w:sz w:val="18"/>
        </w:rPr>
        <w:t xml:space="preserve">No options were granted during the six months ended June 30, 2026 and </w:t>
      </w:r>
      <w:r>
        <w:rPr>
          <w:rFonts w:ascii="Times New Roman;serif" w:hAnsi="Times New Roman;serif"/>
          <w:b w:val="false"/>
          <w:color w:val="000000"/>
          <w:sz w:val="20"/>
        </w:rPr>
        <w:t>2025</w:t>
      </w:r>
      <w:r>
        <w:rPr>
          <w:rFonts w:ascii="Times New Roman;serif" w:hAnsi="Times New Roman;serif"/>
          <w:b w:val="false"/>
          <w:color w:val="000000"/>
          <w:sz w:val="18"/>
        </w:rPr>
        <w:t xml:space="preserve">. The fair value of stock options at the grant date are estimated using the Black-Scholes option-pricing model. 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have characteristics significantly different from those of traded options, and because changes in the subjective input assumptions can materially affect the fair value estimate, in management's opinion, the existing models do not necessarily provide a reliable single measure of the fair value of the Company’s stock options. </w:t>
      </w:r>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There have been no stock options granted under the 2024 Plan. A summary of stock option activity under the Company’s 2014 Plan for the six months ended June 30, 2026 is as follows: </w:t>
      </w:r>
    </w:p>
    <w:tbl>
      <w:tblPr>
        <w:tblW w:w="10205" w:type="dxa"/>
        <w:jc w:val="left"/>
        <w:tblInd w:w="0" w:type="dxa"/>
        <w:tblLayout w:type="fixed"/>
        <w:tblCellMar>
          <w:top w:w="28" w:type="dxa"/>
          <w:left w:w="28" w:type="dxa"/>
          <w:bottom w:w="28" w:type="dxa"/>
          <w:right w:w="28" w:type="dxa"/>
        </w:tblCellMar>
      </w:tblPr>
      <w:tblGrid>
        <w:gridCol w:w="826"/>
        <w:gridCol w:w="699"/>
        <w:gridCol w:w="672"/>
        <w:gridCol w:w="109"/>
        <w:gridCol w:w="109"/>
        <w:gridCol w:w="109"/>
        <w:gridCol w:w="505"/>
        <w:gridCol w:w="413"/>
        <w:gridCol w:w="414"/>
        <w:gridCol w:w="109"/>
        <w:gridCol w:w="109"/>
        <w:gridCol w:w="109"/>
        <w:gridCol w:w="419"/>
        <w:gridCol w:w="1001"/>
        <w:gridCol w:w="236"/>
        <w:gridCol w:w="109"/>
        <w:gridCol w:w="109"/>
        <w:gridCol w:w="109"/>
        <w:gridCol w:w="632"/>
        <w:gridCol w:w="632"/>
        <w:gridCol w:w="633"/>
        <w:gridCol w:w="109"/>
        <w:gridCol w:w="109"/>
        <w:gridCol w:w="109"/>
        <w:gridCol w:w="289"/>
        <w:gridCol w:w="1289"/>
        <w:gridCol w:w="237"/>
      </w:tblGrid>
      <w:tr>
        <w:trPr/>
        <w:tc>
          <w:tcPr>
            <w:tcW w:w="82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9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Weighted Average Exercise</w:t>
              <w:br/>
              <w:t xml:space="preserve">Price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Weighted Average Remaining</w:t>
              <w:br/>
              <w:t>Contractual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73" w:before="0" w:after="283"/>
              <w:jc w:val="center"/>
              <w:rPr>
                <w:color w:val="000000"/>
              </w:rPr>
            </w:pPr>
            <w:r>
              <w:rPr>
                <w:color w:val="000000"/>
              </w:rPr>
              <w:t> </w:t>
            </w:r>
            <w:r>
              <w:rPr>
                <w:rFonts w:ascii="Times New Roman;serif" w:hAnsi="Times New Roman;serif"/>
                <w:b/>
                <w:color w:val="000000"/>
                <w:sz w:val="18"/>
              </w:rPr>
              <w:t>Aggregate Intrinsic Value</w:t>
            </w:r>
          </w:p>
        </w:tc>
      </w:tr>
      <w:tr>
        <w:trPr/>
        <w:tc>
          <w:tcPr>
            <w:tcW w:w="219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Outstanding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199,991 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2,915,869 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6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Exercised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(40,836)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6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448,159 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Expired/Forfeited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(6,666)</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20"/>
              </w:rPr>
            </w:pPr>
            <w:r>
              <w:rPr>
                <w:rFonts w:ascii="Times New Roman;serif" w:hAnsi="Times New Roman;serif"/>
                <w:b w:val="false"/>
                <w:color w:val="000000"/>
                <w:sz w:val="20"/>
              </w:rPr>
              <w:t>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88,875 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Outstanding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152,489 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2,558,765 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Exercisable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76,685 </w:t>
            </w:r>
          </w:p>
        </w:tc>
        <w:tc>
          <w:tcPr>
            <w:tcW w:w="41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236"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8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1,286,774 </w:t>
            </w:r>
          </w:p>
        </w:tc>
        <w:tc>
          <w:tcPr>
            <w:tcW w:w="23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aggregate intrinsic value of options outstanding and options exercisable at June 30, 2026 is calculated as the difference between the exercise price of the underlying options and the market price of the Company’s Common Stock for the options that had exercise prices that were lower than the $19.03 closing price of the Company’s Common Stock on June 30, 2026. The total intrinsic value of options when forfeited are determined as of the date of forfeiture. The total intrinsic value of options when expired are determined as of the date of expiration.</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Participants in the 2014 Plan and the 2024 Plan may exercise their outstanding vested options, in whole or in part, by having the Company reduce the number of shares otherwise issuable by a number of shares having a fair market value equal to the exercise price of the option being exercised ("Net Exercise"), or by exchanging a number of shares owned for a period of greater than one year having a fair market value equal to the exercise price of the option being exercised ("Share Exchange").</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received $41,250 from the exercise of 18,333 options during the six months ended June 30, 2026. The remaining options exercised during the six months ended June 30, 2026 were Net Exercises, resulting in the issuance of 19,359 shares of Common Stock.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estimated fair value of unamortized compensation cost related to 75,804 unvested stock option awards was approximately $17,000. Unamortized compensation cost as of June 30, 2026 is expected to be recognized over a remaining weighted-average vesting period of 0.52 years. </w:t>
      </w:r>
    </w:p>
    <w:p>
      <w:pPr>
        <w:pStyle w:val="TextBody"/>
        <w:bidi w:val="0"/>
        <w:spacing w:lineRule="auto" w:line="288" w:before="240" w:after="283"/>
        <w:jc w:val="both"/>
        <w:rPr/>
      </w:pPr>
      <w:r>
        <w:rPr>
          <w:rFonts w:ascii="Times New Roman;serif" w:hAnsi="Times New Roman;serif"/>
          <w:b w:val="false"/>
          <w:color w:val="000000"/>
          <w:sz w:val="18"/>
          <w:u w:val="single"/>
        </w:rPr>
        <w:t>Restricted Stock Awards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 summary of the restricted Common Stock activity under the 2024 Plan for the six months ended June 30, 2026 is as follows: </w:t>
      </w:r>
    </w:p>
    <w:tbl>
      <w:tblPr>
        <w:tblW w:w="8168" w:type="dxa"/>
        <w:jc w:val="left"/>
        <w:tblInd w:w="0" w:type="dxa"/>
        <w:tblLayout w:type="fixed"/>
        <w:tblCellMar>
          <w:top w:w="28" w:type="dxa"/>
          <w:left w:w="28" w:type="dxa"/>
          <w:bottom w:w="28" w:type="dxa"/>
          <w:right w:w="28" w:type="dxa"/>
        </w:tblCellMar>
      </w:tblPr>
      <w:tblGrid>
        <w:gridCol w:w="738"/>
        <w:gridCol w:w="650"/>
        <w:gridCol w:w="652"/>
        <w:gridCol w:w="109"/>
        <w:gridCol w:w="109"/>
        <w:gridCol w:w="109"/>
        <w:gridCol w:w="314"/>
        <w:gridCol w:w="316"/>
        <w:gridCol w:w="243"/>
        <w:gridCol w:w="109"/>
        <w:gridCol w:w="109"/>
        <w:gridCol w:w="109"/>
        <w:gridCol w:w="553"/>
        <w:gridCol w:w="1569"/>
        <w:gridCol w:w="307"/>
        <w:gridCol w:w="109"/>
        <w:gridCol w:w="109"/>
        <w:gridCol w:w="109"/>
        <w:gridCol w:w="279"/>
        <w:gridCol w:w="1347"/>
        <w:gridCol w:w="219"/>
      </w:tblGrid>
      <w:tr>
        <w:trPr/>
        <w:tc>
          <w:tcPr>
            <w:tcW w:w="7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Restricted Stock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Shares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Weighted Average Grant Date</w:t>
              <w:br/>
              <w:t xml:space="preserve">Fair Value per Share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Aggregate Fair Value</w:t>
            </w:r>
            <w:r>
              <w:rPr>
                <w:color w:val="000000"/>
              </w:rPr>
              <w:t xml:space="preserve"> </w:t>
            </w:r>
          </w:p>
        </w:tc>
      </w:tr>
      <w:tr>
        <w:trPr/>
        <w:tc>
          <w:tcPr>
            <w:tcW w:w="204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Balance at 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223,288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15.35 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3,427,471 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83,469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16.63 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1,388,089 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Vested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(82,904)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(1,299,935)</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Forfeited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(8,974)</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16.26 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(145,917)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6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15.68 </w:t>
            </w:r>
          </w:p>
        </w:tc>
        <w:tc>
          <w:tcPr>
            <w:tcW w:w="307"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347"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3,369,708 </w:t>
            </w:r>
          </w:p>
        </w:tc>
        <w:tc>
          <w:tcPr>
            <w:tcW w:w="21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60" w:after="283"/>
        <w:jc w:val="both"/>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stock-based compensation for these grants was approximately $629,000 and $442,000, respectively, which is included in other operating expenses on the accompanying condensed consolidated statements of income and comprehensive income. For the six months ended June 30, 2026 and 2025, stock-based compensation for these grants was approximately $1,266,000 and $751,000, respectively, which is included in other operating expenses on the accompanying condensed consolidated statements of income and comprehensive income. These amounts reflect the Company’s accounting expense and do not correspond to the actual value that will be recognized by the directors, executives and employees. Unamortized compensation cost of $2,431,262 as of June 30, 2026 is expected to be recognized over a remaining weighted-average vesting period of 1.44 years.</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Employee Stock Purchase Plan</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On June 19, 2021, the Company’s Board of Directors adopted the Kingstone Companies, Inc. Employee Stock Purchase Plan (the “ESPP”), subject to stockholder approval. Such approval was obtained on August 10, 2021. The purpose of the ESPP is to provide eligible employees of the Company with an opportunity to use payroll deductions to purchase shares of Common Stock of the Company. The maximum number of shares of Common Stock that may be purchased under the ESPP is 750,000, subject to adjustment as provided for in the ESPP. The ESPP was effective August 10, 2021 and expires on August 10, 2031. A maximum of 5,000 shares of Common Stock may be purchased by an employee during any offering period.</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offering period under the ESPP was from November 1, 2021 through October 31, 2022. There was no offering pursuant to the ESPP from November 1, 2022 through December 31, 2024. Effective January 1, 2025, the Company initiated an offering period of January 1, 2025 through December 31, 2025 under the ESPP (the "2025 Offering"). Effective January 1, 2026, the Company initiated an offering period of January 1, 2026 through December 31, 2026 under the ESPP (the "2026 Offering"). For the three months ended June 30, 2026 and 2025, stock-based compensation under the 2026 Offering and 2025 Offering was approximately $8,000 and $7,000, respectively, which is included in other operating expenses on the accompanying condensed consolidated statements of income and comprehensive income. For the six months ended June 30, 2026 and 2025, stock-based compensation under the 2026 Offering and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Offering was approximately $17,000 and $16,000, respectively, which is included in other operating expenses on the accompanying condensed consolidated statements of income and comprehensive income.</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Warrants</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2022 Exchange Agreement (see Note 7 – Debt – “2024 Notes”), as additional consideration, on December 15, 2022, the Company issued warrants (the "Warrants") to the 2022 exchanging note holders to purchase 969,525 shares of Common Stock at an exercise price of $1.00 per share, initially exercisable through December 30, 2025. Pursuant to the 2024 Exchange Agreement, the expiration date of the Warrants was extended to June 30, 2026 from December 30, 2025. As of December 31, 2025, all issued warrants were exercised. The fair value of the Warrants, using the Black-Scholes valuation formula, was $993,200, which was capitalized as a deferred financing cost of the 2022 Notes and the 2024 Notes. The fair value of the Warrants was amortized over the life of the Warrants, which was 36.5 months through September 12, 2024 and effective as of such date, the unamortized balance was being amortized over the extended life of the Warrants, which was 21.5 months.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Holders of the Warrants were entitled to exercise their outstanding Warrants in cash, or, in whole or in part, by having the Company reduce the number of shares otherwise issuable by a number of shares having a fair market value equal to the exercise price of the Warrants being exercised ("Net Exercise"). </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In accordance with ASC 815 - Derivatives and Hedging – Subsequent Measurement, the effect of a modification or an exchange shall be measured as the difference between the fair value of the modified or exchanged instrument and the fair value of that instrument immediately before it is modified or exchanged. The Company calculated the respective fair values and determined the difference was immaterial.</w:t>
      </w:r>
    </w:p>
    <w:p>
      <w:pPr>
        <w:pStyle w:val="TextBody"/>
        <w:bidi w:val="0"/>
        <w:spacing w:lineRule="auto" w:line="288" w:before="240" w:after="283"/>
        <w:jc w:val="both"/>
        <w:rPr/>
      </w:pPr>
      <w:r>
        <w:rPr>
          <w:rFonts w:ascii="Times New Roman;serif" w:hAnsi="Times New Roman;serif"/>
          <w:b w:val="false"/>
          <w:color w:val="000000"/>
          <w:sz w:val="18"/>
          <w:u w:val="single"/>
        </w:rPr>
        <w:t>Shelf Registration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April 5, 2024, the Company filed a shelf registration statement on Form S-3 with the SEC under the Securities Act of 1933, as amended, with regard to the registration of $50,000,000 of its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At-the-Market Offering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In May 2024, the Company entered into a Sales Agreement with Janney Montgomery Scott LLC (the “Sales Agent”) under which the Company initially had the ability to issue and sell shares of its Common Stock, from time to time, through the Sales Agent, pursuant to the Shelf Registration Statement, up to an aggregate offering price of approximately $16,400,000 in what is referred to as an “at-the-market” (“ATM”) program. On January 7, 2025, the Company filed a prospectus supplement providing for a going forward aggregate offering price for the ATM program of $25,000,000. During the six months ended June 30, 2026, the Company did not sell any shares of its Common Stock under the ATM program. As of June 30, 2026, the Company had remaining capacity to sell up to an additional $15,945,937 of Common Stock under the ATM program.</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Share Repurchase Program</w:t>
      </w:r>
    </w:p>
    <w:p>
      <w:pPr>
        <w:pStyle w:val="TextBody"/>
        <w:bidi w:val="0"/>
        <w:spacing w:before="0" w:after="0"/>
        <w:jc w:val="left"/>
        <w:rPr/>
      </w:pPr>
      <w:r>
        <w:rPr/>
      </w:r>
    </w:p>
    <w:p>
      <w:pPr>
        <w:pStyle w:val="TextBody"/>
        <w:bidi w:val="0"/>
        <w:spacing w:lineRule="auto" w:line="314" w:before="0" w:after="0"/>
        <w:jc w:val="both"/>
        <w:rPr>
          <w:rFonts w:ascii="Times New Roman;serif" w:hAnsi="Times New Roman;serif"/>
          <w:b w:val="false"/>
          <w:color w:val="000000"/>
          <w:sz w:val="18"/>
        </w:rPr>
      </w:pPr>
      <w:r>
        <w:rPr>
          <w:rFonts w:ascii="Times New Roman;serif" w:hAnsi="Times New Roman;serif"/>
          <w:b w:val="false"/>
          <w:color w:val="000000"/>
          <w:sz w:val="18"/>
        </w:rPr>
        <w:t>On May 19, 2026, the Company’s Board of Directors authorized a share repurchase program under which the Company may repurchase up to 1,000,000 shares of its outstanding Common Stock over the next two years. Repurchases under the program may be made from time to time through open market purchases, privately negotiated transactions, block transactions, and transactions effected pursuant to trading plans intended to qualify under Rule 10b5-1 of the Securities Exchange Act of 1934, as amended. The Company intends to effect repurchases in compliance with Rule 10b-18 of the Securities Exchange Act of 1934, as amended, and the Company’s insider trading policy. The timing and total amount of any repurchases will be determined at management’s discretion based on its evaluation of market conditions, the Company’s share price, regulatory requirements, the Company’s liquidity needs, and other factors. The program over the two year term does not obligate the Company to acquire any specific number of shares, and may be modified, suspended, or discontinued at any time without prior notice. As of June 30, 2026, the Company acquired a total of 19,446 shares under this program at a cost of $291,833, inclusive of commissions.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9 – Income Taxes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files a consolidated U.S. federal income tax return that includes all wholly-owned subsidiaries. State tax returns are filed on a consolidated or separate return basis depending on applicable laws. The Company records adjustments related to prior years’ taxes during the period when they are identified, generally when the tax returns are filed. The effect of these adjustments on the current and prior periods (during which the differences originated) is evaluated based upon quantitative and qualitative factors and are considered in relation to the consolidated financial statements taken as a whole for the respective periods.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Income Taxes Paid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the Company paid federal income taxes of $1,762,000 and $1,353,000, respectively, and state income taxes of $250 and $0, respectively. For the six months ended June 30, 2026 and 2025, the Company paid federal income taxes of $1,762,000 and $1,353,000, respectively, and state income taxes of $250 and $0, respectively.</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Deferred Tax Asset</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Deferred tax assets and liabilities are determined using the enacted tax rates applicable to the period the temporary differences are expected to be recovered. Accordingly, the current period income tax provision can be affected by the enactment of new tax rates. The net deferred income taxes on the balance sheets reflect temporary differences between the carrying amounts of the assets and liabilities for financial reporting purposes and income tax purposes, tax effected at various rates depending on whether the temporary differences are subject to federal taxes, state taxes, or both.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Significant components of the Company’s deferred tax assets and liabilities are as follows: </w:t>
      </w:r>
    </w:p>
    <w:tbl>
      <w:tblPr>
        <w:tblW w:w="5968" w:type="dxa"/>
        <w:jc w:val="left"/>
        <w:tblInd w:w="0" w:type="dxa"/>
        <w:tblLayout w:type="fixed"/>
        <w:tblCellMar>
          <w:top w:w="28" w:type="dxa"/>
          <w:left w:w="28" w:type="dxa"/>
          <w:bottom w:w="28" w:type="dxa"/>
          <w:right w:w="28" w:type="dxa"/>
        </w:tblCellMar>
      </w:tblPr>
      <w:tblGrid>
        <w:gridCol w:w="999"/>
        <w:gridCol w:w="879"/>
        <w:gridCol w:w="882"/>
        <w:gridCol w:w="109"/>
        <w:gridCol w:w="109"/>
        <w:gridCol w:w="109"/>
        <w:gridCol w:w="196"/>
        <w:gridCol w:w="871"/>
        <w:gridCol w:w="109"/>
        <w:gridCol w:w="109"/>
        <w:gridCol w:w="109"/>
        <w:gridCol w:w="109"/>
        <w:gridCol w:w="196"/>
        <w:gridCol w:w="871"/>
        <w:gridCol w:w="311"/>
      </w:tblGrid>
      <w:tr>
        <w:trPr/>
        <w:tc>
          <w:tcPr>
            <w:tcW w:w="99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760"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operating loss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Claims reserve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1,868,939 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1,562,424 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Unearned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6,258,640 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4,948,868 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1,756,131 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losses on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2,579,763 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1,811,373 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978,408 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916,350 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12,280,124 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10,995,146 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 in KICO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759,543 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policy acquisition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5,791,086 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5,852,113 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105,000 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98,931 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6,797,753 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6,815,587 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deferred income tax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5,482,371 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4,179,559 </w:t>
            </w:r>
          </w:p>
        </w:tc>
        <w:tc>
          <w:tcPr>
            <w:tcW w:w="3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 xml:space="preserve">(1)The deferred tax assets from federal current year net operating loss ("NOL"), and state current year and prior years NOL carryovers are as follows: </w:t>
      </w:r>
    </w:p>
    <w:tbl>
      <w:tblPr>
        <w:tblW w:w="10095" w:type="dxa"/>
        <w:jc w:val="left"/>
        <w:tblInd w:w="0" w:type="dxa"/>
        <w:tblLayout w:type="fixed"/>
        <w:tblCellMar>
          <w:top w:w="28" w:type="dxa"/>
          <w:left w:w="28" w:type="dxa"/>
          <w:bottom w:w="28" w:type="dxa"/>
          <w:right w:w="28" w:type="dxa"/>
        </w:tblCellMar>
      </w:tblPr>
      <w:tblGrid>
        <w:gridCol w:w="1549"/>
        <w:gridCol w:w="1354"/>
        <w:gridCol w:w="1372"/>
        <w:gridCol w:w="109"/>
        <w:gridCol w:w="109"/>
        <w:gridCol w:w="109"/>
        <w:gridCol w:w="454"/>
        <w:gridCol w:w="491"/>
        <w:gridCol w:w="158"/>
        <w:gridCol w:w="109"/>
        <w:gridCol w:w="109"/>
        <w:gridCol w:w="109"/>
        <w:gridCol w:w="455"/>
        <w:gridCol w:w="490"/>
        <w:gridCol w:w="242"/>
        <w:gridCol w:w="109"/>
        <w:gridCol w:w="109"/>
        <w:gridCol w:w="109"/>
        <w:gridCol w:w="744"/>
        <w:gridCol w:w="744"/>
        <w:gridCol w:w="1061"/>
      </w:tblGrid>
      <w:tr>
        <w:trPr/>
        <w:tc>
          <w:tcPr>
            <w:tcW w:w="1549"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Type of NOL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Expiration</w:t>
            </w:r>
          </w:p>
        </w:tc>
      </w:tr>
      <w:tr>
        <w:trPr/>
        <w:tc>
          <w:tcPr>
            <w:tcW w:w="427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18"/>
              </w:rPr>
              <w:t>Federal only, current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None</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State only (A)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3,546,066 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3,421,252 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2027 - December 2045</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Valuation allowance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(3,546,066)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(3,421,252)</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State only, net of valuation allowance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deferred tax asset from net operating loss carryovers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8"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42"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(A)Kingstone generates operating losses for state purposes and has prior year NOLs available. The state NOL as of June 30, 2026 and December 31, 2025 was $54,554,854 and $52,634,646, respectively. KICO, the Company’s insurance underwriting subsidiary, is not subject to state income taxes. KICO’s state tax obligations are paid through a gross premiums tax, which is included in the condensed consolidated statements of income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comprehensive income within other underwriting expenses. Kingstone has recorded a full valuation allowance due to the uncertainty of generating enough state taxable income to utilize 100% of the available state NOLs over their remaining lives, which expire between 2027 and 2045.</w:t>
      </w:r>
    </w:p>
    <w:p>
      <w:pPr>
        <w:pStyle w:val="TextBody"/>
        <w:bidi w:val="0"/>
        <w:spacing w:lineRule="auto" w:line="288" w:before="240" w:after="283"/>
        <w:ind w:left="0" w:right="0" w:hanging="360"/>
        <w:jc w:val="left"/>
        <w:rPr>
          <w:rFonts w:ascii="Times New Roman;serif" w:hAnsi="Times New Roman;serif"/>
          <w:b w:val="false"/>
          <w:color w:val="000000"/>
          <w:sz w:val="18"/>
        </w:rPr>
      </w:pPr>
      <w:r>
        <w:rPr>
          <w:rFonts w:ascii="Times New Roman;serif" w:hAnsi="Times New Roman;serif"/>
          <w:b w:val="false"/>
          <w:color w:val="000000"/>
          <w:sz w:val="18"/>
        </w:rPr>
        <w:t>(2)Deferred tax liability – Investment in KICO</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July 1, 2009, the Company completed the acquisition of 100% of the issued and outstanding common stock of KICO (formerly known as Commercial Mutual Insurance Company (“CMIC”)) pursuant to the conversion of CMIC from an advance premium cooperative to a stock property and casualty insurance company. Pursuant to the plan of conversion, the Company acquired a 100% equity interest in KICO, in consideration for the exchange of $3,750,000 principal amount of surplus notes of CMIC. In addition, the Company forgave all accrued and unpaid interest on the surplus notes as of the date of conversion. As of the date of acquisition, unpaid accrued interest on the surplus notes along with the accretion of the discount on the original purchase of the surplus notes totaled $2,921,319 (together “Untaxed Interest”). As of the date of acquisition, the deferred tax liability on the Untaxed Interest was $1,169,000. A temporary difference with an indefinite life exists when the parent has a lower carrying value of its subsidiary for income tax purposes. The deferred tax liability was reduced to $759,543 upon the reduction of federal income tax rates as of December 31, 2017. The Company is required to maintain its deferred tax liability of $759,543 related to this temporary difference until the stock of KICO is sold, or the assets of KICO are sold or KICO and the parent are merged.</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In assessing the valuation of deferred tax assets, the Company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No valuation allowance against deferred tax assets has been established, except for NOL limitations, as the Company believes it is more likely than not the deferred tax assets will be realized based on the historical taxable income of KICO, or by offset to deferred tax liabilities.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had no material unrecognized tax benefit and no adjustments to liabilities or operations were required. There were no interest or penalties related to income taxes that have been accrued or recognized as of and for the six months ended June 30, 2026 and 2025. If any had been recognized these would have been reported in income tax expense.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Generally, taxing authorities may examine the Company’s tax returns for the three years from the date of filing. The Company’s tax returns for the years ended December 31, 2021 through December 31, 2025 remain subject to examination.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10 – Earnings Per Common Share</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rPr>
        <w:t>Basic net earnings per common share is computed by dividing net income by the weighted-average number of shares of Common Stock outstanding. Diluted earnings per common share reflects, in periods in which it has a dilutive effect, the impact of shares of Common Stock issuable upon exercise of stock options and warrants as well as non-vested restricted stock awards. The computation of diluted earnings per common share excludes those options and warrants with an exercise price in excess of the average market price of the Company’s Common Stock during the periods presented. For the three months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 xml:space="preserve">six months ended June 30, 2026 and 2025, there were no options or warrants with an exercise price in excess of the average market price of the Company’s Common Stock during the periods. </w:t>
      </w:r>
    </w:p>
    <w:p>
      <w:pPr>
        <w:pStyle w:val="TextBody"/>
        <w:bidi w:val="0"/>
        <w:spacing w:lineRule="auto" w:line="288" w:before="240" w:after="283"/>
        <w:jc w:val="both"/>
        <w:rPr/>
      </w:pPr>
      <w:r>
        <w:rPr>
          <w:rFonts w:ascii="Times New Roman;serif" w:hAnsi="Times New Roman;serif"/>
          <w:b w:val="false"/>
          <w:color w:val="000000"/>
          <w:sz w:val="18"/>
        </w:rPr>
        <w:t>The computation of diluted earnings per common share excludes outstanding options, warrants and non-vested restricted stock awards in periods where the exercise of such options and warrants or vesting of such restricted stock awards would be anti-dilutive. For the three months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color w:val="000000"/>
          <w:sz w:val="18"/>
        </w:rPr>
        <w:t>six months ended June 30, 2026 and 2025, there were no options, warrants or restricted stock awards that were anti-dilutive for the relevant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reconciliation of the weighted average number of shares of Common Stock used in the calculation of basic and diluted earnings per common share follows: </w:t>
      </w:r>
    </w:p>
    <w:tbl>
      <w:tblPr>
        <w:tblW w:w="10205" w:type="dxa"/>
        <w:jc w:val="left"/>
        <w:tblInd w:w="0" w:type="dxa"/>
        <w:tblLayout w:type="fixed"/>
        <w:tblCellMar>
          <w:top w:w="28" w:type="dxa"/>
          <w:left w:w="28" w:type="dxa"/>
          <w:bottom w:w="28" w:type="dxa"/>
          <w:right w:w="28" w:type="dxa"/>
        </w:tblCellMar>
      </w:tblPr>
      <w:tblGrid>
        <w:gridCol w:w="1889"/>
        <w:gridCol w:w="1664"/>
        <w:gridCol w:w="1675"/>
        <w:gridCol w:w="369"/>
        <w:gridCol w:w="332"/>
        <w:gridCol w:w="215"/>
        <w:gridCol w:w="165"/>
        <w:gridCol w:w="165"/>
        <w:gridCol w:w="165"/>
        <w:gridCol w:w="369"/>
        <w:gridCol w:w="332"/>
        <w:gridCol w:w="215"/>
        <w:gridCol w:w="109"/>
        <w:gridCol w:w="109"/>
        <w:gridCol w:w="109"/>
        <w:gridCol w:w="318"/>
        <w:gridCol w:w="318"/>
        <w:gridCol w:w="280"/>
        <w:gridCol w:w="147"/>
        <w:gridCol w:w="147"/>
        <w:gridCol w:w="147"/>
        <w:gridCol w:w="304"/>
        <w:gridCol w:w="304"/>
        <w:gridCol w:w="358"/>
      </w:tblGrid>
      <w:tr>
        <w:trPr/>
        <w:tc>
          <w:tcPr>
            <w:tcW w:w="1889"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number of shares outstanding </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14,480,305</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13,925,707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14,467,100</w:t>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13,700,308</w:t>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Effect of dilutive securities, common share equivalents: </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 options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132,673</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181,646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132,003</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180,620</w:t>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Warrants </w:t>
            </w:r>
          </w:p>
        </w:tc>
        <w:tc>
          <w:tcPr>
            <w:tcW w:w="7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230,381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229,951</w:t>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stock awards </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58,649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49,804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39,696</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37,869</w:t>
            </w:r>
          </w:p>
        </w:tc>
      </w:tr>
      <w:tr>
        <w:trPr/>
        <w:tc>
          <w:tcPr>
            <w:tcW w:w="5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8"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187"/>
              <w:jc w:val="left"/>
              <w:rPr>
                <w:rFonts w:ascii="Times New Roman;serif" w:hAnsi="Times New Roman;serif"/>
                <w:b w:val="false"/>
                <w:color w:val="000000"/>
                <w:sz w:val="18"/>
              </w:rPr>
            </w:pPr>
            <w:r>
              <w:rPr>
                <w:rFonts w:ascii="Times New Roman;serif" w:hAnsi="Times New Roman;serif"/>
                <w:b w:val="false"/>
                <w:color w:val="000000"/>
                <w:sz w:val="18"/>
              </w:rPr>
              <w:t xml:space="preserve">Weighted average number of shares outstanding, used for computing diluted earnings per share </w:t>
            </w:r>
          </w:p>
        </w:tc>
        <w:tc>
          <w:tcPr>
            <w:tcW w:w="91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14,671,627</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14,387,538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14,638,799</w:t>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14,148,748</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both"/>
        <w:rPr/>
      </w:pPr>
      <w:r>
        <w:rPr>
          <w:rFonts w:ascii="Times New Roman;serif" w:hAnsi="Times New Roman;serif"/>
          <w:b/>
          <w:color w:val="000000"/>
          <w:sz w:val="18"/>
        </w:rPr>
        <w:t>Note 11 - Commitments and Contingencies</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u w:val="single"/>
        </w:rPr>
        <w:t>Litigation</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From time to time, the Company is involved in various legal proceedings in the ordinary course of business. For example, to the extent a claim is asserted by a third party in a lawsuit against one of the Company’s insureds covered by a particular policy, the Company may have a duty to defend the insured party against the claim. These claims may relate to bodily injury, property damage or other compensable injuries as set forth in the policy. Such proceedings are considered in estimating the liability for loss and LAE expenses.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Office Lease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enters into lease agreements for real estate that is primarily used for office space in the ordinary course of business. These leases are accounted for as operating leases, whereby lease expense is recognized on a straight-line basis over the term of the lease. </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On February 10, 2025, KICO entered into a lease agreement for an office facility located in Kingston, New York under an operating lease. The lease commenced on March 1, 2025 (the "Commencement Date") and will expire on March 31, 2030. KICO has the option to renew the lease for an additional term of five years. KICO may terminate the lease anytime following the third anniversary of the Commencement Date if its insurance business is sold or substantially all of the Company's assets are sold. Base rent over the term of the lease is $269,777 plus a proportionate share of taxes, common area maintenance costs and insurance.</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Additional information regarding the Company’s office operating leases is as follows: </w:t>
      </w:r>
    </w:p>
    <w:tbl>
      <w:tblPr>
        <w:tblW w:w="10205" w:type="dxa"/>
        <w:jc w:val="left"/>
        <w:tblInd w:w="0" w:type="dxa"/>
        <w:tblLayout w:type="fixed"/>
        <w:tblCellMar>
          <w:top w:w="28" w:type="dxa"/>
          <w:left w:w="28" w:type="dxa"/>
          <w:bottom w:w="28" w:type="dxa"/>
          <w:right w:w="28" w:type="dxa"/>
        </w:tblCellMar>
      </w:tblPr>
      <w:tblGrid>
        <w:gridCol w:w="1638"/>
        <w:gridCol w:w="1438"/>
        <w:gridCol w:w="1373"/>
        <w:gridCol w:w="109"/>
        <w:gridCol w:w="109"/>
        <w:gridCol w:w="109"/>
        <w:gridCol w:w="196"/>
        <w:gridCol w:w="646"/>
        <w:gridCol w:w="256"/>
        <w:gridCol w:w="109"/>
        <w:gridCol w:w="109"/>
        <w:gridCol w:w="109"/>
        <w:gridCol w:w="196"/>
        <w:gridCol w:w="646"/>
        <w:gridCol w:w="256"/>
        <w:gridCol w:w="109"/>
        <w:gridCol w:w="109"/>
        <w:gridCol w:w="109"/>
        <w:gridCol w:w="196"/>
        <w:gridCol w:w="646"/>
        <w:gridCol w:w="256"/>
        <w:gridCol w:w="109"/>
        <w:gridCol w:w="109"/>
        <w:gridCol w:w="109"/>
        <w:gridCol w:w="196"/>
        <w:gridCol w:w="646"/>
        <w:gridCol w:w="312"/>
      </w:tblGrid>
      <w:tr>
        <w:trPr/>
        <w:tc>
          <w:tcPr>
            <w:tcW w:w="1638"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4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4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Lease cost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4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17,855 </w:t>
            </w:r>
          </w:p>
        </w:tc>
        <w:tc>
          <w:tcPr>
            <w:tcW w:w="312"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13,391 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26,783 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17,855 </w:t>
            </w:r>
          </w:p>
        </w:tc>
        <w:tc>
          <w:tcPr>
            <w:tcW w:w="3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Other information on 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payments included in the measurement of lease liability reported in operating cash flows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12,254 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25,674 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16,338 </w:t>
            </w:r>
          </w:p>
        </w:tc>
        <w:tc>
          <w:tcPr>
            <w:tcW w:w="3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13.75</w:t>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4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lease term in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4.67</w:t>
            </w:r>
          </w:p>
        </w:tc>
      </w:tr>
    </w:tbl>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Operating lease right-of-use assets, included in other assets, were $103,312 and $136,209 as of June 30, 2026 and December 31, 2025, respectively. Operating lease right-of-use liabilities, included in accounts payable, accrued expenses and other liabilities, were $103,312 and $136,209 as of June 30,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0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Rent expense for the three months ended June 30, 2026 and 2025 amounted to $13,391 and $13,391, respectively, and is included in the accompanying condensed consolidated statements of income and comprehensive income within other underwriting expenses. Rent expense for the six months ended June 30, 2026 and 2025 amounted to $26,783 and $17,855, respectively, and is included in the accompanying condensed consolidated statements of income and comprehensive income within other underwriting expenses. </w:t>
      </w:r>
    </w:p>
    <w:p>
      <w:pPr>
        <w:pStyle w:val="TextBody"/>
        <w:bidi w:val="0"/>
        <w:spacing w:lineRule="auto" w:line="288" w:before="240" w:after="283"/>
        <w:jc w:val="both"/>
        <w:rPr/>
      </w:pPr>
      <w:r>
        <w:rPr>
          <w:rFonts w:ascii="Times New Roman;serif" w:hAnsi="Times New Roman;serif"/>
          <w:b w:val="false"/>
          <w:color w:val="000000"/>
          <w:sz w:val="18"/>
          <w:u w:val="single"/>
        </w:rPr>
        <w:t>Employment Agreements</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Meryl Golden, President and Chief Executive Officer</w:t>
      </w:r>
    </w:p>
    <w:p>
      <w:pPr>
        <w:pStyle w:val="TextBody"/>
        <w:bidi w:val="0"/>
        <w:spacing w:lineRule="auto" w:line="288" w:before="240" w:after="283"/>
        <w:jc w:val="both"/>
        <w:rPr/>
      </w:pPr>
      <w:r>
        <w:rPr>
          <w:rFonts w:ascii="Times New Roman;serif" w:hAnsi="Times New Roman;serif"/>
          <w:b w:val="false"/>
          <w:color w:val="000000"/>
          <w:sz w:val="18"/>
          <w:u w:val="single"/>
        </w:rPr>
        <w:t>Employment Agreement effective as of January 1, 2025</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April 15, 2024, the Company and Ms. Golden entered into a third amended and restated employment agreement (the “Third Amended Golden Employment Agreement”). The Third Amended Golden Employment Agreement was effective as of January 1, 2025 and extends the expiration date of Ms. Golden's previous employment agreement (the "Second Amended Golden Employment Agreement") from December 31, 2024 to January 10, 2027. Pursuant to the Third Amended Golden Employment Agreement, Ms. Golden is entitled to receive an annual base salary of $550,000 (increased from $500,000 previously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previously in effect). Pursuant to the Third Amended Golden Employment Agreement (and as was provided for in the Second Amended Golden Employment Agreement), in the event that Ms. Golden’s employment is terminated by the Company without cause or she resigns for good reason (each as defined in the Third Amended Golden Employment Agreement), Ms. Golden would be entitled to receive her base salary and the 3% bonus for the remainder of the term. Ms. Golden would be entitled, under certain circumstances, to a payment equal to 1.5 times her then annual salary and her accrued bonus in the event of the termination of her employment following a change of control of the Company (also as is provided for in the Second Amended Golden Employment Agreement). Pursuant to the Third Amended Golden Employment Agreement, Ms. Golden received during each of January 2025 and January 2026 a grant of 40,000 shares of restricted stock. The 2025 grant vested with respect to one-half of the award on the first anniversary of the grant date and will become vested with respect to one-half of the award on December 31, 2026. The 2026 grant will become vested on the first anniversary of the grant date.</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Employment Agreement effective as of January 11, 2027</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April 17, 2026, the Company and Ms. Golden entered into a Fourth Amended and Restated Employment Agreement (the “Fourth Amended Golden Employment Agreement”). The Fourth Amended Golden Employment Agreement is effective as of January 11, 2027 and expires on January 10, 2029. The Fourth Amended Golden Employment Agreement extends the expiration date of the Third Amended Golden Employment Agreement from January 10, 2027 to January 10, 2029.</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Fourth Amended Golden Employment Agreement, Ms. Golden is entitled to receive an annual base salary of $550,000 (the same as currently in effect) and an annual bonus equal to 3% of the Company’s consolidated income from operations before taxes, exclusive of the Company’s consolidated net investment income (loss), net unrealized gains (losses) on equity securities and net realized gains (losses) on investments, up to a maximum of 1.25 times her base annual salary (the same as currently in effect). Pursuant to the Fourth Amended Golden Employment Agreement (and as provided for in the Third Amended Golden Employment Agreement), in the event that Ms. Golden’s employment is terminated by the Company without cause or she resigns for good reason (each as defined in the Fourth Amended Golden Employment Agreement), Ms. Golden would be entitled to receive her base salary and the 3% bonus for the remainder of the term. Ms. Golden would be entitled, under certain circumstances, to a payment equal to 1.5 times her then annual salary and her accrued 3% bonus in the event of the termination of her employment following a change of control of the Company (also as is provided for in the Third Amended Golden Employment Agreement). Pursuant to the Fourth Amended Golden Employment Agreement, Ms. Golden will be entitled to receive, under certain circumstances, a grant, during each of January 2027 and January 2028, of 40,000 shares of restricted stock. The 2027 grant will become vested with respect to one-half of the award on each of the first and second anniversaries of the grant date. The 2028 grant will become vested on the first anniversary of the grant date. The above grants are generally consistent with the grants provided for in the Third Amended Golden Employment Agreement. In the event that the Company is precluded from making a grant to Ms. Golden in either 2027 or 2028, she would instead be entitled to a cash bonus for such year equal to 40,000 multiplied by the Common Stock market price at the time.</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 xml:space="preserve">Randy Patten, Chief Financial Officer, Vice President and Treasurer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July 23, 2025, the Company and Randy Patten entered into an employment agreement (the “Patten Employment Agreement”) pursuant to which Mr. Patten serves as the Company’s Chief Financial Officer, Vice President and Treasurer. Mr. Patten also serves as KICO’s Chief Financial Officer, Vice President and Treasurer. The Patten Employment Agreement was effective as of August 25, 2025 (the "Effective Date") and will expire on August 25, 2028 (the "Expiration Date"). The term of the Patten Employment Agreement shall automatically be extended for one year periods beyond the Expiration Date unless either party provides written notice to the other party, no later than four months preceding the Expiration Date (or the end of the term, if extended), of its or his desire that the term not be extended.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Patten Employment Agreement, Mr. Patten is entitled to receive an annual base salary of $400,000 and shall participate in the Company's Bonus Plan, including with respect to the SLT RSA bonus, each as described in Note 12 – Employee Benefit Plans, Bonus Plans, Employee Bonus Plan. In accordance with the Bonus Plan, Mr. Patten's cash bonus target is 25% of his base salary, and in no event, could the cash bonus for the calendar year ended December 31, 2025 be less than $35,000.</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September 12, 2025, the Company paid to Mr. Patten a sign-on bonus of $200,000 (the “Sign-on Bonus”). In the event that, prior to the first anniversary of the Effective Date, Mr. Patten's employment with the Company is terminated by the Company for cause (as defined in the Patten Employment Agreement) or by Mr. Patten without good reason (as defined in the Patten Employment Agreement), Mr. Patten would be obligated to promptly repay the Sign-on Bonus to the Company. At its option, the Company shall have the right to offset such Sign-on Bonus repayment obligation against any and all amounts payable to Mr. Patten.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Patten Employment Agreement, Mr. Patten was entitled to receive a restricted stock grant of a number of shares of Common Stock determined by dividing $600,000 by the fair market value of the Company’s Common Stock on the date of grant. On the Effective Date, Mr. Patten was granted 43,290 shares of restricted stock pursuant to this provision. Such stock grant will become vested with respect to 25% of the award on each of the first and second anniversaries of the grant date and 50% on the third anniversary of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12 – Employee Benefit Plans</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u w:val="single"/>
        </w:rPr>
        <w:t>Bonus Plans</w:t>
      </w:r>
      <w:r>
        <w:rPr>
          <w:color w:val="000000"/>
        </w:rPr>
        <w:t xml:space="preserve"> </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Employee Bonus Plan</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the Company accrued approximately $817,038 and $856,458, respectively, of cash payments related to an employee bonus plan (the "Bonus Plan"), of which $185,601 and $195,272, respectively, is allocated and recorded in loss and LAE, $628,437 and $661,186, respectively, is recorded in other underwriting expenses, and $3,000 and $0, respectively, is recorded in other operating expenses on the accompanying condensed consolidated statements of income and comprehensive income. For the six months ended June 30, 2026 and 2025, the Company accrued approximately $817,038 and $980,391, respectively, of cash payments related to an employee bonus plan (the "Bonus Plan"), of which $185,601 and $223,529, respectively, is allocated and recorded in loss and LAE, $628,437 and $756,862, respectively, is recorded in other underwriting expenses, and $3,000 and $0, respectively, is recorded in other operating expenses on the accompanying condensed consolidated statements of income and comprehensive income. In addition to the cash payments, the Bonus Plan provides for a restricted stock award ("RSA") to the Company's senior leadership team ("SLT") and other members of management in an amount up to their cash payments if certain performance metrics have been met. The performance metrics for the three months and six months ended June 30, 2026 were not met, and, accordingly, no stock-based compensation liability has been accrued for the three months and six months ended June 30, 2026 for the SLT RSA bonus. The performance metrics for the six months ended June 30, 2025 were met, and, accordingly, $48,006 of stock based compensation liability has been accrued for the three months and six months ended June 30, 2025 for the SLT RSA bonus and is recorded in other operating expenses on the accompanying condensed consolidated statements of income and comprehensive income.</w:t>
      </w:r>
    </w:p>
    <w:p>
      <w:pPr>
        <w:pStyle w:val="TextBody"/>
        <w:bidi w:val="0"/>
        <w:spacing w:lineRule="auto" w:line="288" w:before="240" w:after="283"/>
        <w:jc w:val="both"/>
        <w:rPr/>
      </w:pPr>
      <w:r>
        <w:rPr>
          <w:rFonts w:ascii="Times New Roman;serif" w:hAnsi="Times New Roman;serif"/>
          <w:b w:val="false"/>
          <w:i/>
          <w:color w:val="000000"/>
          <w:sz w:val="18"/>
        </w:rPr>
        <w:t>Executive Bonus Plan</w:t>
      </w:r>
      <w:r>
        <w:rPr>
          <w:color w:val="000000"/>
        </w:rPr>
        <w:t xml:space="preserve">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the three months ended June 30, 2026 and 2025, the Company accrued approximately $191,000 and $345,000, respectively, for a bonus pursuant to the Third Amended Golden Employment Agreement ("Executive Bonus") of which $172,000 and $311,000, respectively, is recorded in other underwriting expenses, and $19,000 and $34,000, respectively, is recorded in other operating expenses on the accompanying condensed consolidated statements of income and comprehensive income. For the six months ended June 30, 2026 and 2025, the Company accrued approximately $191,000 and $371,000, respectively, for the Executive Bonus of which $172,000 and $334,000, respectively, is recorded in other underwriting expenses, and $19,000 and $37,000, respectively, is recorded in other operating expenses on the accompanying condensed consolidated statements of income and comprehensive income.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401(k) Plan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 maintains a salary reduction plan under Section 401(k) of the Internal Revenue Code (the “401(k) Plan”) for its qualified employees. The Company matches 100% of each participant’s contribution up to 4% of the participant’s eligible contribution. The Company incurred approximately $89,000 and $72,000, respectively, of expense for the three months ended June 30, 2026 and 2025, related to the 401(k) Plan, which is recorded in other underwriting expenses on the accompanying condensed consolidated statements of income and comprehensive income. The Company incurred approximately $227,000 and $185,000, respectively, of expense for the six months ended June 30, 2026 and 2025, related to the 401(k) Plan, which is recorded in other underwriting expenses on the accompanying condensed consolidated statements of income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76" w:before="240" w:after="283"/>
        <w:jc w:val="both"/>
        <w:rPr>
          <w:rFonts w:ascii="Times New Roman;serif" w:hAnsi="Times New Roman;serif"/>
          <w:b/>
          <w:color w:val="000000"/>
          <w:sz w:val="18"/>
        </w:rPr>
      </w:pPr>
      <w:r>
        <w:rPr>
          <w:rFonts w:ascii="Times New Roman;serif" w:hAnsi="Times New Roman;serif"/>
          <w:b/>
          <w:color w:val="000000"/>
          <w:sz w:val="18"/>
        </w:rPr>
        <w:t>Note 13 - Segment Information</w:t>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reports results of operations for its reportable segments consistent with the manner in which its chief operating decision maker ("CODM") reviews the business to assess performance and allocate resources. The Company identifies its CODM to be its President and Chief Executive Officer.</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 evaluates the results of its single reportable segment as follows:</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Insurance operations are evaluated on underwriting results (net premiums earned, ceding commission earned, other income, loss and loss adjustment expenses, commission expense, and other underwriting expenses), equating to the components of the net combined ratio.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Investments from the insurance operations are primarily evaluated on net investment income and its return on equity contribution.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Net losses on investments, gain on sale of real estate, other operating expenses are corporate expenses, depreciation and amortization, interest expense, and income tax, which are broken out below the insurance operations components of the net combined ratio to return to the consolidated net income.</w:t>
      </w:r>
    </w:p>
    <w:p>
      <w:pPr>
        <w:pStyle w:val="TextBody"/>
        <w:bidi w:val="0"/>
        <w:spacing w:before="0" w:after="0"/>
        <w:jc w:val="left"/>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CODM uses these measures of profit or loss predominantly in the annual budget and forecasting process, considering budget-to-actual variances throughout the year. The CODM also uses these profit measures for evaluating (i) financial performance, (ii) pricing in the Company's insurance operations, and (iii) employee compensation.</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does not allocate items not included in the net combined ratio. Such items include net losses on investments, gain on sale of real estate, depreciation and amortization, interest expense, corporate expenses included in other operating expenses, and assets to these segments. The Company does not allocate income taxes to its segments. The Company does not manage those segments on after-tax results.</w:t>
      </w:r>
    </w:p>
    <w:p>
      <w:pPr>
        <w:pStyle w:val="TextBody"/>
        <w:bidi w:val="0"/>
        <w:spacing w:before="0" w:after="0"/>
        <w:jc w:val="left"/>
        <w:rPr/>
      </w:pPr>
      <w:r>
        <w:rPr/>
      </w:r>
    </w:p>
    <w:p>
      <w:pPr>
        <w:pStyle w:val="TextBody"/>
        <w:bidi w:val="0"/>
        <w:spacing w:lineRule="auto" w:line="256"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tables reconcile the revenue and expense components of the net combined ratio to consolidated net income for the periods presented.</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402"/>
        <w:gridCol w:w="1219"/>
        <w:gridCol w:w="1226"/>
        <w:gridCol w:w="196"/>
        <w:gridCol w:w="961"/>
        <w:gridCol w:w="109"/>
        <w:gridCol w:w="109"/>
        <w:gridCol w:w="109"/>
        <w:gridCol w:w="109"/>
        <w:gridCol w:w="196"/>
        <w:gridCol w:w="961"/>
        <w:gridCol w:w="109"/>
        <w:gridCol w:w="109"/>
        <w:gridCol w:w="109"/>
        <w:gridCol w:w="109"/>
        <w:gridCol w:w="196"/>
        <w:gridCol w:w="1051"/>
        <w:gridCol w:w="109"/>
        <w:gridCol w:w="109"/>
        <w:gridCol w:w="109"/>
        <w:gridCol w:w="109"/>
        <w:gridCol w:w="196"/>
        <w:gridCol w:w="961"/>
        <w:gridCol w:w="332"/>
      </w:tblGrid>
      <w:tr>
        <w:trPr/>
        <w:tc>
          <w:tcPr>
            <w:tcW w:w="14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 components of net combined ratio</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291,127 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components of net combined ratio</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62,184,454 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49,447,989 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119,637,933 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96,069,697 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 components of net combined ratio</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11,573,138 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21,768,550 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19,942,509 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7,727,367 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17,016,428 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15,132,789 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 components of net combined ratio</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44,158,790 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36,284,158 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108,289,859 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80,177,538 </w:t>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segment net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18,025,664 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13,163,831 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11,348,074 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15,892,159 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income components</w:t>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net combined ratio:</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 components excluded from net combined ratio</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3,428,729 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2,300,267 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4,348,863 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408,472 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1,965,989 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332"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components excluded</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from net combined ratio</w:t>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3,669,092 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2,846,790 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5,991,349 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6,723,857 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 components excluded from net combined ratio</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1,362,430 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3,622,977 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2,189,217 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761,473 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1,476,980 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1,237,227 </w:t>
            </w:r>
          </w:p>
        </w:tc>
        <w:tc>
          <w:tcPr>
            <w:tcW w:w="332"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304,528 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w:t>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4,041,874 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2,914,371 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2,448,882 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3,750,052 </w:t>
            </w:r>
          </w:p>
        </w:tc>
        <w:tc>
          <w:tcPr>
            <w:tcW w:w="332"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 components excluded</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from net combined ratio</w:t>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6,224,585 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4,758,289 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7,677,502 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7,481,024 </w:t>
            </w:r>
          </w:p>
        </w:tc>
        <w:tc>
          <w:tcPr>
            <w:tcW w:w="3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components</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excluded from net combined ratio:</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(2,555,493)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(1,911,499)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(1,686,153)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(757,167)</w:t>
            </w:r>
          </w:p>
        </w:tc>
        <w:tc>
          <w:tcPr>
            <w:tcW w:w="3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Consolidated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15,470,171 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11,252,332 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9,661,921 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15,134,992 </w:t>
            </w:r>
          </w:p>
        </w:tc>
        <w:tc>
          <w:tcPr>
            <w:tcW w:w="3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The following table shows the calculation of the net combined ratio and return on equity from net investment income for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094"/>
        <w:gridCol w:w="868"/>
        <w:gridCol w:w="876"/>
        <w:gridCol w:w="196"/>
        <w:gridCol w:w="1051"/>
        <w:gridCol w:w="256"/>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09"/>
        <w:gridCol w:w="109"/>
        <w:gridCol w:w="156"/>
      </w:tblGrid>
      <w:tr>
        <w:trPr/>
        <w:tc>
          <w:tcPr>
            <w:tcW w:w="1094"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June 30,</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combined ratio</w:t>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underwriting expense ratio:</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 and other</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20,228,293 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18,356,996 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38,784,978 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35,075,298 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Ceding commission revenue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income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(184,011)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(151,173)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(291,127)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commission expense and other</w:t>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18,511,316 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15,124,267 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35,483,336 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28,743,924 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earned premium</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Return on equity on net investment income</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beginning of period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114,504,510 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82,209,963 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122,731,249 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66,708,451 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 end of period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129,159,460 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94,877,892 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129,159,460 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94,877,892 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Average stockholders' equity</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121,831,985 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88,543,928 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125,945,355 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80,793,172 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3,428,729 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2,300,267 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4,348,863 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 on net investment income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Return on equity on net investment income - annualized</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477,933,872 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393,421,525 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477,933,872 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393,421,525 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Note 14 - Sale of Real Estate</w:t>
      </w:r>
    </w:p>
    <w:p>
      <w:pPr>
        <w:pStyle w:val="TextBody"/>
        <w:bidi w:val="0"/>
        <w:spacing w:lineRule="auto" w:line="276" w:before="240" w:after="283"/>
        <w:jc w:val="both"/>
        <w:rPr>
          <w:rFonts w:ascii="Times New Roman;serif" w:hAnsi="Times New Roman;serif"/>
          <w:b w:val="false"/>
          <w:color w:val="000000"/>
          <w:sz w:val="18"/>
        </w:rPr>
      </w:pPr>
      <w:r>
        <w:rPr>
          <w:rFonts w:ascii="Times New Roman;serif" w:hAnsi="Times New Roman;serif"/>
          <w:b w:val="false"/>
          <w:color w:val="000000"/>
          <w:sz w:val="18"/>
        </w:rPr>
        <w:t>On February 5, 2025, a subsidiary of the Company entered into a contract of sale with Ulster County, New York (the “County”) for the sale to the County of the Company’s headquarters building in Kingston, New York, along with an adjacent mixed-use property (collectively, the “Property”). The purchase price for the Property was $3,600,000. The closing of the sale was on March 19,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Note 15 – Subsequent Events</w:t>
      </w:r>
      <w:r>
        <w:rPr>
          <w:color w:val="000000"/>
        </w:rPr>
        <w:t xml:space="preserv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Company has evaluated events that occurred subsequent to June 30, 2026 through the date these condensed consolidated financial statements were issued for matters that required disclosure or adjustment in these condensed consolidated financial statements.</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Debt</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On July 1, 2026, Kingstone executed a Revolving Loan Note pursuant to a credit agreement (together, the “Citizens Agreement”) with Citizens Bank (“Lender”). Capitalized terms used in this footnote are defined in the Citizens Agreement.</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Under the Citizens Agreement, Kingstone may receive advances from Lender not to exceed an unpaid principal balance of $5,000,000. Advances extended under the Citizens Agreement will bear interest at a floating rate based on either the one-month secured overnight financing rate plus a margin of 2.5% or the Alternate Base Rate plus a margin of 2.5%. The credit line will be subject to a 0.25% unused fee. The Citizens Agreement is subject to certain financial and non-financial covenants.</w:t>
      </w:r>
    </w:p>
    <w:p>
      <w:pPr>
        <w:pStyle w:val="TextBody"/>
        <w:bidi w:val="0"/>
        <w:spacing w:lineRule="auto" w:line="268" w:before="240" w:after="283"/>
        <w:jc w:val="both"/>
        <w:rPr>
          <w:rFonts w:ascii="Times New Roman;serif" w:hAnsi="Times New Roman;serif"/>
          <w:b w:val="false"/>
          <w:color w:val="000000"/>
          <w:sz w:val="18"/>
        </w:rPr>
      </w:pPr>
      <w:r>
        <w:rPr>
          <w:rFonts w:ascii="Times New Roman;serif" w:hAnsi="Times New Roman;serif"/>
          <w:b w:val="false"/>
          <w:color w:val="000000"/>
          <w:sz w:val="18"/>
        </w:rPr>
        <w:t>Interest only payments are due monthly, and payment in full is due at maturity on July 1, 2028. Advances are unsecured.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br/>
        <w:t>Closing costs and fees of approximately $40,000 were paid in connection with the Citizens Agreement, representing legal fees and out of pocket costs incurred by the Lender. The line of credit will be used for general corporate purposes.</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Reinsurance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Effective July 1, 2026, KICO entered into new excess of loss and catastrophe reinsurance treaties (see Note 6 – Property and Casualty Insurance Activity - “Reinsurance”).</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Dividend Declared</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On July 23, 2026, the Company’s Board of Directors approved a quarterly dividend of $0.06 per share payable in cash on August 26, 2026 to stockholders of record as of the close of business on August 11, 2026 (see Note 8 – Stockholders’ Equity).</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There were no other subsequent events identified requiring recognition or disclosure in these condensed consolidated financial statements.</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color w:val="000000"/>
          <w:sz w:val="18"/>
          <w:u w:val="single"/>
        </w:rPr>
        <w:t>ITEM 2</w:t>
      </w:r>
      <w:r>
        <w:rPr>
          <w:rFonts w:ascii="Times New Roman;serif" w:hAnsi="Times New Roman;serif"/>
          <w:b/>
          <w:color w:val="000000"/>
          <w:sz w:val="18"/>
        </w:rPr>
        <w:t xml:space="preserve">. </w:t>
      </w:r>
      <w:r>
        <w:rPr>
          <w:rFonts w:ascii="Times New Roman;serif" w:hAnsi="Times New Roman;serif"/>
          <w:b/>
          <w:color w:val="000000"/>
          <w:sz w:val="18"/>
          <w:u w:val="single"/>
        </w:rPr>
        <w:t>MANAGEMENT’S DISCUSSION AND ANALYSIS OF FINANCIAL CONDITION AND RESULTS OF OPERATIONS</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offer property and casualty insurance products through our wholly-owned subsidiary, Kingstone Insurance Company (“KICO”). KICO is a New York domiciled carrier writing business through retail and wholesale agents and brokers. KICO is actively writing personal lines and commercial auto physical damage insurance in New York, and in 2025 was the 11th largest writer of homeowners insurance in New York. Beginning in June 2026, KICO began writing homeowners coverage in California on a non-admitted basis. KICO is also licensed in the states of New Jersey, Rhode Island, Massachusetts, Connecticut, Pennsylvania, New Hampshire, and Maine. Our wholly-owned subsidiary, Kingstone America Insurance Company ("KAIC"), was licensed to write property and casualty insurance by the state of Connecticut on May 1, 2026. We expect KAIC to begin writing policies in Connecticut in the second half of 2026. For the three months ended June 30, 2026 and 2025, respectively, 98.5% and 97.9% of KICO’s direct premiums written came from the New York policies. For the six months ended June 30, 2026 and 2025, respectively, 98.6% and 98.1% of KICO’s direct premiums written came from the New York policies.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addition, our wholly-owned subsidiary, Cosi Agency, Inc. (“Cosi”), a multi-state licensed general agency, receives commission revenue from KICO for the policies it places with others and pays commissions to these agencies. In April 2026, Cosi became licensed in California, and we expect to expand our underwriting operations in California during the remainder of 2026 through the policies Cosi writes. Cosi retains the profit between the commission revenue received and the commission expense paid (“Net Cosi Revenue”). Commission expense is reduced by Net Cosi Revenue. Cosi-related operating expenses are primarily employment costs and are included in other operating expenses.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derive substantially all of our revenue from KICO, which includes revenues from earned premiums, ceding commissions from quota share reinsurance, net investment income generated from its portfolio, and net realized gains and losses on investment securities. All of KICO’s insurance policies are written for a one year term. Earned premiums represent premiums received from insureds, which are recognized as revenue over the period of time that insurance coverage is provided (i.e., ratably over the one year life of the policy). A significant period of time can elapse from the receipt of insurance premiums to the payment of insurance claims. During this time, KICO invests the premiums, earns investment income and generates net realized and unrealized investment gains and losses on investments. Our holding company earns investment income from its cash holdings.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expenses include the insurance underwriting expenses of KICO and other operating expenses. Insurance companies incur a significant amount of their total expenses from losses incurred by policyholders, which are referred to as claims. In settling these claims, various loss adjustment expenses (“LAE”) are incurred such as insurance adjusters’ fees and legal expenses. In addition, insurance companies incur policy acquisition costs. Policy acquisition costs include commissions paid to producers, premium taxes, and other expenses related to the underwriting process, including employees’ compensation and benefits. </w:t>
      </w:r>
    </w:p>
    <w:p>
      <w:pPr>
        <w:pStyle w:val="TextBody"/>
        <w:bidi w:val="0"/>
        <w:spacing w:lineRule="auto" w:line="276"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Other operating expenses include our corporate expenses as a holding company and Cosi expenses. These corporate expenses include legal and auditing fees, executive employment costs and equity compensation, directors' fees, and other costs directly associated with being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Product Lines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product lines include the following: </w:t>
      </w:r>
    </w:p>
    <w:p>
      <w:pPr>
        <w:pStyle w:val="TextBody"/>
        <w:bidi w:val="0"/>
        <w:spacing w:lineRule="auto" w:line="288" w:before="240" w:after="283"/>
        <w:ind w:left="0" w:right="0" w:firstLine="675"/>
        <w:jc w:val="both"/>
        <w:rPr/>
      </w:pPr>
      <w:r>
        <w:rPr>
          <w:rFonts w:ascii="Times New Roman;serif" w:hAnsi="Times New Roman;serif"/>
          <w:b/>
          <w:i/>
          <w:color w:val="000000"/>
          <w:sz w:val="18"/>
        </w:rPr>
        <w:t>Personal lines</w:t>
      </w:r>
      <w:r>
        <w:rPr>
          <w:rFonts w:ascii="Times New Roman;serif" w:hAnsi="Times New Roman;serif"/>
          <w:b w:val="false"/>
          <w:color w:val="000000"/>
          <w:sz w:val="18"/>
        </w:rPr>
        <w:t>: Our largest line of business is personal lines, consisting of homeowners, dwelling fire, cooperative/condominium, renters, and personal umbrella policies.</w:t>
      </w:r>
    </w:p>
    <w:p>
      <w:pPr>
        <w:pStyle w:val="TextBody"/>
        <w:bidi w:val="0"/>
        <w:spacing w:lineRule="auto" w:line="288" w:before="240" w:after="283"/>
        <w:ind w:left="0" w:right="0" w:firstLine="720"/>
        <w:jc w:val="both"/>
        <w:rPr/>
      </w:pPr>
      <w:r>
        <w:rPr>
          <w:rFonts w:ascii="Times New Roman;serif" w:hAnsi="Times New Roman;serif"/>
          <w:b/>
          <w:i/>
          <w:color w:val="000000"/>
          <w:sz w:val="18"/>
        </w:rPr>
        <w:t>Livery physical damage:</w:t>
      </w:r>
      <w:r>
        <w:rPr>
          <w:color w:val="000000"/>
        </w:rPr>
        <w:t xml:space="preserve"> </w:t>
      </w:r>
      <w:r>
        <w:rPr>
          <w:rFonts w:ascii="Times New Roman;serif" w:hAnsi="Times New Roman;serif"/>
          <w:b w:val="false"/>
          <w:color w:val="000000"/>
          <w:sz w:val="18"/>
        </w:rPr>
        <w:t xml:space="preserve">We write for-hire vehicle physical damage only policies for livery and car service vehicles and taxicabs. These policies insure only the physical damage portion of insurance for such vehicles, with no liability coverage included. </w:t>
      </w:r>
    </w:p>
    <w:p>
      <w:pPr>
        <w:pStyle w:val="TextBody"/>
        <w:bidi w:val="0"/>
        <w:spacing w:lineRule="auto" w:line="276" w:before="240" w:after="283"/>
        <w:ind w:left="0" w:right="0" w:firstLine="675"/>
        <w:jc w:val="both"/>
        <w:rPr/>
      </w:pPr>
      <w:r>
        <w:rPr>
          <w:rFonts w:ascii="Times New Roman;serif" w:hAnsi="Times New Roman;serif"/>
          <w:b/>
          <w:i/>
          <w:color w:val="000000"/>
          <w:sz w:val="18"/>
        </w:rPr>
        <w:t>Commercial liability:</w:t>
      </w:r>
      <w:r>
        <w:rPr>
          <w:color w:val="000000"/>
        </w:rPr>
        <w:t xml:space="preserve"> </w:t>
      </w:r>
      <w:r>
        <w:rPr>
          <w:rFonts w:ascii="Times New Roman;serif" w:hAnsi="Times New Roman;serif"/>
          <w:b w:val="false"/>
          <w:color w:val="000000"/>
          <w:sz w:val="18"/>
        </w:rPr>
        <w:t>Through July 2019, we offered businessowners policies, which consist primarily of small business retail, service, and office risks, with limited property exposures. We also wrote artisan’s liability policies for small independent contractors with smaller sized workforces. In addition, we wrote special multi-peril policies for larger and more specialized businessowners risks, including those with limited residential exposures. Further, we offered commercial umbrella policies written above our supporting commercial lines policies.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May 2019, due to the poor performance of these lines, we placed a moratorium on new commercial lines and new commercial umbrella submissions while we further reviewed this business. In July 2019, due to the continuing poor performance of these lines, we made the decision to no longer underwrite commercial lines or commercial umbrella risks. In-force policies as of July 31, 2019 for these lines were non-renewed at the end of their annual terms. As of June 30, 2026 and December 31, 2025, there were no commercial liability policies in-force. As of June 30, 2026, these expired policies represented approximately 9.3% of loss and LAE reserves net of reinsurance recoverables. See discussion below under “Additional Financial Information”. </w:t>
      </w:r>
    </w:p>
    <w:p>
      <w:pPr>
        <w:pStyle w:val="TextBody"/>
        <w:bidi w:val="0"/>
        <w:spacing w:lineRule="auto" w:line="288" w:before="240" w:after="283"/>
        <w:ind w:left="0" w:right="0" w:firstLine="720"/>
        <w:jc w:val="both"/>
        <w:rPr/>
      </w:pPr>
      <w:r>
        <w:rPr>
          <w:rFonts w:ascii="Times New Roman;serif" w:hAnsi="Times New Roman;serif"/>
          <w:b/>
          <w:i/>
          <w:color w:val="000000"/>
          <w:sz w:val="18"/>
        </w:rPr>
        <w:t xml:space="preserve">Other: </w:t>
      </w:r>
      <w:r>
        <w:rPr>
          <w:rFonts w:ascii="Times New Roman;serif" w:hAnsi="Times New Roman;serif"/>
          <w:b w:val="false"/>
          <w:color w:val="000000"/>
          <w:sz w:val="18"/>
        </w:rPr>
        <w:t xml:space="preserve">We write canine legal liability policies and have a small participation in mandatory state joint underwriting associations.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color w:val="000000"/>
          <w:sz w:val="18"/>
        </w:rPr>
        <w:t>Key GAAP and Non-GAAP Measures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utilize the following key GAAP accounting principles generally accepted in the United States and non-GAAP measures in analyzing the results of our insurance underwriting business. See "Non-GAAP Financial Measures" for a reconciliation of the below non-GAAP measures to the most directly comparable GAAP measure: </w:t>
      </w:r>
    </w:p>
    <w:p>
      <w:pPr>
        <w:pStyle w:val="TextBody"/>
        <w:bidi w:val="0"/>
        <w:spacing w:lineRule="auto" w:line="276" w:before="240" w:after="283"/>
        <w:ind w:left="0" w:right="0" w:firstLine="675"/>
        <w:jc w:val="both"/>
        <w:rPr/>
      </w:pPr>
      <w:r>
        <w:rPr>
          <w:rFonts w:ascii="Times New Roman;serif" w:hAnsi="Times New Roman;serif"/>
          <w:b/>
          <w:i/>
          <w:color w:val="000000"/>
          <w:sz w:val="18"/>
        </w:rPr>
        <w:t>Direct premiums written, net premiums written:</w:t>
      </w:r>
      <w:r>
        <w:rPr>
          <w:color w:val="000000"/>
        </w:rPr>
        <w:t xml:space="preserve"> </w:t>
      </w:r>
      <w:r>
        <w:rPr>
          <w:rFonts w:ascii="Times New Roman;serif" w:hAnsi="Times New Roman;serif"/>
          <w:b w:val="false"/>
          <w:color w:val="000000"/>
          <w:sz w:val="18"/>
        </w:rPr>
        <w:t>Direct premiums written is a non-GAAP measure, which represent the total premiums charged on policies issued by an insurance company during the respective fiscal period. Net premiums written is a non-GAAP measure, which are direct premiums written less premiums ceded to reinsurers. Net premiums earned, the GAAP measure most comparable to direct premiums written and net premiums written, are net premiums written that are pro-rata earned during the fiscal period presented. All of our policies are written for a twelve-month period. Management uses direct premiums written and net premiums written, along with other measures, to gauge our performance and evaluate results. Direct premiums written and net premiums written are provided as supplemental information, not as a substitute for net premiums earned, and do not reflect the Company’s net premiums earned.</w:t>
      </w:r>
    </w:p>
    <w:p>
      <w:pPr>
        <w:pStyle w:val="TextBody"/>
        <w:bidi w:val="0"/>
        <w:spacing w:lineRule="auto" w:line="268" w:before="240" w:after="283"/>
        <w:ind w:left="0" w:right="0" w:firstLine="675"/>
        <w:jc w:val="both"/>
        <w:rPr/>
      </w:pPr>
      <w:r>
        <w:rPr>
          <w:rFonts w:ascii="Times New Roman;serif" w:hAnsi="Times New Roman;serif"/>
          <w:b/>
          <w:i/>
          <w:color w:val="000000"/>
          <w:sz w:val="18"/>
        </w:rPr>
        <w:t xml:space="preserve">Net loss ratio: </w:t>
      </w:r>
      <w:r>
        <w:rPr>
          <w:rFonts w:ascii="Times New Roman;serif" w:hAnsi="Times New Roman;serif"/>
          <w:b w:val="false"/>
          <w:color w:val="000000"/>
          <w:sz w:val="18"/>
        </w:rPr>
        <w:t>The net loss ratio is a GAAP measure of the underwriting profitability of an insurance company’s business. Expressed as a percentage, this is the ratio of net losses and LAE incurred to net premiums earned.</w:t>
      </w:r>
    </w:p>
    <w:p>
      <w:pPr>
        <w:pStyle w:val="TextBody"/>
        <w:bidi w:val="0"/>
        <w:spacing w:lineRule="auto" w:line="268" w:before="240" w:after="283"/>
        <w:ind w:left="0" w:right="0" w:firstLine="720"/>
        <w:jc w:val="both"/>
        <w:rPr/>
      </w:pPr>
      <w:r>
        <w:rPr>
          <w:rFonts w:ascii="Times New Roman;serif" w:hAnsi="Times New Roman;serif"/>
          <w:b/>
          <w:i/>
          <w:color w:val="000000"/>
          <w:sz w:val="18"/>
        </w:rPr>
        <w:t xml:space="preserve">Underlying loss ratio: </w:t>
      </w:r>
      <w:r>
        <w:rPr>
          <w:rFonts w:ascii="Times New Roman;serif" w:hAnsi="Times New Roman;serif"/>
          <w:b w:val="false"/>
          <w:color w:val="000000"/>
          <w:sz w:val="18"/>
        </w:rPr>
        <w:t>The underlying loss ratio is a non-GAAP ratio, which is computed as the GAAP net loss ratio excluding the effect of prior year loss reserve development and catastrophes losses. Management believes that this ratio is useful to investors, and it is used by management to reveal the trends in our business that may be obscured by prior year loss reserve development and catastrophe losses. Catastrophe losses cause our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underlying loss ratio should not be considered a substitute for the net loss ratio and does not reflect our net loss ratio.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18"/>
        </w:rPr>
        <w:t xml:space="preserve">Net loss ratio excluding the effect of catastrophes: </w:t>
      </w:r>
      <w:r>
        <w:rPr>
          <w:rFonts w:ascii="Times New Roman;serif" w:hAnsi="Times New Roman;serif"/>
          <w:b w:val="false"/>
          <w:color w:val="000000"/>
          <w:sz w:val="18"/>
        </w:rPr>
        <w:t>The net loss ratio excluding the effect of catastrophes is a non-GAAP ratio, which is computed as the difference between the GAAP net loss ratio and the effect of catastrophes on the net loss ratio. Management believes that this ratio is useful to investors, and it is used by management to reveal the trends in our business that may be obscured by catastrophe losses. Catastrophe losses cause our net loss ratios to vary significantly between periods as a result of their incidence of occurrence and magnitude and can have a significant impact on the net loss ratio. Management believes that this measure is useful for investors to evaluate this component separately when reviewing our underwriting performance. The most directly comparable GAAP measure is the net loss ratio. The net loss ratio excluding the effect of catastrophes should not be considered a substitute for the net loss ratio and does not reflect our net loss ratio.</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erif" w:hAnsi="Times New Roman;serif"/>
          <w:b/>
          <w:i/>
          <w:color w:val="000000"/>
          <w:sz w:val="18"/>
        </w:rPr>
        <w:t xml:space="preserve">Net loss ratio excluding commercial lines business: </w:t>
      </w:r>
      <w:r>
        <w:rPr>
          <w:rFonts w:ascii="Times New Roman;serif" w:hAnsi="Times New Roman;serif"/>
          <w:b w:val="false"/>
          <w:color w:val="000000"/>
          <w:sz w:val="18"/>
        </w:rPr>
        <w:t>The net loss ratio excluding commercial lines business is a non-GAAP ratio, which is computed as the difference between the GAAP net loss ratio and the effect of commercial lines on the net loss ratio. Management believes that this ratio is useful to investors, and it is used by management to reveal the trends in our business that may be obscured by losses from commercial lines business. Our commercial lines business has been in run-off effective July 2019. Commercial lines losses cause our net loss ratios to vary between periods as a result of changes to their loss reserves during the run-off period and have an impact on the net loss ratio. Management believes that this measure is useful for investors to evaluate this component separately when reviewing our underwriting performance. The most directly comparable GAAP measure is the net loss ratio. The net loss ratio excluding commercial lines business should not be considered a substitute for the net loss ratio and does not reflect our net loss ratio.</w:t>
      </w:r>
    </w:p>
    <w:p>
      <w:pPr>
        <w:pStyle w:val="TextBody"/>
        <w:bidi w:val="0"/>
        <w:spacing w:lineRule="auto" w:line="276" w:before="240" w:after="283"/>
        <w:ind w:left="0" w:right="0" w:firstLine="675"/>
        <w:jc w:val="both"/>
        <w:rPr/>
      </w:pPr>
      <w:r>
        <w:rPr>
          <w:rFonts w:ascii="Times New Roman;serif" w:hAnsi="Times New Roman;serif"/>
          <w:b/>
          <w:i/>
          <w:color w:val="000000"/>
          <w:sz w:val="18"/>
        </w:rPr>
        <w:t>Net underwriting expense ratio:</w:t>
      </w:r>
      <w:r>
        <w:rPr>
          <w:color w:val="000000"/>
        </w:rPr>
        <w:t xml:space="preserve"> </w:t>
      </w:r>
      <w:r>
        <w:rPr>
          <w:rFonts w:ascii="Times New Roman;serif" w:hAnsi="Times New Roman;serif"/>
          <w:b w:val="false"/>
          <w:color w:val="000000"/>
          <w:sz w:val="18"/>
        </w:rPr>
        <w:t>The net underwriting expense ratio is a GAAP measure of an insurance company’s operational efficiency in administering its business. Expressed as a percentage, this is the ratio of the sum of acquisition costs (the most significant being commissions paid to our producers) and other underwriting expenses less ceding commission revenue less other income to net premiums earned.</w:t>
      </w:r>
    </w:p>
    <w:p>
      <w:pPr>
        <w:pStyle w:val="TextBody"/>
        <w:bidi w:val="0"/>
        <w:spacing w:lineRule="auto" w:line="288" w:before="240" w:after="283"/>
        <w:ind w:left="0" w:right="0" w:firstLine="720"/>
        <w:jc w:val="both"/>
        <w:rPr/>
      </w:pPr>
      <w:r>
        <w:rPr>
          <w:rFonts w:ascii="Times New Roman;serif" w:hAnsi="Times New Roman;serif"/>
          <w:b/>
          <w:i/>
          <w:color w:val="000000"/>
          <w:sz w:val="18"/>
        </w:rPr>
        <w:t xml:space="preserve">Net underwriting expense ratio excluding the effect of catastrophes: </w:t>
      </w:r>
      <w:r>
        <w:rPr>
          <w:rFonts w:ascii="Times New Roman;serif" w:hAnsi="Times New Roman;serif"/>
          <w:b w:val="false"/>
          <w:color w:val="000000"/>
          <w:sz w:val="18"/>
        </w:rPr>
        <w:t>The net underwriting expense ratio excluding the effect of catastrophes is a non-GAAP ratio, which is computed as the difference between the GAAP net underwriting expense ratio and the effect of catastrophes on the net underwriting expense ratio. Management believes that this ratio is useful to investors, and it is used by management to reveal the trends in our business that may be obscured by catastrophe losses. Catastrophe losses cause our net underwriting expense ratios to vary significantly between periods as a result of their incidence of occurrence and magnitude and can have a significant impact on the net underwriting expense ratio. Management believes that this measure is useful for investors to evaluate this component separately when reviewing our underwriting performance. The most directly comparable GAAP measure is the net underwriting expense ratio. The net underwriting expense ratio excluding the effect of catastrophes should not be considered a substitute for the net underwriting expense ratio and does not reflect our net underwriting expense ratio.</w:t>
      </w:r>
    </w:p>
    <w:p>
      <w:pPr>
        <w:pStyle w:val="TextBody"/>
        <w:bidi w:val="0"/>
        <w:spacing w:lineRule="auto" w:line="276" w:before="240" w:after="283"/>
        <w:ind w:left="0" w:right="0" w:firstLine="675"/>
        <w:jc w:val="both"/>
        <w:rPr/>
      </w:pPr>
      <w:r>
        <w:rPr>
          <w:rFonts w:ascii="Times New Roman;serif" w:hAnsi="Times New Roman;serif"/>
          <w:b/>
          <w:i/>
          <w:color w:val="000000"/>
          <w:sz w:val="18"/>
        </w:rPr>
        <w:t>Net combined ratio:</w:t>
      </w:r>
      <w:r>
        <w:rPr>
          <w:color w:val="000000"/>
        </w:rPr>
        <w:t xml:space="preserve"> </w:t>
      </w:r>
      <w:r>
        <w:rPr>
          <w:rFonts w:ascii="Times New Roman;serif" w:hAnsi="Times New Roman;serif"/>
          <w:b w:val="false"/>
          <w:color w:val="000000"/>
          <w:sz w:val="18"/>
        </w:rPr>
        <w:t>The net combined ratio is a GAAP measure of an insurance company’s overall underwriting profit. This is the sum of the net loss and net underwriting expense ratios. If the net combined ratio is at or above 100 percent, an insurance company cannot be profitable without investment income, and may not be profitable if investment income is insufficient.</w:t>
      </w:r>
    </w:p>
    <w:p>
      <w:pPr>
        <w:pStyle w:val="TextBody"/>
        <w:bidi w:val="0"/>
        <w:spacing w:lineRule="auto" w:line="288" w:before="240" w:after="283"/>
        <w:ind w:left="0" w:right="0" w:firstLine="720"/>
        <w:jc w:val="both"/>
        <w:rPr/>
      </w:pPr>
      <w:r>
        <w:rPr>
          <w:rFonts w:ascii="Times New Roman;serif" w:hAnsi="Times New Roman;serif"/>
          <w:b/>
          <w:i/>
          <w:color w:val="000000"/>
          <w:sz w:val="18"/>
        </w:rPr>
        <w:t xml:space="preserve">Net combined ratio excluding the effect of catastrophes: </w:t>
      </w:r>
      <w:r>
        <w:rPr>
          <w:rFonts w:ascii="Times New Roman;serif" w:hAnsi="Times New Roman;serif"/>
          <w:b w:val="false"/>
          <w:color w:val="000000"/>
          <w:sz w:val="18"/>
        </w:rPr>
        <w:t xml:space="preserve">The net combined ratio excluding the effect of catastrophes is a non-GAAP ratio, which is computed as the difference between the GAAP combined ratio and the effect of catastrophes on the net combined ratio. Management believes that this ratio is useful to investors, and it is used by management to reveal the trends in our business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may be obscured by catastrophe losses. Catastrophe losses cause our net combined ratios to vary significantly between periods as a result of their incidence of occurrence and magnitude and can have a significant impact on the net combined ratio. Management believes that this measure is useful for investors to evaluate this component separately when reviewing our underwriting performance. The most directly comparable GAAP measure is the net combined ratio. The net combined ratio excluding the effect of catastrophes should not be considered a substitute for the net combined ratio and does not reflect our net combined ratio.</w:t>
      </w:r>
    </w:p>
    <w:p>
      <w:pPr>
        <w:pStyle w:val="TextBody"/>
        <w:bidi w:val="0"/>
        <w:spacing w:lineRule="auto" w:line="276" w:before="240" w:after="283"/>
        <w:ind w:left="0" w:right="0" w:firstLine="675"/>
        <w:jc w:val="both"/>
        <w:rPr/>
      </w:pPr>
      <w:r>
        <w:rPr>
          <w:rFonts w:ascii="Times New Roman;serif" w:hAnsi="Times New Roman;serif"/>
          <w:b/>
          <w:i/>
          <w:color w:val="000000"/>
          <w:sz w:val="18"/>
        </w:rPr>
        <w:t>Underwriting income:</w:t>
      </w:r>
      <w:r>
        <w:rPr>
          <w:color w:val="000000"/>
        </w:rPr>
        <w:t xml:space="preserve"> </w:t>
      </w:r>
      <w:r>
        <w:rPr>
          <w:rFonts w:ascii="Times New Roman;serif" w:hAnsi="Times New Roman;serif"/>
          <w:b w:val="false"/>
          <w:color w:val="000000"/>
          <w:sz w:val="18"/>
        </w:rPr>
        <w:t>Underwriting income is net pre-tax income attributable to our insurance underwriting business before investment activity. It excludes net investment income, net realized gains from investments, gain on sale of real estate, depreciation and amortization, and interest expense (net premiums earned less expenses included in combined ratio). Underwriting income is a measure of an insurance company’s overall operating profitability before items such as investment income, depreciation and amortization, interest expense and income taxes.</w:t>
      </w:r>
    </w:p>
    <w:p>
      <w:pPr>
        <w:pStyle w:val="TextBody"/>
        <w:bidi w:val="0"/>
        <w:spacing w:lineRule="auto" w:line="288" w:before="240" w:after="283"/>
        <w:ind w:left="0" w:right="0" w:firstLine="720"/>
        <w:jc w:val="both"/>
        <w:rPr/>
      </w:pPr>
      <w:r>
        <w:rPr>
          <w:rFonts w:ascii="Times New Roman;serif" w:hAnsi="Times New Roman;serif"/>
          <w:b/>
          <w:i/>
          <w:color w:val="000000"/>
          <w:sz w:val="18"/>
        </w:rPr>
        <w:t xml:space="preserve">Net income from insurance underwriting business on a standalone basis: </w:t>
      </w:r>
      <w:r>
        <w:rPr>
          <w:rFonts w:ascii="Times New Roman;serif" w:hAnsi="Times New Roman;serif"/>
          <w:b w:val="false"/>
          <w:color w:val="000000"/>
          <w:sz w:val="18"/>
        </w:rPr>
        <w:t>Net income from insurance underwriting business on a standalone basis is a non-GAAP measure, which is computed as GAAP net income without the effect of holding company operations on GAAP net income. Management believes that this measure is useful to investors, and it is used by management to reveal the trends in our insurance underwriting business that may be obscured by holding company operations. Holding company operations cause our GAAP net income to vary significantly between periods as a result of their magnitude and can have a significant impact on GAAP net income. Management believes that this measure is useful for investors to evaluate this component separately when reviewing our underwriting performance. The most directly comparable GAAP measure is GAAP net income. Net income from insurance underwriting business on a standalone basis should not be considered a substitute for GAAP net income and does not reflect our GAAP net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Critical Accounting Estimates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condensed consolidated financial statements include the accounts of Kingstone Companies, Inc. and all wholly-owned subsidiaries. The preparation of financial statements in conformity with GAAP requires our management to make estimates and assumptions in certain circumstances that affect amounts reported in our condensed consolidated financial statements and related notes. In preparing these condensed consolidated financial statements, our management has utilized information including our past history, industry standards, and the current economic environment, and other factors, in forming its estimates and judgments of certain amounts included in the condensed consolidated financial statements, giving due consideration to materiality. It is possible that the ultimate outcome as anticipated by our management in formulating its estimates in these financial statements may not materialize.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Application of critical accounting estimates involve the exercise of judgment and use of assumptions as to future uncertainties and, as a result, actual results could differ from these estimates. In addition, other companies may utilize different estimates, which may impact comparability of our results of operations to those of similar companies.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See below a description of these critical accounting estimates. Also see Note 2 to the consolidated financial statements in our Annual Report on Form 10-K for the year ended December 31, 2025. </w:t>
      </w:r>
    </w:p>
    <w:p>
      <w:pPr>
        <w:pStyle w:val="TextBody"/>
        <w:bidi w:val="0"/>
        <w:spacing w:lineRule="auto" w:line="288" w:before="240" w:after="283"/>
        <w:jc w:val="both"/>
        <w:rPr/>
      </w:pPr>
      <w:r>
        <w:rPr>
          <w:rFonts w:ascii="Times New Roman;serif" w:hAnsi="Times New Roman;serif"/>
          <w:b w:val="false"/>
          <w:i/>
          <w:color w:val="000000"/>
          <w:sz w:val="18"/>
        </w:rPr>
        <w:t>Loss and Loss Adjustment Expense Reserves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Property and casualty loss and loss adjustment expense (“LAE”) reserves are established to provide for the estimated cost of settling both reported (“case”) and incurred but not reported (“IBNR”) claims and claims adjusting expenses. The liability for these reserves is estimated on an undiscounted basis, using individual case-basis valuations and paid claims, pending claims, statistical analyses and various actuarial reserving methodologies. Due to the inherent uncertainty of the reserve process, actual loss costs could vary significantly compared to estimated loss costs. The below table provides detail of our reserves as of June 30, 2026 and December 31, 2025:</w:t>
      </w:r>
    </w:p>
    <w:tbl>
      <w:tblPr>
        <w:tblW w:w="9453" w:type="dxa"/>
        <w:jc w:val="left"/>
        <w:tblInd w:w="0" w:type="dxa"/>
        <w:tblLayout w:type="fixed"/>
        <w:tblCellMar>
          <w:top w:w="28" w:type="dxa"/>
          <w:left w:w="28" w:type="dxa"/>
          <w:bottom w:w="28" w:type="dxa"/>
          <w:right w:w="28" w:type="dxa"/>
        </w:tblCellMar>
      </w:tblPr>
      <w:tblGrid>
        <w:gridCol w:w="499"/>
        <w:gridCol w:w="439"/>
        <w:gridCol w:w="442"/>
        <w:gridCol w:w="109"/>
        <w:gridCol w:w="109"/>
        <w:gridCol w:w="109"/>
        <w:gridCol w:w="196"/>
        <w:gridCol w:w="73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w:t>
              <w:br/>
              <w:t>December 31, 2025</w:t>
            </w:r>
          </w:p>
        </w:tc>
      </w:tr>
      <w:tr>
        <w:trPr/>
        <w:tc>
          <w:tcPr>
            <w:tcW w:w="138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Ceded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Ceded</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Net</w:t>
            </w:r>
          </w:p>
        </w:tc>
      </w:tr>
      <w:tr>
        <w:trPr/>
        <w:tc>
          <w:tcPr>
            <w:tcW w:w="138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93,530 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27,183 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66,347 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75,385 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20,749 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54,636 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Case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IBNR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IBNR LAE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167,475 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38,932 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128,543 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140,539 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33,232 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107,306 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 xml:space="preserve">(Components may not sum due to rounding) </w:t>
      </w:r>
    </w:p>
    <w:p>
      <w:pPr>
        <w:pStyle w:val="TextBody"/>
        <w:bidi w:val="0"/>
        <w:spacing w:before="240" w:after="283"/>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Case Reserves – Reserves for reported losses are based on an estimate of ultimate loss costs of an individual claim derived from individual case-basis valuations, actual claims paid, pending claims, statistical analyses and various actuarial reserving methodologies.</w:t>
      </w:r>
    </w:p>
    <w:p>
      <w:pPr>
        <w:pStyle w:val="TextBody"/>
        <w:bidi w:val="0"/>
        <w:spacing w:lineRule="auto" w:line="276"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IBNR Reserves – IBNR reserves are estimates of claims that have occurred but as to which we have not yet been notified to establish the case reserve. IBNR also accounts for loss development on claims that have been reported. IBNR is determined using historical information aggregated by line of insurance and adjusted to current conditions. </w:t>
      </w:r>
    </w:p>
    <w:p>
      <w:pPr>
        <w:pStyle w:val="TextBody"/>
        <w:bidi w:val="0"/>
        <w:spacing w:lineRule="auto" w:line="288" w:before="240" w:after="283"/>
        <w:jc w:val="both"/>
        <w:rPr/>
      </w:pPr>
      <w:r>
        <w:rPr>
          <w:rFonts w:ascii="Times New Roman;serif" w:hAnsi="Times New Roman;serif"/>
          <w:b w:val="false"/>
          <w:i/>
          <w:color w:val="000000"/>
          <w:sz w:val="18"/>
        </w:rPr>
        <w:t>Reinsurance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purchase reinsurance to manage our underwriting risk on certain policies. Reinsurance receivables represent management’s best estimate of loss and LAE recoverable from reinsurers. Reinsurance receivables are estimated using the same methodologies as loss and LAE reserves. Changes in the methods and assumptions used could result in significant variances between actual and estimated losses.</w:t>
      </w:r>
    </w:p>
    <w:p>
      <w:pPr>
        <w:pStyle w:val="TextBody"/>
        <w:bidi w:val="0"/>
        <w:spacing w:lineRule="auto" w:line="288" w:before="240" w:after="283"/>
        <w:jc w:val="both"/>
        <w:rPr/>
      </w:pPr>
      <w:r>
        <w:rPr>
          <w:rFonts w:ascii="Times New Roman;serif" w:hAnsi="Times New Roman;serif"/>
          <w:b w:val="false"/>
          <w:i/>
          <w:color w:val="000000"/>
          <w:sz w:val="18"/>
        </w:rPr>
        <w:t>Deferred Income Taxes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effective tax rate is based on GAAP income at statutory tax rates, adjusted for non-taxable and non-deductible items, and tax credits. Changes in estimates used in preparing the condensed consolidated statements of income and comprehensive income could result in significant changes to our deferred tax asset or liability.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Deferred tax assets or liabilities are recognized for estimated future tax consequences which result in differences between the financial statement carrying amounts of assets and liabilities and their respective tax basis. These assets and liabilities are carried at the enacted tax rates expected to apply when the asset or liability is expected to be recovered or settled. Changes in estimates and assumptions in the condensed consolidated statements of income and comprehensive income, or changes in the enacted tax rate, could result in significant variances between our carried deferred tax and tax recognized on the recovery or settlement of the asset or liability.</w:t>
      </w:r>
    </w:p>
    <w:p>
      <w:pPr>
        <w:pStyle w:val="TextBody"/>
        <w:bidi w:val="0"/>
        <w:spacing w:lineRule="auto" w:line="288" w:before="240" w:after="283"/>
        <w:jc w:val="both"/>
        <w:rPr>
          <w:rFonts w:ascii="Times New Roman;serif" w:hAnsi="Times New Roman;serif"/>
          <w:b w:val="false"/>
          <w:i/>
          <w:color w:val="000000"/>
          <w:sz w:val="18"/>
        </w:rPr>
      </w:pPr>
      <w:r>
        <w:rPr>
          <w:rFonts w:ascii="Times New Roman;serif" w:hAnsi="Times New Roman;serif"/>
          <w:b w:val="false"/>
          <w:i/>
          <w:color w:val="000000"/>
          <w:sz w:val="18"/>
        </w:rPr>
        <w:t>Investments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Bonds are classified as held-to-maturity (“HTM”) or available-for-sale (“AFS”), and stocks are generally classified as AFS. Investments classified as HTM are carried at amortized cost, which requires very little judgement. Investments in stocks classified as AFS are generally carried at fair value with an unrealized gain/loss recorded in net income. Investments in bonds classified as AFS are generally carried at fair value with an unrealized gain/loss recorded in accumulated other comprehensive income. Actual results could vary significantly from the fair values recognized in the condensed consolidated statements of income and comprehensive income.</w:t>
      </w: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Policies in Force and Direct Premiums Written</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See the tables below for our policies in force as of June 30, 2026 and 2025 and direct written premiums for the six months ended June 30, 2026 and 2025. For the six months ended June 30, 2026, our direct written premiums increased by 19.2% compared to the six months ended June 30, 2025, while policies in force increased by 9.9% as of June 30, 2026 as compared to June 30, 2025.</w:t>
      </w:r>
    </w:p>
    <w:tbl>
      <w:tblPr>
        <w:tblW w:w="5884" w:type="dxa"/>
        <w:jc w:val="left"/>
        <w:tblInd w:w="0" w:type="dxa"/>
        <w:tblLayout w:type="fixed"/>
        <w:tblCellMar>
          <w:top w:w="28" w:type="dxa"/>
          <w:left w:w="28" w:type="dxa"/>
          <w:bottom w:w="28" w:type="dxa"/>
          <w:right w:w="28" w:type="dxa"/>
        </w:tblCellMar>
      </w:tblPr>
      <w:tblGrid>
        <w:gridCol w:w="495"/>
        <w:gridCol w:w="434"/>
        <w:gridCol w:w="436"/>
        <w:gridCol w:w="109"/>
        <w:gridCol w:w="109"/>
        <w:gridCol w:w="109"/>
        <w:gridCol w:w="323"/>
        <w:gridCol w:w="323"/>
        <w:gridCol w:w="156"/>
        <w:gridCol w:w="109"/>
        <w:gridCol w:w="109"/>
        <w:gridCol w:w="109"/>
        <w:gridCol w:w="323"/>
        <w:gridCol w:w="323"/>
        <w:gridCol w:w="156"/>
        <w:gridCol w:w="109"/>
        <w:gridCol w:w="109"/>
        <w:gridCol w:w="109"/>
        <w:gridCol w:w="278"/>
        <w:gridCol w:w="278"/>
        <w:gridCol w:w="256"/>
        <w:gridCol w:w="109"/>
        <w:gridCol w:w="109"/>
        <w:gridCol w:w="109"/>
        <w:gridCol w:w="188"/>
        <w:gridCol w:w="188"/>
        <w:gridCol w:w="419"/>
      </w:tblGrid>
      <w:tr>
        <w:trPr/>
        <w:tc>
          <w:tcPr>
            <w:tcW w:w="495"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2"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As of June 30,</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13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Policies In Force</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84,570 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76,925 </w:t>
            </w:r>
          </w:p>
        </w:tc>
        <w:tc>
          <w:tcPr>
            <w:tcW w:w="1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7,645 </w:t>
            </w:r>
          </w:p>
        </w:tc>
        <w:tc>
          <w:tcPr>
            <w:tcW w:w="256"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4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1150"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0"/>
        <w:gridCol w:w="211"/>
        <w:gridCol w:w="366"/>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210"/>
        <w:gridCol w:w="211"/>
        <w:gridCol w:w="419"/>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5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(000’s except percentages)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Change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shd w:fill="FFFFFF" w:val="clear"/>
              </w:rPr>
              <w:t>Percent</w:t>
            </w:r>
            <w:r>
              <w:rPr>
                <w:color w:val="000000"/>
                <w:shd w:fill="FFFFFF" w:val="clear"/>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shd w:fill="FFFFFF" w:val="clear"/>
              </w:rPr>
              <w:t>Change</w:t>
            </w:r>
            <w:r>
              <w:rPr>
                <w:color w:val="000000"/>
                <w:shd w:fill="FFFFFF" w:val="clear"/>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 xml:space="preserve">Percent </w:t>
            </w:r>
          </w:p>
        </w:tc>
      </w:tr>
      <w:tr>
        <w:trPr/>
        <w:tc>
          <w:tcPr>
            <w:tcW w:w="102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18"/>
              </w:rPr>
              <w:t>Direct premiums written</w:t>
            </w:r>
            <w:r>
              <w:rPr>
                <w:rFonts w:ascii="Times New Roman;serif" w:hAnsi="Times New Roman;serif"/>
                <w:b w:val="false"/>
                <w:color w:val="000000"/>
                <w:sz w:val="12"/>
              </w:rPr>
              <w:t>1</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72,494 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61,062 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11,432 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w:t>
            </w:r>
          </w:p>
        </w:tc>
        <w:tc>
          <w:tcPr>
            <w:tcW w:w="36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142,097 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119,237 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22,860 </w:t>
            </w:r>
          </w:p>
        </w:tc>
        <w:tc>
          <w:tcPr>
            <w:tcW w:w="109" w:type="dxa"/>
            <w:tcBorders>
              <w:bottom w:val="sing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19.2</w:t>
            </w:r>
          </w:p>
        </w:tc>
        <w:tc>
          <w:tcPr>
            <w:tcW w:w="419" w:type="dxa"/>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pPr>
      <w:r>
        <w:rPr>
          <w:rFonts w:ascii="Times New Roman;serif" w:hAnsi="Times New Roman;serif"/>
          <w:b w:val="false"/>
          <w:color w:val="000000"/>
          <w:sz w:val="12"/>
        </w:rPr>
        <w:t>1</w:t>
      </w:r>
      <w:r>
        <w:rPr>
          <w:rFonts w:ascii="Times New Roman;serif" w:hAnsi="Times New Roman;serif"/>
          <w:b w:val="false"/>
          <w:color w:val="000000"/>
          <w:sz w:val="18"/>
        </w:rPr>
        <w:t>Direct premiums written is a non-GAAP measure defined above under "Key GAAP and Non-GAAP Measures". See "Non-GAAP Financial Measures" below for a reconciliation of direct premiums written to the GAAP measure of net premiums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Change in Market Dynamics (underway), and 5-Year Growth Plan (underway)</w:t>
      </w:r>
    </w:p>
    <w:p>
      <w:pPr>
        <w:pStyle w:val="TextBody"/>
        <w:bidi w:val="0"/>
        <w:spacing w:lineRule="auto" w:line="256" w:before="240" w:after="283"/>
        <w:ind w:left="0" w:right="0" w:firstLine="360"/>
        <w:jc w:val="both"/>
        <w:rPr/>
      </w:pPr>
      <w:r>
        <w:rPr>
          <w:color w:val="000000"/>
        </w:rPr>
        <w:t>•</w:t>
      </w:r>
      <w:r>
        <w:rPr>
          <w:rFonts w:ascii="Times New Roman;serif" w:hAnsi="Times New Roman;serif"/>
          <w:b w:val="false"/>
          <w:color w:val="000000"/>
          <w:sz w:val="18"/>
        </w:rPr>
        <w:t>Change in Market Dynamics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We refer to the new business described in the next two paragraphs as a Change in Market Dynamics.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2, 2024, two large competitors announced a plan to wind down their personal lines operations in New York State and to non-renew or mid-term cancel their entire book of business before year end 2024. The policyholders of such competitors needed to find alternative coverage. Beginning in the quarter ended September 30, 2024, we began seeing a sizable increase in our policies in force and direct written premiums from these non-renewed and cancelled policies.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has been approved by the New York State Department of Financial Services ("DFS"). This competitor wrote approximately $70 million in written premium. The Withdrawal Plan has enabled KICO to work with new distribution partners to further increase its footprint in Downstate New York by offering an alternative policy to selected homeowners policyholders with effective dates that started in late third quarter of 2025. This transaction is being handled in a similar manner to the paragraph above, except that we are streamlining the process by providing a quote for eligible policyholders to our producers.</w:t>
      </w:r>
    </w:p>
    <w:p>
      <w:pPr>
        <w:pStyle w:val="TextBody"/>
        <w:bidi w:val="0"/>
        <w:spacing w:lineRule="auto" w:line="256" w:before="240" w:after="283"/>
        <w:ind w:left="0" w:right="0" w:firstLine="360"/>
        <w:jc w:val="both"/>
        <w:rPr/>
      </w:pPr>
      <w:r>
        <w:rPr>
          <w:color w:val="000000"/>
        </w:rPr>
        <w:t>•</w:t>
      </w:r>
      <w:r>
        <w:rPr>
          <w:rFonts w:ascii="Times New Roman;serif" w:hAnsi="Times New Roman;serif"/>
          <w:b w:val="false"/>
          <w:color w:val="000000"/>
          <w:sz w:val="18"/>
        </w:rPr>
        <w:t>5-Year Growth Plan</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 2025, we announced our 5-year goal of $500 million in direct written premium by 2029 (the "5-Year Growth Plan"), effectively doubling the size of our company relative to such time. We developed a strategic plan that outlines how we will achieve this goal through a combination of organic initiatives and strategic inorganic opportunities in our core state of New York along with measured geographic expansion into new states. We intend to maintain our focus on our core expertise of insuring catastrophe-exposed properties.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Relative to geographic expansion, we have conducted a thorough study of selected geographies and states with the help of industry-leading third-party advisors and overlaid important lessons learned from our past challenges to ensure that we do not face such challenges again. We plan to pursue prudent growth at a measured pace in our chosen new states, testing and validating rate adequacy commensurate with risk factors in the new geographies. Under our current plan we went live in California in June 2026, and expect to go live in Connecticut in the second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Consolidated Results of Operations</w:t>
      </w:r>
      <w:r>
        <w:rPr>
          <w:color w:val="000000"/>
        </w:rPr>
        <w:t xml:space="preserve"> </w:t>
      </w:r>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Six Months Ended June 30, 2026 Compared to Six Months Ended June 30, 2025</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in the results of our operations (in thousands) for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752"/>
        <w:gridCol w:w="1537"/>
        <w:gridCol w:w="1543"/>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311"/>
        <w:gridCol w:w="315"/>
        <w:gridCol w:w="406"/>
      </w:tblGrid>
      <w:tr>
        <w:trPr/>
        <w:tc>
          <w:tcPr>
            <w:tcW w:w="1752"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4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83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premiums written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4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quota share treaties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(10,743)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(303.2)</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excess of loss treaties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12.2</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catastrophe treaties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268.5 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ceded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(3,285)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(9,302)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154.6 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written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145,382 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28.4</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(68.4)</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reinsurance treaties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(30,447)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net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(29,046)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(23.7)</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16.0</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reinsurance treaties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(33,938)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20.0</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116,336 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89,738 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26,598 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Ceding commission revenue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55.6</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(losses)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(290.0)</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Gain on sale of real estate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(100.0)</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125,629 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102,794 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22,835 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22.2 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and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direct and assumed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55,748 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(44.4)</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ceded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18,540 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74.2 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26.0 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69,505 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45,102 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54.1 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65.5 </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19.4 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113,518 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83,909 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29,609 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35.3 </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(35.9)</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(34.7)</w:t>
            </w:r>
          </w:p>
        </w:tc>
        <w:tc>
          <w:tcPr>
            <w:tcW w:w="40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83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9,662 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15,135 </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(5,473)</w:t>
            </w:r>
          </w:p>
        </w:tc>
        <w:tc>
          <w:tcPr>
            <w:tcW w:w="10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(36.2)</w:t>
            </w:r>
          </w:p>
        </w:tc>
        <w:tc>
          <w:tcPr>
            <w:tcW w:w="406" w:type="dxa"/>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4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lineRule="auto" w:line="288" w:before="240" w:after="283"/>
        <w:ind w:left="0" w:right="0" w:firstLine="720"/>
        <w:jc w:val="left"/>
        <w:rPr>
          <w:rFonts w:ascii="Times New Roman;serif" w:hAnsi="Times New Roman;serif"/>
          <w:b w:val="false"/>
          <w:i/>
          <w:color w:val="000000"/>
          <w:sz w:val="18"/>
        </w:rPr>
      </w:pPr>
      <w:r>
        <w:rPr>
          <w:rFonts w:ascii="Times New Roman;serif" w:hAnsi="Times New Roman;serif"/>
          <w:b w:val="false"/>
          <w:i/>
          <w:color w:val="000000"/>
          <w:sz w:val="18"/>
        </w:rPr>
        <w:t>(Columns in the table above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hanging="900"/>
        <w:jc w:val="left"/>
        <w:rPr>
          <w:rFonts w:ascii="Times New Roman;serif" w:hAnsi="Times New Roman;serif"/>
          <w:b w:val="false"/>
          <w:color w:val="000000"/>
          <w:sz w:val="18"/>
        </w:rPr>
      </w:pPr>
      <w:r>
        <w:rPr>
          <w:rFonts w:ascii="Times New Roman;serif" w:hAnsi="Times New Roman;serif"/>
          <w:b w:val="false"/>
          <w:color w:val="000000"/>
          <w:sz w:val="18"/>
        </w:rPr>
        <w:t>(1)Direct premiums written and net premiums written are non-GAAP measures, defined above under "Key GAAP and Non-GAAP Measures", and reconciled under "Non-GAAP Financial Measures" to the GAAP measure of net premiums earned.</w:t>
      </w:r>
    </w:p>
    <w:p>
      <w:pPr>
        <w:pStyle w:val="TextBody"/>
        <w:bidi w:val="0"/>
        <w:spacing w:lineRule="auto" w:line="288" w:before="240" w:after="283"/>
        <w:ind w:left="0" w:right="0" w:hanging="900"/>
        <w:jc w:val="left"/>
        <w:rPr>
          <w:rFonts w:ascii="Times New Roman;serif" w:hAnsi="Times New Roman;serif"/>
          <w:b w:val="false"/>
          <w:color w:val="000000"/>
          <w:sz w:val="18"/>
        </w:rPr>
      </w:pPr>
      <w:r>
        <w:rPr>
          <w:rFonts w:ascii="Times New Roman;serif" w:hAnsi="Times New Roman;serif"/>
          <w:b w:val="false"/>
          <w:color w:val="000000"/>
          <w:sz w:val="18"/>
        </w:rPr>
        <w:t>(2)For the six months ended June 30, 2025, our personal lines business was subject to a 16% quota share treaty, expiring on January 1, 2026. Effective January 1, 2026, we entered into a 5% personal lines quota share treaty, under a cutoff basis.</w:t>
      </w:r>
    </w:p>
    <w:p>
      <w:pPr>
        <w:pStyle w:val="TextBody"/>
        <w:bidi w:val="0"/>
        <w:spacing w:lineRule="auto" w:line="288" w:before="240" w:after="283"/>
        <w:ind w:left="0" w:right="0" w:hanging="900"/>
        <w:jc w:val="left"/>
        <w:rPr>
          <w:rFonts w:ascii="Times New Roman;serif" w:hAnsi="Times New Roman;serif"/>
          <w:b w:val="false"/>
          <w:color w:val="000000"/>
          <w:sz w:val="18"/>
        </w:rPr>
      </w:pPr>
      <w:r>
        <w:rPr>
          <w:rFonts w:ascii="Times New Roman;serif" w:hAnsi="Times New Roman;serif"/>
          <w:b w:val="false"/>
          <w:color w:val="000000"/>
          <w:sz w:val="18"/>
        </w:rPr>
        <w:t xml:space="preserve">(3)The six months ended June 30, 2026 and 2025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w:t>
      </w:r>
    </w:p>
    <w:tbl>
      <w:tblPr>
        <w:tblW w:w="6529" w:type="dxa"/>
        <w:jc w:val="left"/>
        <w:tblInd w:w="0" w:type="dxa"/>
        <w:tblLayout w:type="fixed"/>
        <w:tblCellMar>
          <w:top w:w="28" w:type="dxa"/>
          <w:left w:w="28" w:type="dxa"/>
          <w:bottom w:w="28" w:type="dxa"/>
          <w:right w:w="28" w:type="dxa"/>
        </w:tblCellMar>
      </w:tblPr>
      <w:tblGrid>
        <w:gridCol w:w="835"/>
        <w:gridCol w:w="735"/>
        <w:gridCol w:w="739"/>
        <w:gridCol w:w="210"/>
        <w:gridCol w:w="211"/>
        <w:gridCol w:w="256"/>
        <w:gridCol w:w="109"/>
        <w:gridCol w:w="109"/>
        <w:gridCol w:w="109"/>
        <w:gridCol w:w="210"/>
        <w:gridCol w:w="211"/>
        <w:gridCol w:w="256"/>
        <w:gridCol w:w="109"/>
        <w:gridCol w:w="109"/>
        <w:gridCol w:w="109"/>
        <w:gridCol w:w="324"/>
        <w:gridCol w:w="324"/>
        <w:gridCol w:w="326"/>
        <w:gridCol w:w="109"/>
        <w:gridCol w:w="109"/>
        <w:gridCol w:w="109"/>
        <w:gridCol w:w="233"/>
        <w:gridCol w:w="233"/>
        <w:gridCol w:w="445"/>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0"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Percentage </w:t>
              <w:br/>
              <w:t xml:space="preserve">Point </w:t>
              <w:br/>
              <w:t>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Percent </w:t>
              <w:br/>
              <w:t>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Key ratios:</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4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4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3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4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both"/>
        <w:rPr/>
      </w:pPr>
      <w:r>
        <w:rPr>
          <w:rFonts w:ascii="Times New Roman;serif" w:hAnsi="Times New Roman;serif"/>
          <w:b w:val="false"/>
          <w:color w:val="000000"/>
          <w:sz w:val="18"/>
          <w:u w:val="single"/>
        </w:rPr>
        <w:t>Direct Premiums Written(1)</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Direct premiums written during the six months ended June 30, 2026 (“Six Months of 2026”) were $142,097,000 compared to $119,237,000 during the six months ended June 30, 2025 (“Six Months of 2025”). The increase of $22,860,000, or 19.2%, was primarily due to an increase in premiums from our personal lines business. Direct premiums written from our personal lines business for the Six Months of 2026 were $134,890,000, an increase of $22,822,000, or 20.4%, from $112,068,000 in the Six Months of 2025. The 20.4% increase in premiums from our personal lines business was primarily due to organic growth, an increase in retention, and an increase in average premiums primarily from an increase in replacement costs.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Direct premiums written from our livery physical damage business for the Six Months of 2026 were $7,180,000, an increase of $43,000, or 0.6%, from $7,137,000 in the Six Months of 2025. The increase in direct premiums written for livery physical damage was due to an increase in the values of the autos insured offset by a decrease in policies in force. </w:t>
        <w:br/>
        <w:t>___________________</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(1) Direct premiums written is a non-GAAP measure, defined above under "Key GAAP and Non-GAAP Measures", and reconciled under "Non-GAAP Financial Measures" to the GAAP measure of net premiums earned. </w:t>
      </w:r>
    </w:p>
    <w:p>
      <w:pPr>
        <w:pStyle w:val="TextBody"/>
        <w:bidi w:val="0"/>
        <w:spacing w:lineRule="auto" w:line="288" w:before="240" w:after="283"/>
        <w:jc w:val="both"/>
        <w:rPr/>
      </w:pPr>
      <w:r>
        <w:rPr>
          <w:rFonts w:ascii="Times New Roman;serif" w:hAnsi="Times New Roman;serif"/>
          <w:b w:val="false"/>
          <w:color w:val="000000"/>
          <w:sz w:val="18"/>
          <w:u w:val="single"/>
        </w:rPr>
        <w:t>Net Premiums Written(1) and Net Premiums Earned</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premiums written increased $32,162,000, or 28.4%, to $145,382,000 in the Six Months of 2026 from $113,220,000 in the Six Months of 2025. Net premiums written represent direct premiums written, less the amount of written premiums ceded under our reinsurance treaties (quota share, excess of loss, and catastrophe). The increase in the Six Months of 2026 is primarily due to changes to our personal lines quota share reinsurance treaty resulting in an increase in retention, the additional premiums due to organic growth, and an increase in average premiums primarily from an increase in replacement costs. See quota share reinsurance treaties discussion below.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___________________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(1) Net premiums written is a non-GAAP measure, defined above under "Key GAAP and Non-GAAP Measures", and reconciled under "Non-GAAP Financial Measures" to the GAAP measure of net premiums earned.</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Quota share reinsurance treaties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Effective January 1, 2025, we entered into a 16% quota share reinsurance treaty for our personal lines business, covering the period from January 1, 2025 through January 1, 2026 (“2025/2026 Treaty”). Upon expiration of the 2025/2026 Treaty on January 1, 2026, we entered into a new 5% quota share reinsurance treaty for our personal lines business written in all states except California (for which we entered into a new 30% quota share reinsurance treaty) covering the period from January 1, 2026 through January 1, 2027 (“2026/2027 Treaty”). Our personal lines business was subject to the 2026/2027 Treaty in the Six Months of 2026, and the 2025/2026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Treaty in the Six Months of 2025. In the Six Months of 2026, our premiums ceded under quota share treaties decreased by $10,743,000 in comparison to premiums ceded under quota share treaties in the Six Months of 2025 (see table above). The decrease in the Six Months of 2026 was attributable to the decrease in the quota share ceding percentage rate, offset by an increase in direct written premiums subject to the 2026/2027 Treaty compared to direct premiums written subject to the 2025/2026 Treaty. The inception of the 2026/2027 Treaty was recorded as a cutoff, resulting in the return of $13,277,000 from reinsurers to us of previously ceded premiums written that were unearned as of January 1, 2026. The inception of the 2025/2026 Treaty was recorded as a cutoff, resulting in the return of $11,471,000 from reinsurers to us of previously ceded premiums written that were unearned as of January 1, 2025.</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Excess of loss reinsurance treaties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the Six Months of 2026, our ceded excess of loss reinsurance premiums increased $351,000 compared to the ceded excess of loss premiums for the Six Months of 2025. Effective January 1, 2025, we renewed an underlying excess of loss reinsurance treaty (the “Underlying XOL Treaty”) covering the period from January 1, 2025 through June 30, 2025. The Underlying XOL Treaty provided 50% reinsurance coverage for losses of $400,000 in excess of $600,000. Losses from named storms were excluded from the Underlying XOL Treaty.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Retention was increased to $825,000 from $715,000 under the 2025/2026 Treaty. </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Catastrophe reinsurance treaties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respectively. The 2025/2026 Catastrophe Treaty covers 80% of losses on the first layer of 5,000,000 in excess of $5,000,000 (catastrophe coverage of $4,000,000), and losses of $440,000,000 in excess of $10,000,000 (catastrophe coverage of $430,000,000), for a total catastrophe coverage of $434,000,000. The 2024/2025 Catastrophe Treaty covered 95% of losses on the first layer of $5,000,000 in excess of $5,000,000 (catastrophe coverage of $4,750,000), and losses of $280,000,000 in excess of $10,000,000 (catastrophe coverage of $270,000,000), for a total catastrophe coverage of $274,750,000. Catastrophe coverage under the 2025/2026 Catastrophe Treaty increased by $159,250,000 compared to the 2024/2025 Catastrophe Treaty. As a result of recording the entire annual catastrophe premiums at the inception of the treaties, catastrophe premiums in subsequent quarters would be due to premium adjustments. In the Six Months of 2026, our premiums ceded under our catastrophe treaties was $684,000 in comparison to negative $406,000 ceded under catastrophe treaties in the Six Months of 2025 (see table above). The premiums in the Six Months of 2026 was due to reinstatement premiums related to winter catastrophe losses, offset by a no loss bonus from one of our reinsurers. The negative premiums in the Six Months of 2025 was due to a no loss bonus from one of our reinsurers.</w:t>
      </w:r>
    </w:p>
    <w:p>
      <w:pPr>
        <w:pStyle w:val="TextBody"/>
        <w:bidi w:val="0"/>
        <w:spacing w:lineRule="auto" w:line="288" w:before="240" w:after="283"/>
        <w:jc w:val="left"/>
        <w:rPr/>
      </w:pPr>
      <w:r>
        <w:rPr>
          <w:rFonts w:ascii="Times New Roman;serif" w:hAnsi="Times New Roman;serif"/>
          <w:b w:val="false"/>
          <w:color w:val="000000"/>
          <w:sz w:val="18"/>
          <w:u w:val="single"/>
        </w:rPr>
        <w:t>Net premiums earned</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18"/>
        </w:rPr>
        <w:t>Net premiums earned increased $26,598,000, or 29.6%, to $116,336,000 in the Six Months of 2026 from $89,738,000</w:t>
      </w:r>
      <w:r>
        <w:rPr>
          <w:color w:val="000000"/>
        </w:rPr>
        <w:t xml:space="preserve"> </w:t>
      </w:r>
      <w:r>
        <w:rPr>
          <w:rFonts w:ascii="Times New Roman;serif" w:hAnsi="Times New Roman;serif"/>
          <w:b w:val="false"/>
          <w:color w:val="000000"/>
          <w:sz w:val="18"/>
        </w:rPr>
        <w:t>in the Six Months of 2025. The increase was due an increase in retention related to the 11 percentage point reduction in quota share rates discussed above, and the increase in premiums from organic growth, partially offset by an increase in catastrophe premiums due to the increase in catastrophe coverage reflected in ceded catastrophe premiums earned.</w:t>
      </w:r>
    </w:p>
    <w:p>
      <w:pPr>
        <w:pStyle w:val="TextBody"/>
        <w:bidi w:val="0"/>
        <w:spacing w:lineRule="auto" w:line="288" w:before="240" w:after="283"/>
        <w:jc w:val="both"/>
        <w:rPr/>
      </w:pPr>
      <w:r>
        <w:rPr>
          <w:rFonts w:ascii="Times New Roman;serif" w:hAnsi="Times New Roman;serif"/>
          <w:b w:val="false"/>
          <w:color w:val="000000"/>
          <w:sz w:val="18"/>
          <w:u w:val="single"/>
        </w:rPr>
        <w:t>Ceding Commission Revenue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in the components of ceding commission revenue (in thousands) for the periods indicated: </w:t>
      </w:r>
    </w:p>
    <w:tbl>
      <w:tblPr>
        <w:tblW w:w="7866" w:type="dxa"/>
        <w:jc w:val="left"/>
        <w:tblInd w:w="0" w:type="dxa"/>
        <w:tblLayout w:type="fixed"/>
        <w:tblCellMar>
          <w:top w:w="28" w:type="dxa"/>
          <w:left w:w="28" w:type="dxa"/>
          <w:bottom w:w="28" w:type="dxa"/>
          <w:right w:w="28" w:type="dxa"/>
        </w:tblCellMar>
      </w:tblPr>
      <w:tblGrid>
        <w:gridCol w:w="1058"/>
        <w:gridCol w:w="930"/>
        <w:gridCol w:w="937"/>
        <w:gridCol w:w="109"/>
        <w:gridCol w:w="109"/>
        <w:gridCol w:w="109"/>
        <w:gridCol w:w="196"/>
        <w:gridCol w:w="556"/>
        <w:gridCol w:w="109"/>
        <w:gridCol w:w="109"/>
        <w:gridCol w:w="109"/>
        <w:gridCol w:w="109"/>
        <w:gridCol w:w="196"/>
        <w:gridCol w:w="556"/>
        <w:gridCol w:w="109"/>
        <w:gridCol w:w="109"/>
        <w:gridCol w:w="109"/>
        <w:gridCol w:w="109"/>
        <w:gridCol w:w="196"/>
        <w:gridCol w:w="631"/>
        <w:gridCol w:w="109"/>
        <w:gridCol w:w="109"/>
        <w:gridCol w:w="109"/>
        <w:gridCol w:w="109"/>
        <w:gridCol w:w="277"/>
        <w:gridCol w:w="279"/>
        <w:gridCol w:w="419"/>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Provisional ceding commissions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ceding commissions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151.3 </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2,937 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(3,103)</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(51.4)</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0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Ceding commission revenue was $2,937,000 in the Six Months of 2026 compared to $6,040,000 in the Six Months of 2025. The decrease of $3,103,000 is explained below in the discussion of provisional ceding commissions earned and contingent ceding commissions earned. </w:t>
      </w:r>
    </w:p>
    <w:p>
      <w:pPr>
        <w:pStyle w:val="TextBody"/>
        <w:bidi w:val="0"/>
        <w:spacing w:lineRule="auto" w:line="288" w:before="240" w:after="283"/>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Provisional Ceding Commissions Earned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the Six Months of 2026, we earned provisional ceding commissions of $2,629,000 from personal lines earned premiums ceded under the 2026/2027 Treaty, and in the Six Months of 2025, we earned provisional ceding commissions of $6,640,000 from personal lines earned premiums ceded under the 2025/2026 Treaty. The decrease of $4,011,000 in provisional ceding commissions earned was due to the decrease in premiums ceded under these treaties during the Six Months of 2026 compared to the Six Months of 2025, offset by an increase in ceding commission rates under the 2026/2027 Treaty. </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Contingent Ceding Commissions Earned</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 The structure of the 2026/2027 Treaty calls for a fixed provisional ceding commission with no opportunity to earn additional contingent ceding commissions. </w:t>
      </w:r>
    </w:p>
    <w:p>
      <w:pPr>
        <w:pStyle w:val="TextBody"/>
        <w:bidi w:val="0"/>
        <w:spacing w:lineRule="auto" w:line="288" w:before="240" w:after="283"/>
        <w:jc w:val="both"/>
        <w:rPr/>
      </w:pPr>
      <w:r>
        <w:rPr>
          <w:rFonts w:ascii="Times New Roman;serif" w:hAnsi="Times New Roman;serif"/>
          <w:b w:val="false"/>
          <w:color w:val="000000"/>
          <w:sz w:val="18"/>
          <w:u w:val="single"/>
        </w:rPr>
        <w:t>Net Investment Income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investment income was $6,766,000 in the Six Months of 2026 compared to $4,349,000 in the Six Months of 2025, an increase of $2,417,000, or 55.6%, primarily due to an increase in cash generated from operations invested in fixed-income securities and an increase in average yield on non-cash invested assets. The average yield on non-cash invested assets was 4.4% as of June 30, 2026 compared to 4.0% as of June 30, 2025.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Cash and invested assets were $350,981,000 as of June 30, 2026 compared to $273,550,000 as of June 30, 2025, an increase of $77,431,000, primarily driven by cash flows from operations.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Net (Losses) Gains on Investments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losses on investments were $775,000 in the Six Months of 2026 compared to net gains on investments of $408,000 in the Six Months of 2025. Unrealized losses on our equity securities and other investments in the Six Months of 2026 were $570,000, compared to unrealized gains on our equity securities and other investments of $414,000 in the Six Months of 2025. Net realized losses on sales of investments were $205,000 in the Six Months of 2026 compared to net realized losses on sales of investments of $6,000 in the Six Months of 2025. </w:t>
      </w:r>
    </w:p>
    <w:p>
      <w:pPr>
        <w:pStyle w:val="TextBody"/>
        <w:bidi w:val="0"/>
        <w:spacing w:lineRule="auto" w:line="288" w:before="240" w:after="283"/>
        <w:jc w:val="both"/>
        <w:rPr/>
      </w:pPr>
      <w:r>
        <w:rPr>
          <w:rFonts w:ascii="Times New Roman;serif" w:hAnsi="Times New Roman;serif"/>
          <w:b w:val="false"/>
          <w:color w:val="000000"/>
          <w:sz w:val="18"/>
          <w:u w:val="single"/>
        </w:rPr>
        <w:t>Gain on Sale of Real Estate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Gain on sale of real estate was $0 in the Six Months of 2026 compared to $1,966,000 in the Six Months of 2025. On March 19, 2025 one of our subsidiaries closed on the sale of our headquarters building in Kingston, New York, along with an adjacent mixed-use property (collectively, the “Property”). The purchase price for the Property was $3,600,000. We are now renting a smaller facility in Kingston, New York.</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Other Income</w:t>
      </w:r>
    </w:p>
    <w:p>
      <w:pPr>
        <w:pStyle w:val="TextBody"/>
        <w:bidi w:val="0"/>
        <w:spacing w:lineRule="auto" w:line="288" w:before="240" w:after="283"/>
        <w:ind w:left="0" w:right="0" w:firstLine="612"/>
        <w:jc w:val="both"/>
        <w:rPr>
          <w:rFonts w:ascii="Times New Roman;serif" w:hAnsi="Times New Roman;serif"/>
          <w:b w:val="false"/>
          <w:color w:val="000000"/>
          <w:sz w:val="18"/>
        </w:rPr>
      </w:pPr>
      <w:r>
        <w:rPr>
          <w:rFonts w:ascii="Times New Roman;serif" w:hAnsi="Times New Roman;serif"/>
          <w:b w:val="false"/>
          <w:color w:val="000000"/>
          <w:sz w:val="18"/>
        </w:rPr>
        <w:t xml:space="preserve">Other income was $365,000 in the Six Months of 2026 compared to $292,000 in the Six Months of 2025, an increase of $73,000, or 25.0%. </w:t>
      </w:r>
    </w:p>
    <w:p>
      <w:pPr>
        <w:pStyle w:val="TextBody"/>
        <w:bidi w:val="0"/>
        <w:spacing w:lineRule="auto" w:line="288" w:before="240" w:after="283"/>
        <w:jc w:val="both"/>
        <w:rPr/>
      </w:pPr>
      <w:r>
        <w:rPr>
          <w:rFonts w:ascii="Times New Roman;serif" w:hAnsi="Times New Roman;serif"/>
          <w:b w:val="false"/>
          <w:color w:val="000000"/>
          <w:sz w:val="18"/>
          <w:u w:val="single"/>
        </w:rPr>
        <w:t>Net Loss and LAE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loss and LAE was $69,505,000 for the Six Months of 2026 compared to $45,102,000 for the Six Months of 2025. The net loss ratio was 59.7% in the Six Months of 2026 compared to 50.3% in the Six Months of 2025, an increase of 9.4 percentage points. </w:t>
      </w:r>
    </w:p>
    <w:p>
      <w:pPr>
        <w:pStyle w:val="TextBody"/>
        <w:bidi w:val="0"/>
        <w:spacing w:before="0" w:after="0"/>
        <w:ind w:left="0" w:right="0" w:firstLine="675"/>
        <w:jc w:val="left"/>
        <w:rPr/>
      </w:pPr>
      <w:r>
        <w:rPr/>
      </w:r>
    </w:p>
    <w:p>
      <w:pPr>
        <w:pStyle w:val="TextBody"/>
        <w:bidi w:val="0"/>
        <w:spacing w:lineRule="auto" w:line="268" w:before="0" w:after="0"/>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The higher net loss ratio in the Six Months of 2026 is due to a greater impact from catastrophes, in particular several large winter storm catastrophe events from January and February. The largest of these events was an extended period of subfreezing temperatures in early February resulting in a large number of pipe freeze claims. The total net catastrophe impact for the Six Months of 2026 was $14,006,000, which contributed 12.0 points to the net loss ratio. By comparison, the catastrophe impact for the Six Months of 2025 was 1.2 points. Favorable prior year reserve development decreased the net loss ratio by 2.5 points during the Six Months of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as compared to decreasing the net loss ratio by 0.9 points during the Six Months of 2025. For the Six Months of 2026, property claims overall developed better than expected, driven primarily by reserve takedowns on several fire and water damage claims from accident years 2024 and 2025 as well as a large subrogation recovery on a water damage claim from accident year 2023, resulting in favorable development. For the Six Months of 2025, the favorable prior year development was attributable to reserve takedowns on several fire and water damage claims from accident years 2022 through 2024 as well as a large subrogation recovery on a water damage claim from accident year 2022.</w:t>
      </w:r>
    </w:p>
    <w:p>
      <w:pPr>
        <w:pStyle w:val="TextBody"/>
        <w:bidi w:val="0"/>
        <w:spacing w:before="0" w:after="0"/>
        <w:ind w:left="0" w:right="0" w:firstLine="675"/>
        <w:jc w:val="both"/>
        <w:rPr/>
      </w:pPr>
      <w:r>
        <w:rPr/>
      </w:r>
    </w:p>
    <w:p>
      <w:pPr>
        <w:pStyle w:val="TextBody"/>
        <w:bidi w:val="0"/>
        <w:spacing w:lineRule="auto" w:line="268" w:before="0" w:after="0"/>
        <w:ind w:left="0" w:right="0" w:firstLine="675"/>
        <w:jc w:val="both"/>
        <w:rPr/>
      </w:pPr>
      <w:r>
        <w:rPr>
          <w:rFonts w:ascii="Times New Roman;serif" w:hAnsi="Times New Roman;serif"/>
          <w:b w:val="false"/>
          <w:color w:val="000000"/>
          <w:sz w:val="18"/>
        </w:rPr>
        <w:t>The underlying loss ratio</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(loss ratio excluding the impact of catastrophes and prior year reserve development) was 50.2% for the Six Months of 2026, a small increase of 0.2 points from the 50.0% underlying loss ratio recorded for the Six Months of 2025. The non-catastrophe loss frequency remained low for the Six Months of 2026, with continued discipline in underwriting. Overall personal lines non-catastrophe severity for the Six Months of 2026 was slightly higher than for the Six Months of 2025. The increase was generally in line with inflation and was offset by higher average premium per policy.</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(1) Underlying loss ratio is a non-GAAP ratio, which is computed as the GAAP net loss ratio excluding the effect of prior year loss reserve development and catastrophe losses. See "Non-GAAP Financial Measures" for a reconciliation of underlying loss ratio to the GAAP measure of net loss ratio.</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See table below under “Additional Financial Information” summarizing net loss ratios by line of business. </w:t>
      </w:r>
    </w:p>
    <w:p>
      <w:pPr>
        <w:pStyle w:val="TextBody"/>
        <w:bidi w:val="0"/>
        <w:spacing w:lineRule="auto" w:line="276"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Commission Expense</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Commission expense was $21,769,000 in the Six Months of 2026 or 15.2% of direct earned premiums. Commission expense was $19,943,000 in the Six Months of 2025 or 16.1% of direct earned premiums The increase of $1,826,000 in the Six Months of 2026 compared to the Six Months of 2025 was primarily due to an increase in direct earned premiums of $19,822,000, partially offset by a decrease of $725,000 for an accrual of estimated contingent commission based on the profitability of the business.</w:t>
      </w:r>
    </w:p>
    <w:p>
      <w:pPr>
        <w:pStyle w:val="TextBody"/>
        <w:bidi w:val="0"/>
        <w:spacing w:lineRule="auto" w:line="288" w:before="240" w:after="283"/>
        <w:jc w:val="both"/>
        <w:rPr/>
      </w:pPr>
      <w:r>
        <w:rPr>
          <w:rFonts w:ascii="Times New Roman;serif" w:hAnsi="Times New Roman;serif"/>
          <w:b w:val="false"/>
          <w:color w:val="000000"/>
          <w:sz w:val="18"/>
          <w:u w:val="single"/>
        </w:rPr>
        <w:t>Other Underwriting Expenses</w:t>
      </w:r>
      <w:r>
        <w:rPr>
          <w:color w:val="000000"/>
        </w:rPr>
        <w:t xml:space="preserve">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Other underwriting expenses were $17,016,000 in the Six Months of 2026 compared to $15,133,000 in the Six Months of 2025. The increase of $1,883,000, or 12.4%, was primarily due to increases in salaries and employment costs as described below, an increase in premium taxes due to the growth in direct earned premiums, and an increase in DFS regulatory fees.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largest single component of other underwriting expenses is salaries and employment costs, with costs of $8,153,000 in the Six Months of 2026 compared to $7,432,000 in the Six Months of 2025. Salaries and employment costs were 7.0 points of the net underwriting expense ratio in the Six Months of 2026, a reduction of 1.3 points from 8.3 points in the Six Months of 2025 primarily due to the economies of scale with the increase in net premiums earned. The dollar increase in salaries and employment costs was due to annual salary increases, and strengthening of our professional team by investing in hiring talent with insurance industry experience due to the growth in premiums written and anticipated new business in accordance with our 5-Year Growth Plan.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net underwriting expense ratio in the Six Months of 2026 was 30.5%, compared with 32.0% in the Six Months of 2025. The following table shows the individual components of our net underwriting expense ratio for the periods indicated: </w:t>
      </w:r>
    </w:p>
    <w:tbl>
      <w:tblPr>
        <w:tblW w:w="6405" w:type="dxa"/>
        <w:jc w:val="left"/>
        <w:tblInd w:w="0" w:type="dxa"/>
        <w:tblLayout w:type="fixed"/>
        <w:tblCellMar>
          <w:top w:w="28" w:type="dxa"/>
          <w:left w:w="28" w:type="dxa"/>
          <w:bottom w:w="28" w:type="dxa"/>
          <w:right w:w="28" w:type="dxa"/>
        </w:tblCellMar>
      </w:tblPr>
      <w:tblGrid>
        <w:gridCol w:w="1075"/>
        <w:gridCol w:w="946"/>
        <w:gridCol w:w="949"/>
        <w:gridCol w:w="231"/>
        <w:gridCol w:w="235"/>
        <w:gridCol w:w="298"/>
        <w:gridCol w:w="127"/>
        <w:gridCol w:w="127"/>
        <w:gridCol w:w="127"/>
        <w:gridCol w:w="231"/>
        <w:gridCol w:w="235"/>
        <w:gridCol w:w="298"/>
        <w:gridCol w:w="109"/>
        <w:gridCol w:w="109"/>
        <w:gridCol w:w="109"/>
        <w:gridCol w:w="227"/>
        <w:gridCol w:w="227"/>
        <w:gridCol w:w="745"/>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Percentage</w:t>
              <w:br/>
              <w:t>Point Change</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Employment costs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2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fees (inspections/surveys)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IT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745"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underwriting expenses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9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7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745"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ceding commission revenue</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7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298"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74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pPr>
      <w:r>
        <w:rPr>
          <w:rFonts w:ascii="Times New Roman;serif" w:hAnsi="Times New Roman;serif"/>
          <w:b w:val="false"/>
          <w:i/>
          <w:color w:val="000000"/>
          <w:sz w:val="18"/>
        </w:rPr>
        <w:t>(Components may not sum to totals due to rounding)</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u w:val="single"/>
        </w:rPr>
        <w:t>Other Operating Expenses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Other operating expenses were $3,623,000 for the Six Months of 2026 compared to $2,189,000 for the Six Months of 2025. The following table shows a breakdown of the significant components of other operating expenses for the periods indicated: </w:t>
      </w:r>
    </w:p>
    <w:tbl>
      <w:tblPr>
        <w:tblW w:w="7576" w:type="dxa"/>
        <w:jc w:val="left"/>
        <w:tblInd w:w="0" w:type="dxa"/>
        <w:tblLayout w:type="fixed"/>
        <w:tblCellMar>
          <w:top w:w="28" w:type="dxa"/>
          <w:left w:w="28" w:type="dxa"/>
          <w:bottom w:w="28" w:type="dxa"/>
          <w:right w:w="28" w:type="dxa"/>
        </w:tblCellMar>
      </w:tblPr>
      <w:tblGrid>
        <w:gridCol w:w="851"/>
        <w:gridCol w:w="749"/>
        <w:gridCol w:w="754"/>
        <w:gridCol w:w="109"/>
        <w:gridCol w:w="109"/>
        <w:gridCol w:w="109"/>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313"/>
        <w:gridCol w:w="317"/>
        <w:gridCol w:w="701"/>
      </w:tblGrid>
      <w:tr>
        <w:trPr/>
        <w:tc>
          <w:tcPr>
            <w:tcW w:w="85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Percent </w:t>
            </w:r>
          </w:p>
        </w:tc>
      </w:tr>
      <w:tr>
        <w:trPr/>
        <w:tc>
          <w:tcPr>
            <w:tcW w:w="2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121.3</w:t>
            </w:r>
          </w:p>
        </w:tc>
        <w:tc>
          <w:tcPr>
            <w:tcW w:w="70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40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60.3 </w:t>
            </w:r>
          </w:p>
        </w:tc>
        <w:tc>
          <w:tcPr>
            <w:tcW w:w="70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400"/>
              <w:jc w:val="right"/>
              <w:rPr>
                <w:rFonts w:ascii="Times New Roman;serif" w:hAnsi="Times New Roman;serif"/>
                <w:b w:val="false"/>
                <w:color w:val="000000"/>
                <w:sz w:val="18"/>
              </w:rPr>
            </w:pPr>
            <w:r>
              <w:rPr>
                <w:rFonts w:ascii="Times New Roman;serif" w:hAnsi="Times New Roman;serif"/>
                <w:b w:val="false"/>
                <w:color w:val="000000"/>
                <w:sz w:val="18"/>
              </w:rPr>
              <w:t>NM</w:t>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701" w:type="dxa"/>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7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w:t>
            </w:r>
          </w:p>
        </w:tc>
        <w:tc>
          <w:tcPr>
            <w:tcW w:w="70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65.5</w:t>
            </w:r>
          </w:p>
        </w:tc>
        <w:tc>
          <w:tcPr>
            <w:tcW w:w="7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left"/>
        <w:rPr>
          <w:rFonts w:ascii="Times New Roman;serif" w:hAnsi="Times New Roman;serif"/>
          <w:b w:val="false"/>
          <w:i/>
          <w:color w:val="000000"/>
          <w:sz w:val="16"/>
        </w:rPr>
      </w:pPr>
      <w:r>
        <w:rPr>
          <w:rFonts w:ascii="Times New Roman;serif" w:hAnsi="Times New Roman;serif"/>
          <w:b w:val="false"/>
          <w:i/>
          <w:color w:val="000000"/>
          <w:sz w:val="16"/>
        </w:rPr>
        <w:t>NM=Not Meaningful</w:t>
      </w:r>
    </w:p>
    <w:p>
      <w:pPr>
        <w:pStyle w:val="TextBody"/>
        <w:bidi w:val="0"/>
        <w:spacing w:lineRule="auto" w:line="288" w:before="240" w:after="283"/>
        <w:jc w:val="center"/>
        <w:rPr/>
      </w:pPr>
      <w:r>
        <w:rPr>
          <w:rFonts w:ascii="Times New Roman;serif" w:hAnsi="Times New Roman;serif"/>
          <w:b w:val="false"/>
          <w:i/>
          <w:color w:val="000000"/>
          <w:sz w:val="18"/>
        </w:rPr>
        <w:t>(Components may not sum to totals due to rounding)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The increase in the Six Months of 2026 of $1,434,000, or 65.5%, as compared to the Six Months of 2025 was primarily due to an increase in equity compensation and professional fees, partially offset by a decrease in loss on extinguishment of debt. The increase in equity compensation is due to additional restricted stock awards granted to our senior leadership team as of December 31, 2025 pursuant to our employee bonus plan, and to our CEO and CFO pursuant to their respective employment agreements. The increase in professional fees is due to legal fees incurred related to board level projects and additional accounting expenses incurred related to our new requirement for the audit of our internal control over financial reporting. The reduction in loss on extinguishment of debt loss is due to writing off the balance of unamortized debt issue costs upon the prepayment of the 2024 Notes in the Six Months of 2025 as disclosed in Note 7 to the condensed consolidated financial statements.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was $1,477,000 in the Six Months of 2026 compared to $1,237,000 in the Six Months of 2025. The increase of $240,000, or 19.4%, in depreciation and amortization was primarily due to the difference between additional depreciation on software acquired compared to software being fully depreciated. </w:t>
      </w:r>
    </w:p>
    <w:p>
      <w:pPr>
        <w:pStyle w:val="TextBody"/>
        <w:bidi w:val="0"/>
        <w:spacing w:lineRule="auto" w:line="288" w:before="240" w:after="283"/>
        <w:jc w:val="both"/>
        <w:rPr/>
      </w:pPr>
      <w:r>
        <w:rPr>
          <w:rFonts w:ascii="Times New Roman;serif" w:hAnsi="Times New Roman;serif"/>
          <w:b w:val="false"/>
          <w:color w:val="000000"/>
          <w:sz w:val="18"/>
          <w:u w:val="single"/>
        </w:rPr>
        <w:t>Interest Expense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Interest expense in the Six Months of 2026 was $129,000 compared to $305,000 in the Six Months of 2025, a decrease of $176,000 or 57.7%. In the Six Months of 2025, as disclosed in Note 7 to the condensed consolidated financial statements, we incurred interest expense in connection with the 2024 Notes which were paid off in the first quarter of 2025. In addition, we also incurred interest expense on the 2022 equipment financing. </w:t>
      </w:r>
    </w:p>
    <w:p>
      <w:pPr>
        <w:pStyle w:val="TextBody"/>
        <w:bidi w:val="0"/>
        <w:spacing w:lineRule="auto" w:line="288" w:before="240" w:after="283"/>
        <w:jc w:val="both"/>
        <w:rPr/>
      </w:pPr>
      <w:r>
        <w:rPr>
          <w:rFonts w:ascii="Times New Roman;serif" w:hAnsi="Times New Roman;serif"/>
          <w:b w:val="false"/>
          <w:color w:val="000000"/>
          <w:sz w:val="18"/>
          <w:u w:val="single"/>
        </w:rPr>
        <w:t>Income Tax Expense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Income tax expense in the Six Months of 2026 was $2,449,000, which resulted in an effective tax rate of 20.2%. Income tax expense in the Six Months of 2025 was $3,750,000, which resulted in an effective tax rate of 19.9%. The difference in effective tax rate is due to the effect of permanent differences in the Six Months of 2026 compared to the Six Months of 2025. In the Six Months of 2026, the vesting of restricted stock awards and exercise of stock options resulted in an income tax benefit, due to the increase in the stock price on the vesting date and exercise date as compared to the grant date, which had the effect of reducing the effective tax rate. In the Six Months of 2025, the vesting of restricted stock awards and exercise of stock options resulted in an income tax benefit, due to the increase in the stock price on the vesting date and exercise date as compared to the grant date, which had the effect of reducing the effective tax rate. In the Six Months of 2026, the increase in stock price was not as great as the increase in the Six Months of 2025 on the vesting of restricted stock awards, resulting in a lower tax benefit, which had the effect of increasing the effective tax rate when compared to the prior year.</w:t>
      </w:r>
    </w:p>
    <w:p>
      <w:pPr>
        <w:pStyle w:val="TextBody"/>
        <w:bidi w:val="0"/>
        <w:spacing w:lineRule="auto" w:line="288" w:before="240" w:after="283"/>
        <w:jc w:val="both"/>
        <w:rPr/>
      </w:pPr>
      <w:r>
        <w:rPr>
          <w:rFonts w:ascii="Times New Roman;serif" w:hAnsi="Times New Roman;serif"/>
          <w:b w:val="false"/>
          <w:color w:val="000000"/>
          <w:sz w:val="18"/>
          <w:u w:val="single"/>
        </w:rPr>
        <w:t>Net Income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was $9,662,000 in the Six Months of 2026 compared to net income of $15,135,000 in the Six Months of 2025. The decrease in net income of $5,473,000 was due to the items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i/>
          <w:color w:val="000000"/>
          <w:sz w:val="18"/>
        </w:rPr>
      </w:pPr>
      <w:r>
        <w:rPr>
          <w:rFonts w:ascii="Times New Roman;serif" w:hAnsi="Times New Roman;serif"/>
          <w:b/>
          <w:i/>
          <w:color w:val="000000"/>
          <w:sz w:val="18"/>
        </w:rPr>
        <w:t>Three Months Ended June 30, 2026 Compared to Three Months Ended June 30, 2025</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in the results of our operations (in thousands) for the periods indicated: </w:t>
      </w:r>
    </w:p>
    <w:tbl>
      <w:tblPr>
        <w:tblW w:w="10205" w:type="dxa"/>
        <w:jc w:val="left"/>
        <w:tblInd w:w="0" w:type="dxa"/>
        <w:tblLayout w:type="fixed"/>
        <w:tblCellMar>
          <w:top w:w="28" w:type="dxa"/>
          <w:left w:w="28" w:type="dxa"/>
          <w:bottom w:w="28" w:type="dxa"/>
          <w:right w:w="28" w:type="dxa"/>
        </w:tblCellMar>
      </w:tblPr>
      <w:tblGrid>
        <w:gridCol w:w="1672"/>
        <w:gridCol w:w="1457"/>
        <w:gridCol w:w="1463"/>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310"/>
        <w:gridCol w:w="313"/>
        <w:gridCol w:w="829"/>
      </w:tblGrid>
      <w:tr>
        <w:trPr/>
        <w:tc>
          <w:tcPr>
            <w:tcW w:w="1672"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r>
      <w:tr>
        <w:trPr/>
        <w:tc>
          <w:tcPr>
            <w:tcW w:w="4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459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6"/>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45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premiums written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72,494 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18.7 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jc w:val="left"/>
              <w:rPr>
                <w:sz w:val="4"/>
                <w:szCs w:val="4"/>
              </w:rPr>
            </w:pPr>
            <w:r>
              <w:rPr>
                <w:sz w:val="4"/>
                <w:szCs w:val="4"/>
              </w:rPr>
            </w:r>
          </w:p>
        </w:tc>
      </w:tr>
      <w:tr>
        <w:trPr/>
        <w:tc>
          <w:tcPr>
            <w:tcW w:w="45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2"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quota share treaties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(59.6)</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54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excess of loss treaties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54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catastrophe treaties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80.3 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ceded premiums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(4,146)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(46.8)</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written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unearned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and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reinsurance treaties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(4.7)</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net unearned premiums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Premiums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and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16.6 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to reinsurance treaties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(13,042)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(16,815)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premiums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60,467 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14,252 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Ceding commission revenue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(50.2)</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gains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(56.0)</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21.9 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65,854 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52,294 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13,560 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25.9 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Direct and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226.2 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direct and assumed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6,302 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29.3 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Ceded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(35.7)</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NM</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ceded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loss adjustment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 and loss adjustment expenses excluding the effect of catastrophes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38.5 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Losses from catastrophes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(270.6)</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and loss adjustment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17,927 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6,003 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33.5 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Commission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10,630 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8.9 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underwriting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12.0 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18.1 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24.1 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(23.4)</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36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46,342 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38,128 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8,214 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21.5 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37.7 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38.7 </w:t>
            </w:r>
          </w:p>
        </w:tc>
        <w:tc>
          <w:tcPr>
            <w:tcW w:w="82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45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6"/>
              </w:rPr>
            </w:pPr>
            <w:r>
              <w:rPr>
                <w:rFonts w:ascii="Times New Roman;serif" w:hAnsi="Times New Roman;serif"/>
                <w:b/>
                <w:color w:val="000000"/>
                <w:sz w:val="16"/>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15,470 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11,252 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4,218 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82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240" w:after="283"/>
        <w:jc w:val="left"/>
        <w:rPr>
          <w:rFonts w:ascii="Times New Roman;serif" w:hAnsi="Times New Roman;serif"/>
          <w:b w:val="false"/>
          <w:i/>
          <w:color w:val="000000"/>
          <w:sz w:val="16"/>
        </w:rPr>
      </w:pPr>
      <w:r>
        <w:rPr>
          <w:rFonts w:ascii="Times New Roman;serif" w:hAnsi="Times New Roman;serif"/>
          <w:b w:val="false"/>
          <w:i/>
          <w:color w:val="000000"/>
          <w:sz w:val="16"/>
        </w:rPr>
        <w:t>NM = Not Meaningful</w:t>
      </w:r>
    </w:p>
    <w:p>
      <w:pPr>
        <w:pStyle w:val="TextBody"/>
        <w:bidi w:val="0"/>
        <w:spacing w:lineRule="auto" w:line="288" w:before="240" w:after="283"/>
        <w:ind w:left="0" w:right="0" w:firstLine="720"/>
        <w:jc w:val="left"/>
        <w:rPr>
          <w:rFonts w:ascii="Times New Roman;serif" w:hAnsi="Times New Roman;serif"/>
          <w:b w:val="false"/>
          <w:i/>
          <w:color w:val="000000"/>
          <w:sz w:val="18"/>
        </w:rPr>
      </w:pPr>
      <w:r>
        <w:rPr>
          <w:rFonts w:ascii="Times New Roman;serif" w:hAnsi="Times New Roman;serif"/>
          <w:b w:val="false"/>
          <w:i/>
          <w:color w:val="000000"/>
          <w:sz w:val="18"/>
        </w:rPr>
        <w:t>(Columns in the table above may not sum to totals due to rounding)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(1)Direct written premiums and net premiums written are non-GAAP measures, defined above under "Key GAAP and Non-GAAP Measures", and reconciled under "Non-GAAP Financial Measures" to the GAAP measure of net premiums earned.</w:t>
      </w:r>
    </w:p>
    <w:p>
      <w:pPr>
        <w:pStyle w:val="TextBody"/>
        <w:bidi w:val="0"/>
        <w:spacing w:lineRule="auto" w:line="288" w:before="240" w:after="283"/>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(2)For the three months ended June 30, 2025, our personal lines business was subject to a 16% quota share treaty, expiring on January 1, 2026. Effective January 1, 2026, we entered into a 5% personal lines quota share treaty, under a cutoff basis.</w:t>
      </w:r>
    </w:p>
    <w:p>
      <w:pPr>
        <w:pStyle w:val="TextBody"/>
        <w:bidi w:val="0"/>
        <w:spacing w:lineRule="auto" w:line="288" w:before="240" w:after="283"/>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 xml:space="preserve">(3)The three months ended June 30, 2026 and 2025 include catastrophe losses, which are defined as losses from an event for which a catastrophe bulletin and related serial number has been issued by the Property Claims Services (PCS) unit of the Insurance Services Office (ISO). PCS catastrophe bulletins are issued for events that cause more than $25 million in total insured losses and affect a significant number of policyholders and insurers. </w:t>
      </w:r>
    </w:p>
    <w:tbl>
      <w:tblPr>
        <w:tblW w:w="7188" w:type="dxa"/>
        <w:jc w:val="left"/>
        <w:tblInd w:w="0" w:type="dxa"/>
        <w:tblLayout w:type="fixed"/>
        <w:tblCellMar>
          <w:top w:w="28" w:type="dxa"/>
          <w:left w:w="28" w:type="dxa"/>
          <w:bottom w:w="28" w:type="dxa"/>
          <w:right w:w="28" w:type="dxa"/>
        </w:tblCellMar>
      </w:tblPr>
      <w:tblGrid>
        <w:gridCol w:w="835"/>
        <w:gridCol w:w="735"/>
        <w:gridCol w:w="739"/>
        <w:gridCol w:w="210"/>
        <w:gridCol w:w="211"/>
        <w:gridCol w:w="256"/>
        <w:gridCol w:w="109"/>
        <w:gridCol w:w="109"/>
        <w:gridCol w:w="109"/>
        <w:gridCol w:w="210"/>
        <w:gridCol w:w="211"/>
        <w:gridCol w:w="256"/>
        <w:gridCol w:w="109"/>
        <w:gridCol w:w="109"/>
        <w:gridCol w:w="109"/>
        <w:gridCol w:w="384"/>
        <w:gridCol w:w="384"/>
        <w:gridCol w:w="386"/>
        <w:gridCol w:w="109"/>
        <w:gridCol w:w="109"/>
        <w:gridCol w:w="109"/>
        <w:gridCol w:w="225"/>
        <w:gridCol w:w="225"/>
        <w:gridCol w:w="940"/>
      </w:tblGrid>
      <w:tr>
        <w:trPr/>
        <w:tc>
          <w:tcPr>
            <w:tcW w:w="8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 xml:space="preserve">Percentage </w:t>
              <w:br/>
              <w:t>Point Change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Percent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Key ratios:</w:t>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940"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940"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9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jc w:val="both"/>
        <w:rPr/>
      </w:pPr>
      <w:r>
        <w:rPr>
          <w:rFonts w:ascii="Times New Roman;serif" w:hAnsi="Times New Roman;serif"/>
          <w:b w:val="false"/>
          <w:color w:val="000000"/>
          <w:sz w:val="18"/>
          <w:u w:val="single"/>
        </w:rPr>
        <w:t>Direct Premiums Written(1)</w:t>
      </w:r>
      <w:r>
        <w:rPr>
          <w:color w:val="000000"/>
        </w:rPr>
        <w:t xml:space="preserve">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Direct premiums written during the three months ended June 30, 2026 (“Three Months of 2026”) were $72,494,000 compared to $61,062,000 during the three months ended June 30, 2025 (“Three Months of 2025”). The increase of $11,432,000, or 18.7%, was primarily due to an increase in premiums from our personal lines business. Direct premiums written from our personal lines business for Three Months of 2026 were $68,965,000, an increase of $11,209,000, or 19.4%, from $57,756,000 in Three Months of 2025. The 19.4% increase in premiums from our personal lines business was primarily due to organic growth, an increase in retention, and an increase in average premiums primarily from an increase in replacement costs.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Direct premiums written from our livery physical damage business for Three Months of 2026 were $3,518,000, an increase of $228,000, or 6.9%, from $3,290,000 in Three Months of 2025. The increase in livery physical damage direct premiums written was due to an increase in the values of the autos insured offset by a decrease in policies in force. </w:t>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_______________________</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(1) Direct premiums written is a non-GAAP measure, defined above under "Key GAAP and Non-GAAP Measures", and reconciled under "Non-GAAP Financial Measures" to the GAAP measure of net premiums earned. </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Net Premiums Written(1)</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premiums written increased $15,578,000, or 29.8%, to $67,789,000 in Three Months of 2026 from $52,211,000 in Three Months of 2025. Net written premiums represent direct premiums written, less the amount of written premiums ceded under our reinsurance treaties (quota share, excess of loss, and catastrophe). The increase in Three Months of 2026 is primarily due to changes to our personal lines quota share reinsurance treaty resulting in an increase in retention, the additional premiums due to organic growth, and an increase in average premiums, primarily from an increase in replacement costs, See quota share reinsurance treaties discussion below. </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Quota share reinsurance treaties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Effective January 1, 2025, we entered into a 16% quota share reinsurance treaty for our personal lines business, covering the period from January 1, 2025 through January 1, 2026 (“2025/2026 Treaty”). Upon expiration of the 2025/2026 Treaty on January 1, 2026, we entered into a new 5% quota share reinsurance treaty for our personal lines business written in all states except California (for which we entered into a new 30% quota share reinsurance treaty) covering the period from January 1, 2026 through January 1, 2027 (“2026/2027 Treaty”). Our personal lines business was subject to the 2026/2027 Treaty in the Three Months of 2026, and the 2025/2026 Treaty in the Three Months of 2025. In the Three Months of 2026, our premiums ceded under quota share treaties decreased by $4,609,000 in comparison to premiums ceded under quota share treaties in the Three Months of 2025 (see table above). The decrease in the Three Months of 2026 was attributable to the decrease in the quota share ceding percentage rate, offset by an increase in direct written premiums subject to the 2026/2027 Treaty compared to direct premiums written subject to the 2025/2026 Treaty.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720"/>
        <w:jc w:val="both"/>
        <w:rPr/>
      </w:pPr>
      <w:r>
        <w:rPr>
          <w:rFonts w:ascii="Times New Roman;serif" w:hAnsi="Times New Roman;serif"/>
          <w:b w:val="false"/>
          <w:i/>
          <w:color w:val="000000"/>
          <w:sz w:val="18"/>
        </w:rPr>
        <w:t>Excess of loss reinsurance treaties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the Three Months of 2026, our ceded excess of loss reinsurance premiums increased $138,000 compared to the ceded excess of loss premiums for Three Months 2025. Effective January 1, 2025, we renewed an underlying excess of loss reinsurance treaty (the “Underlying XOL Treaty”) covering the period from January 1, 2025 through June 30, 2025. The Underlying XOL Treaty provided 50% reinsurance coverage for losses of $400,000 in excess of $600,000. Losses from named storms were excluded from the Underlying XOL Treaty. Effective July 1, 2025, the Underlying XOL Treaty was renewed along with our excess of loss reinsurance treaty covering the period from July 1, 2025 through June 30, 2026. Combined, the renewed treaties provide 50% reinsurance coverage for losses of $250,000 in excess of $750,000, and 100% reinsurance coverage for losses in excess of $1,000,000 up to $9,000,000 together with facultative coverage. Retention was increased to $825,000 from $715,000 under the 2025/2026 Treaty. </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Catastrophe reinsurance treaties</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18"/>
        </w:rPr>
        <w:t xml:space="preserve">Most of the premiums written under our personal lines policies are also subject to our catastrophe reinsurance treaties. An increase in our personal lines business historically gave rise to more property exposure, which increased our exposure to catastrophe risk; therefore, our premiums ceded under catastrophe treaties would increase. An increase in our personal lines business historically resulted in an increase in premiums ceded under our catastrophe treaties if reinsurance rates were stable or were increasing. With regard to treaties entered into on July 1, 2025 ("2025/2026 Catastrophe Treaty") and 2024 ("2024/2025 Catastrophe Treaty"), we recorded our catastrophe premiums written for the entire treaty period covering July 1 through June 30, resulting in the entire annual premium written being recorded in the third quarter of 2025 and 2024, respectively. The 2025/2026 Catastrophe Treaty covers 80% of losses on the first layer of 5,000,000 in excess of $5,000,000 (catastrophe coverage of $4,000,000), and losses of $440,000,000 in excess of $10,000,000 (catastrophe coverage of $430,000,000), for a total catastrophe coverage of $434,000,000. The 2024/2025 Catastrophe Treaty covered 95% of losses on the first layer of $5,000,000 in excess of $5,000,000 (catastrophe coverage of $4,750,000), and losses of $280,000,000 in excess of $10,000,000 (catastrophe coverage of $270,000,000), for a total catastrophe coverage of $274,750,000. Catastrophe coverage under the 2025/2026 Catastrophe Treaty increased by $159,250,000 compared to the 2024/2025 Catastrophe Treaty. As a result of recording the entire annual catastrophe premiums at the inception of the treaties, catastrophe premiums in subsequent quarters would be due to premium adjustments. In the Three Months of 2026, our premiums ceded under our catastrophe treaties was negative </w:t>
      </w:r>
      <w:r>
        <w:rPr>
          <w:rFonts w:ascii="Times New Roman;serif" w:hAnsi="Times New Roman;serif"/>
          <w:b w:val="false"/>
          <w:color w:val="000000"/>
          <w:sz w:val="20"/>
        </w:rPr>
        <w:t>$80,000</w:t>
      </w:r>
      <w:r>
        <w:rPr>
          <w:color w:val="000000"/>
        </w:rPr>
        <w:t xml:space="preserve"> </w:t>
      </w:r>
      <w:r>
        <w:rPr>
          <w:rFonts w:ascii="Times New Roman;serif" w:hAnsi="Times New Roman;serif"/>
          <w:b w:val="false"/>
          <w:color w:val="000000"/>
          <w:sz w:val="18"/>
        </w:rPr>
        <w:t xml:space="preserve">in comparison to negative </w:t>
      </w:r>
      <w:r>
        <w:rPr>
          <w:rFonts w:ascii="Times New Roman;serif" w:hAnsi="Times New Roman;serif"/>
          <w:b w:val="false"/>
          <w:color w:val="000000"/>
          <w:sz w:val="20"/>
        </w:rPr>
        <w:t>$406,000</w:t>
      </w:r>
      <w:r>
        <w:rPr>
          <w:color w:val="000000"/>
        </w:rPr>
        <w:t xml:space="preserve"> </w:t>
      </w:r>
      <w:r>
        <w:rPr>
          <w:rFonts w:ascii="Times New Roman;serif" w:hAnsi="Times New Roman;serif"/>
          <w:b w:val="false"/>
          <w:color w:val="000000"/>
          <w:sz w:val="18"/>
        </w:rPr>
        <w:t>ceded under catastrophe treaties in the Three Months of 2025 (see table above). The negative premiums in the Three Months of 2026 was due to reinstatement premiums related to winter catastrophe losses. The negative premiums in the Three Months of 2025 was due to a no loss bonus from one of our reinsurers.</w:t>
      </w:r>
    </w:p>
    <w:p>
      <w:pPr>
        <w:pStyle w:val="TextBody"/>
        <w:bidi w:val="0"/>
        <w:spacing w:lineRule="auto" w:line="288" w:before="24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Net premiums earned</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Net premiums earned increased $14,252,000, or 30.8%, to $60,467,000 in Three Months of 2026 from $46,215,000 in Three Months of 2025. The increase was due to an increase in retention related to the 11 percentage point reduction in quota share rates discussed above, and the increase in premiums from organic growth, partially offset by an increase in catastrophe premiums due to the increase in catastrophe coverage reflected in ceded catastrophe premiums earned.</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___________________</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(1) Net premiums written is a non-GAAP measure, defined above under "Key GAAP and Non-GAAP Measures", and reconciled under "Non-GAAP Financial Measures" to the GAAP measure of net premiums earned. </w:t>
      </w:r>
    </w:p>
    <w:p>
      <w:pPr>
        <w:pStyle w:val="TextBody"/>
        <w:bidi w:val="0"/>
        <w:spacing w:lineRule="auto" w:line="288" w:before="240" w:after="283"/>
        <w:ind w:left="0" w:right="0" w:firstLine="720"/>
        <w:jc w:val="both"/>
        <w:rPr/>
      </w:pPr>
      <w:r>
        <w:rPr>
          <w:rFonts w:ascii="Times New Roman;serif" w:hAnsi="Times New Roman;serif"/>
          <w:b w:val="false"/>
          <w:color w:val="000000"/>
          <w:sz w:val="18"/>
          <w:u w:val="single"/>
        </w:rPr>
        <w:t>Ceding Commission Revenue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changes in the components of ceding commission revenue (in thousands) for the periods indicated: </w:t>
      </w:r>
    </w:p>
    <w:tbl>
      <w:tblPr>
        <w:tblW w:w="7866" w:type="dxa"/>
        <w:jc w:val="left"/>
        <w:tblInd w:w="0" w:type="dxa"/>
        <w:tblLayout w:type="fixed"/>
        <w:tblCellMar>
          <w:top w:w="28" w:type="dxa"/>
          <w:left w:w="28" w:type="dxa"/>
          <w:bottom w:w="28" w:type="dxa"/>
          <w:right w:w="28" w:type="dxa"/>
        </w:tblCellMar>
      </w:tblPr>
      <w:tblGrid>
        <w:gridCol w:w="1058"/>
        <w:gridCol w:w="930"/>
        <w:gridCol w:w="937"/>
        <w:gridCol w:w="109"/>
        <w:gridCol w:w="109"/>
        <w:gridCol w:w="109"/>
        <w:gridCol w:w="196"/>
        <w:gridCol w:w="556"/>
        <w:gridCol w:w="109"/>
        <w:gridCol w:w="109"/>
        <w:gridCol w:w="109"/>
        <w:gridCol w:w="109"/>
        <w:gridCol w:w="196"/>
        <w:gridCol w:w="556"/>
        <w:gridCol w:w="109"/>
        <w:gridCol w:w="109"/>
        <w:gridCol w:w="109"/>
        <w:gridCol w:w="109"/>
        <w:gridCol w:w="196"/>
        <w:gridCol w:w="631"/>
        <w:gridCol w:w="109"/>
        <w:gridCol w:w="109"/>
        <w:gridCol w:w="109"/>
        <w:gridCol w:w="109"/>
        <w:gridCol w:w="277"/>
        <w:gridCol w:w="279"/>
        <w:gridCol w:w="419"/>
      </w:tblGrid>
      <w:tr>
        <w:trPr/>
        <w:tc>
          <w:tcPr>
            <w:tcW w:w="105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Change</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Percent</w:t>
            </w:r>
          </w:p>
        </w:tc>
      </w:tr>
      <w:tr>
        <w:trPr/>
        <w:tc>
          <w:tcPr>
            <w:tcW w:w="2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Provisional ceding commissions earned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w:t>
            </w:r>
          </w:p>
        </w:tc>
        <w:tc>
          <w:tcPr>
            <w:tcW w:w="41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ceding commissions earned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159.2 </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ceding commission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(1,548)</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(50.2)</w:t>
            </w:r>
          </w:p>
        </w:tc>
        <w:tc>
          <w:tcPr>
            <w:tcW w:w="41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Ceding commission revenue was $1,533,000 in Three Months of 2026 compared to $3,081,000 in Three Months of 2025. The decrease of $1,548,000 is explained below in the discussion of provisional ceding commissions earned and contingent ceding commissions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720"/>
        <w:jc w:val="both"/>
        <w:rPr>
          <w:rFonts w:ascii="Times New Roman;serif" w:hAnsi="Times New Roman;serif"/>
          <w:b w:val="false"/>
          <w:i/>
          <w:color w:val="000000"/>
          <w:sz w:val="18"/>
        </w:rPr>
      </w:pPr>
      <w:r>
        <w:rPr>
          <w:rFonts w:ascii="Times New Roman;serif" w:hAnsi="Times New Roman;serif"/>
          <w:b w:val="false"/>
          <w:i/>
          <w:color w:val="000000"/>
          <w:sz w:val="18"/>
        </w:rPr>
        <w:t xml:space="preserve">Provisional Ceding Commissions Earned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Three Months of 2026, we earned provisional ceding commissions of $1,352,000 from personal lines earned premiums ceded under the 2026/2027 Treaty, and in Three Months of 2025, we earned provisional ceding commissions of $3,388,000 from personal lines earned premiums ceded under the 2025/2026 Treaty. The decrease of $2,036,000 in provisional ceding commissions earned was due to the decrease in premiums ceded under these treaties during the Three Months of 2026 compared to the Three Months of 2025, offset by an increase in ceding commission rates under the 2026/2027 Treaty. </w:t>
      </w:r>
    </w:p>
    <w:p>
      <w:pPr>
        <w:pStyle w:val="TextBody"/>
        <w:bidi w:val="0"/>
        <w:spacing w:lineRule="auto" w:line="288" w:before="240" w:after="283"/>
        <w:ind w:left="0" w:right="0" w:firstLine="720"/>
        <w:jc w:val="both"/>
        <w:rPr/>
      </w:pPr>
      <w:r>
        <w:rPr>
          <w:rFonts w:ascii="Times New Roman;serif" w:hAnsi="Times New Roman;serif"/>
          <w:b w:val="false"/>
          <w:i/>
          <w:color w:val="000000"/>
          <w:sz w:val="18"/>
        </w:rPr>
        <w:t>Contingent Ceding Commissions Earned</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Under our 2025/2026 Treaty and prior years’ quota share treaties before July 1, 2017, we received a contingent ceding commission based on a sliding scale of commission rates and ultimate treaty year loss ratio on the policies reinsured under this agreement based upon which contingent ceding commissions are earned. The sliding scale includes minimum and maximum commission rates in relation to specified ultimate loss ratio. The commission rate and contingent ceding commissions earned increase when the estimated ultimate loss ratio decreases and, conversely, the commission rate and contingent ceding commissions earned decrease when the estimated ultimate loss ratio increases. The lower the ceded loss ratio, the more contingent commission we received. The structure of the 2026/2027 Treaty calls for a fixed provisional ceding commission with no opportunity to earn additional contingent ceding commissions. </w:t>
      </w:r>
    </w:p>
    <w:p>
      <w:pPr>
        <w:pStyle w:val="TextBody"/>
        <w:bidi w:val="0"/>
        <w:spacing w:lineRule="auto" w:line="288" w:before="240" w:after="283"/>
        <w:jc w:val="both"/>
        <w:rPr/>
      </w:pPr>
      <w:r>
        <w:rPr>
          <w:rFonts w:ascii="Times New Roman;serif" w:hAnsi="Times New Roman;serif"/>
          <w:b w:val="false"/>
          <w:color w:val="000000"/>
          <w:sz w:val="18"/>
          <w:u w:val="single"/>
        </w:rPr>
        <w:t>Net Investment Income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investment income was $3,429,000 in the Three Months of 2026 compared to $2,300,000 in the Three Months of 2025, an increase of $1,129,000, or 49.1%, primarily due to an increase in invested assets and average yield on non-cash invested assets. The average yield on non-cash invested assets was 4.4% as of June 30, 2026 compared to 4.0% as of June 30, 2025.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Cash and invested assets were $350,981,000 as of June 30, 2026 compared to $273,550,000 as of June 30, 2025, an increase of $77,431,000 primarily driven by cash flows from operations. </w:t>
      </w:r>
    </w:p>
    <w:p>
      <w:pPr>
        <w:pStyle w:val="TextBody"/>
        <w:bidi w:val="0"/>
        <w:spacing w:lineRule="auto" w:line="288" w:before="240" w:after="283"/>
        <w:jc w:val="both"/>
        <w:rPr/>
      </w:pPr>
      <w:r>
        <w:rPr>
          <w:rFonts w:ascii="Times New Roman;serif" w:hAnsi="Times New Roman;serif"/>
          <w:b w:val="false"/>
          <w:color w:val="000000"/>
          <w:sz w:val="18"/>
          <w:u w:val="single"/>
        </w:rPr>
        <w:t>Net Gains on Investments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gains on investments were $240,000 in the Three Months of 2026 compared to net gains of $546,000 in the Three Months of 2025. Unrealized gains on our equity securities and other investments in the Three Months of 2026 were $443,000, compared to unrealized gains of $551,000 in the Three Months of 2025. Net realized losses on sales of investments were $202,000 in the Three Months of 2026 compared to net realized losses of $4,000 in the Three Months of 2025. </w:t>
      </w:r>
    </w:p>
    <w:p>
      <w:pPr>
        <w:pStyle w:val="TextBody"/>
        <w:bidi w:val="0"/>
        <w:spacing w:lineRule="auto" w:line="288" w:before="240" w:after="283"/>
        <w:jc w:val="both"/>
        <w:rPr/>
      </w:pPr>
      <w:r>
        <w:rPr>
          <w:rFonts w:ascii="Times New Roman;serif" w:hAnsi="Times New Roman;serif"/>
          <w:b w:val="false"/>
          <w:color w:val="000000"/>
          <w:sz w:val="18"/>
          <w:u w:val="single"/>
        </w:rPr>
        <w:t>Other Income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Other income was $184,000 in the Three Months of 2026 compared to $151,000 in the Three Months of 2025, an increase of $33,000, or 21.9%. </w:t>
      </w:r>
    </w:p>
    <w:p>
      <w:pPr>
        <w:pStyle w:val="TextBody"/>
        <w:bidi w:val="0"/>
        <w:spacing w:lineRule="auto" w:line="288" w:before="240" w:after="283"/>
        <w:jc w:val="both"/>
        <w:rPr/>
      </w:pPr>
      <w:r>
        <w:rPr>
          <w:rFonts w:ascii="Times New Roman;serif" w:hAnsi="Times New Roman;serif"/>
          <w:b w:val="false"/>
          <w:color w:val="000000"/>
          <w:sz w:val="18"/>
          <w:u w:val="single"/>
        </w:rPr>
        <w:t>Net Loss and LAE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loss and LAE was $23,930,000 for the Three Months of 2026 compared to $17,927,000 for the Three Months of 2025. The net loss ratio was 39.6% in the Three Months of 2026 compared to 38.8% in the Three Months 2025, an increase of 0.8 percentage points.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net loss ratio for the Three Months of 2026 was higher than for the Three Months 2025 primarily driven by an increase in the frequency and severity of non-catastrophe losses, partially offset by an increase in favorable prior year reserve development and lower catastrophe losses. </w:t>
      </w:r>
    </w:p>
    <w:p>
      <w:pPr>
        <w:pStyle w:val="TextBody"/>
        <w:bidi w:val="0"/>
        <w:spacing w:lineRule="auto" w:line="268" w:before="240" w:after="283"/>
        <w:ind w:left="0" w:right="0" w:firstLine="720"/>
        <w:jc w:val="both"/>
        <w:rPr/>
      </w:pPr>
      <w:r>
        <w:rPr>
          <w:rFonts w:ascii="Times New Roman;serif" w:hAnsi="Times New Roman;serif"/>
          <w:b w:val="false"/>
          <w:color w:val="000000"/>
          <w:sz w:val="18"/>
        </w:rPr>
        <w:t>For the Three Months of 2026, the underlying loss ratio (loss ratio excluding the impact of catastrophes and prior year development) was higher than for the Three Months of 2025. The underlying loss ratio</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was 43.1% for the Three Months of 2026, an increase of 4.4 points from the 38.7% for the Three Months of 2025. Overall personal lines non-catastrophe severity for the Three Months of 2026 was higher than for the Three Months of 2025, but the increase was partially offset by higher average premium. Overall personal lines non-catastrophe frequency for the Three Months of 2026 was higher than the same period in 2025 but lower than the long-term average.</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There were four newly designated catastrophe events for the Three Months of 2026, none of which had a significant impact on the net loss ratio, and development on events from first quarter of 2026 was favorable. The estimated total net catastrophe impact for the Three Months of 2026 was $(493,000), which contributed -0.8 points to the net loss ratio. By comparison, the impact to the net loss ratio from catastrophes for the Three Months of 2025 was 0.6 points.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There was favorable prior year development of $1,636,000 for the Three Months of 2026, a decrease of 2.7 points on the net loss ratio. By comparison, the impact of favorable prior year development for the Three Months of 2025 was a decrease of 0.5 points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net loss ratio. For the Three Months of 2026, property claims overall developed better than expected, driven primarily by reserve takedowns on fire and water damage claims from accident year 2025, resulting in favorable development. For the Three Months of 2025, the favorable development was attributable to reserve decreases on fire and water damage claims from accident years 2023 and 2024 as well as a large subrogation recovery on a water damage claim from accident year 2022. </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(1) Underlying loss ratio is a non-GAAP ratio, which is computed as the GAAP net loss ratio excluding the effect of prior year loss reserve development and catastrophe losses. See "Non-GAAP Financial Measures" for a reconciliation of underlying loss ratio to the GAAP measure of net loss ratio.</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See table below under “Additional Financial Information” summarizing net loss ratios by line of business. </w:t>
      </w:r>
    </w:p>
    <w:p>
      <w:pPr>
        <w:pStyle w:val="TextBody"/>
        <w:bidi w:val="0"/>
        <w:spacing w:lineRule="auto" w:line="288" w:before="240" w:after="283"/>
        <w:jc w:val="both"/>
        <w:rPr/>
      </w:pPr>
      <w:r>
        <w:rPr>
          <w:rFonts w:ascii="Times New Roman;serif" w:hAnsi="Times New Roman;serif"/>
          <w:b w:val="false"/>
          <w:color w:val="000000"/>
          <w:sz w:val="18"/>
          <w:u w:val="single"/>
        </w:rPr>
        <w:t>Commission Expense</w:t>
      </w:r>
      <w:r>
        <w:rPr>
          <w:color w:val="000000"/>
        </w:rPr>
        <w:t xml:space="preserve">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Commission expense was $11,573,000 in the Three Months of 2026 or 15.7% of direct earned premiums. Commission expense was $10,630,000 in the Three Months 2025 or 16.9% of direct earned premiums. The increase of $943,000 was primarily due to an increase in direct earned premiums of $10,478,000, offset by a decrease of $470,000 in the Three Months of 2026 compared to the Three Months of 2025 for an accrual of estimated contingent commission based on the profitability of the business.</w:t>
      </w:r>
    </w:p>
    <w:p>
      <w:pPr>
        <w:pStyle w:val="TextBody"/>
        <w:bidi w:val="0"/>
        <w:spacing w:lineRule="auto" w:line="288" w:before="240" w:after="283"/>
        <w:jc w:val="both"/>
        <w:rPr/>
      </w:pPr>
      <w:r>
        <w:rPr>
          <w:rFonts w:ascii="Times New Roman;serif" w:hAnsi="Times New Roman;serif"/>
          <w:b w:val="false"/>
          <w:color w:val="000000"/>
          <w:sz w:val="18"/>
          <w:u w:val="single"/>
        </w:rPr>
        <w:t>Other Underwriting Expenses</w:t>
      </w:r>
      <w:r>
        <w:rPr>
          <w:color w:val="000000"/>
        </w:rPr>
        <w:t xml:space="preserve">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Other underwriting expenses were $8,655,000, or 11.8% of direct earned premiums, in the Three Months of 2026 compared to $7,727,000, or 12.3% of direct earned premiums, in the Three Months of 2025. The increase of $928,000, or 12.0%, was primarily due to increases in salaries and employment costs as described below, an increase in underwriting fees due to growth and an increase in premium taxes due to the increase in direct earned premiums, and an increase in DFS regulatory fees.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Our largest single component of other underwriting expenses is salaries and employment costs, with costs of $4,288,000 in the Three Months of 2026 compared to $4,081,000 in the Three Months of 2025. Salaries and employment costs were 7.1 points of the net underwriting expense ratio in the Three Months of 2026, a reduction of 1.7 points from 8.8 points in the Three Months of 2025 primarily due to the economies of scale with the increase in net premiums earned. The dollar increase in salaries and employment costs was due to annual salary increases, and strengthening of our professional team by investing in hiring talent with insurance industry experience due to the growth in premiums written and anticipated new business in accordance with our 5-Year Growth Plan.</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net underwriting expense ratio in the Three Months of 2026 was 30.6% compared to 32.7% in the Three Months of 2025. The following table shows the individual components of our net underwriting expense ratio for the periods indicated: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6664" w:type="dxa"/>
        <w:jc w:val="left"/>
        <w:tblInd w:w="0" w:type="dxa"/>
        <w:tblLayout w:type="fixed"/>
        <w:tblCellMar>
          <w:top w:w="28" w:type="dxa"/>
          <w:left w:w="28" w:type="dxa"/>
          <w:bottom w:w="28" w:type="dxa"/>
          <w:right w:w="28" w:type="dxa"/>
        </w:tblCellMar>
      </w:tblPr>
      <w:tblGrid>
        <w:gridCol w:w="1075"/>
        <w:gridCol w:w="946"/>
        <w:gridCol w:w="949"/>
        <w:gridCol w:w="233"/>
        <w:gridCol w:w="233"/>
        <w:gridCol w:w="340"/>
        <w:gridCol w:w="144"/>
        <w:gridCol w:w="144"/>
        <w:gridCol w:w="144"/>
        <w:gridCol w:w="231"/>
        <w:gridCol w:w="235"/>
        <w:gridCol w:w="340"/>
        <w:gridCol w:w="109"/>
        <w:gridCol w:w="109"/>
        <w:gridCol w:w="109"/>
        <w:gridCol w:w="224"/>
        <w:gridCol w:w="226"/>
        <w:gridCol w:w="873"/>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Percentage</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Point Change</w:t>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Employment costs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4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34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87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fees (inspections/surveys)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IT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7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73"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underwriting expenses</w:t>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87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Provisional</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873"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873"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ceding commission revenue</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8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8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340"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873"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pPr>
      <w:r>
        <w:rPr>
          <w:rFonts w:ascii="Times New Roman;serif" w:hAnsi="Times New Roman;serif"/>
          <w:b w:val="false"/>
          <w:i/>
          <w:color w:val="000000"/>
          <w:sz w:val="20"/>
        </w:rPr>
        <w:t>(Components may not sum to totals due to rounding)</w:t>
      </w:r>
      <w:r>
        <w:rPr>
          <w:color w:val="000000"/>
        </w:rPr>
        <w:t xml:space="preserve"> </w:t>
      </w:r>
    </w:p>
    <w:p>
      <w:pPr>
        <w:pStyle w:val="TextBody"/>
        <w:bidi w:val="0"/>
        <w:spacing w:lineRule="auto" w:line="288" w:before="240" w:after="283"/>
        <w:jc w:val="both"/>
        <w:rPr/>
      </w:pPr>
      <w:r>
        <w:rPr>
          <w:rFonts w:ascii="Times New Roman;serif" w:hAnsi="Times New Roman;serif"/>
          <w:b w:val="false"/>
          <w:color w:val="000000"/>
          <w:sz w:val="18"/>
          <w:u w:val="single"/>
        </w:rPr>
        <w:t>Other Operating Expenses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Other operating expenses were $1,362,000 for the Three Months of 2026 compared to $1,153,000 for the Three Months of 2025. The following table shows a breakdown of the significant components of other operating expenses for the periods indicated: </w:t>
      </w:r>
    </w:p>
    <w:tbl>
      <w:tblPr>
        <w:tblW w:w="7416" w:type="dxa"/>
        <w:jc w:val="left"/>
        <w:tblInd w:w="0" w:type="dxa"/>
        <w:tblLayout w:type="fixed"/>
        <w:tblCellMar>
          <w:top w:w="28" w:type="dxa"/>
          <w:left w:w="28" w:type="dxa"/>
          <w:bottom w:w="28" w:type="dxa"/>
          <w:right w:w="28" w:type="dxa"/>
        </w:tblCellMar>
      </w:tblPr>
      <w:tblGrid>
        <w:gridCol w:w="824"/>
        <w:gridCol w:w="725"/>
        <w:gridCol w:w="730"/>
        <w:gridCol w:w="109"/>
        <w:gridCol w:w="109"/>
        <w:gridCol w:w="109"/>
        <w:gridCol w:w="196"/>
        <w:gridCol w:w="556"/>
        <w:gridCol w:w="109"/>
        <w:gridCol w:w="109"/>
        <w:gridCol w:w="109"/>
        <w:gridCol w:w="109"/>
        <w:gridCol w:w="196"/>
        <w:gridCol w:w="556"/>
        <w:gridCol w:w="109"/>
        <w:gridCol w:w="109"/>
        <w:gridCol w:w="109"/>
        <w:gridCol w:w="109"/>
        <w:gridCol w:w="196"/>
        <w:gridCol w:w="421"/>
        <w:gridCol w:w="109"/>
        <w:gridCol w:w="109"/>
        <w:gridCol w:w="109"/>
        <w:gridCol w:w="109"/>
        <w:gridCol w:w="314"/>
        <w:gridCol w:w="316"/>
        <w:gridCol w:w="751"/>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Percent</w:t>
            </w:r>
            <w:r>
              <w:rPr>
                <w:color w:val="000000"/>
              </w:rPr>
              <w:t xml:space="preserve"> </w:t>
            </w:r>
          </w:p>
        </w:tc>
      </w:tr>
      <w:tr>
        <w:trPr/>
        <w:tc>
          <w:tcPr>
            <w:tcW w:w="22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Employment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391.7 </w:t>
            </w:r>
          </w:p>
        </w:tc>
        <w:tc>
          <w:tcPr>
            <w:tcW w:w="75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45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bonus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36.9 </w:t>
            </w:r>
          </w:p>
        </w:tc>
        <w:tc>
          <w:tcPr>
            <w:tcW w:w="751"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compensation -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160.7 </w:t>
            </w:r>
          </w:p>
        </w:tc>
        <w:tc>
          <w:tcPr>
            <w:tcW w:w="751" w:type="dxa"/>
            <w:tcBorders/>
            <w:shd w:fill="CCEE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Directors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ind w:left="0" w:right="0" w:firstLine="450"/>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(45.8)</w:t>
            </w:r>
          </w:p>
        </w:tc>
        <w:tc>
          <w:tcPr>
            <w:tcW w:w="751"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erif" w:hAnsi="Times New Roman;serif"/>
          <w:b w:val="false"/>
          <w:i/>
          <w:color w:val="000000"/>
          <w:sz w:val="18"/>
        </w:rPr>
        <w:t>(Components may not sum to totals due to rounding)</w:t>
      </w:r>
      <w:r>
        <w:rPr>
          <w:color w:val="000000"/>
        </w:rPr>
        <w:t xml:space="preserve">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The increase in the Three Months of 2026 of $209,000, or 18.1%, as compared to the Three Months of 2025 was primarily due to an increase in equity compensation and professional fees. The increase in equity compensation is due to additional restricted stock awards granted to our senior leadership team as of December 31, 2025 pursuant to our employee bonus plan, and to our CEO and CFO pursuant to their respective employment agreements. The increase in professional fees is due to legal fees incurred related to board level projects and additional accounting expenses incurred related to our new requirement for the audit of our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val="false"/>
          <w:color w:val="000000"/>
          <w:sz w:val="18"/>
          <w:u w:val="single"/>
        </w:rPr>
        <w:t>Depreciation and Amortization</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Depreciation and amortization was $761,000 in the Three Months of 2026 compared to $613,000 in the Three Months of 2025. The increase of $148,000, or 24.1%, in depreciation and amortization was primarily due to the difference between additional depreciation on software acquired compared to software being fully depreciated. </w:t>
      </w:r>
    </w:p>
    <w:p>
      <w:pPr>
        <w:pStyle w:val="TextBody"/>
        <w:bidi w:val="0"/>
        <w:spacing w:lineRule="auto" w:line="288" w:before="240" w:after="283"/>
        <w:jc w:val="both"/>
        <w:rPr/>
      </w:pPr>
      <w:r>
        <w:rPr>
          <w:rFonts w:ascii="Times New Roman;serif" w:hAnsi="Times New Roman;serif"/>
          <w:b w:val="false"/>
          <w:color w:val="000000"/>
          <w:sz w:val="18"/>
          <w:u w:val="single"/>
        </w:rPr>
        <w:t>Interest Expense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Interest expense in the Three Months of 2026 was $59,000 compared to $77,000 in the Three Months of 2025, a decrease of $18,000 or 23.4%. We incurred interest expense on the 2022 equipment financing. </w:t>
      </w:r>
    </w:p>
    <w:p>
      <w:pPr>
        <w:pStyle w:val="TextBody"/>
        <w:bidi w:val="0"/>
        <w:spacing w:lineRule="auto" w:line="288" w:before="240" w:after="283"/>
        <w:jc w:val="both"/>
        <w:rPr/>
      </w:pPr>
      <w:r>
        <w:rPr>
          <w:rFonts w:ascii="Times New Roman;serif" w:hAnsi="Times New Roman;serif"/>
          <w:b w:val="false"/>
          <w:color w:val="000000"/>
          <w:sz w:val="18"/>
          <w:u w:val="single"/>
        </w:rPr>
        <w:t>Income Tax Expense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Income tax expense in the Three Months of 2026 was $4,042,000, which resulted in an effective tax rate of 20.7%. Income tax expense in the Three Months of 2025 was $2,914,000, which resulted in an effective tax rate of 20.6%. The difference in effective tax rate is due to the effect of permanent differences in the Three Months of 2026 compared to the Three Months of 2025. </w:t>
      </w:r>
    </w:p>
    <w:p>
      <w:pPr>
        <w:pStyle w:val="TextBody"/>
        <w:bidi w:val="0"/>
        <w:spacing w:lineRule="auto" w:line="288" w:before="240" w:after="283"/>
        <w:jc w:val="both"/>
        <w:rPr/>
      </w:pPr>
      <w:r>
        <w:rPr>
          <w:rFonts w:ascii="Times New Roman;serif" w:hAnsi="Times New Roman;serif"/>
          <w:b w:val="false"/>
          <w:color w:val="000000"/>
          <w:sz w:val="18"/>
          <w:u w:val="single"/>
        </w:rPr>
        <w:t>Net Income</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income was $15,470,000 in the Three Months of 2026 compared to net income of $11,252,000 in the Three Months of 2025. The increase in net income of $4,218,000 was due to the circumstances described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Additional Financial Information</w:t>
      </w:r>
      <w:r>
        <w:rPr>
          <w:color w:val="000000"/>
        </w:rPr>
        <w:t xml:space="preserve">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We operate our business as one segment, property and casualty insurance. Within this segment, we offer an array of property and casualty policies through our producers. The following table summarizes gross and net written premiums, net premiums earned, and net loss and loss adjustment expenses by major product type, which were determined based primarily on similar economic characteristics and risks of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205" w:type="dxa"/>
        <w:jc w:val="left"/>
        <w:tblInd w:w="0" w:type="dxa"/>
        <w:tblLayout w:type="fixed"/>
        <w:tblCellMar>
          <w:top w:w="28" w:type="dxa"/>
          <w:left w:w="28" w:type="dxa"/>
          <w:bottom w:w="28" w:type="dxa"/>
          <w:right w:w="28" w:type="dxa"/>
        </w:tblCellMar>
      </w:tblPr>
      <w:tblGrid>
        <w:gridCol w:w="1155"/>
        <w:gridCol w:w="995"/>
        <w:gridCol w:w="999"/>
        <w:gridCol w:w="196"/>
        <w:gridCol w:w="961"/>
        <w:gridCol w:w="301"/>
        <w:gridCol w:w="109"/>
        <w:gridCol w:w="109"/>
        <w:gridCol w:w="109"/>
        <w:gridCol w:w="196"/>
        <w:gridCol w:w="961"/>
        <w:gridCol w:w="301"/>
        <w:gridCol w:w="109"/>
        <w:gridCol w:w="109"/>
        <w:gridCol w:w="109"/>
        <w:gridCol w:w="196"/>
        <w:gridCol w:w="1051"/>
        <w:gridCol w:w="301"/>
        <w:gridCol w:w="109"/>
        <w:gridCol w:w="109"/>
        <w:gridCol w:w="109"/>
        <w:gridCol w:w="196"/>
        <w:gridCol w:w="1051"/>
        <w:gridCol w:w="364"/>
      </w:tblGrid>
      <w:tr>
        <w:trPr/>
        <w:tc>
          <w:tcPr>
            <w:tcW w:w="115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14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Direct premiums written(1):</w:t>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Personal lines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68,965,049 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57,755,566 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134,889,547 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112,068,479 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Livery physical damage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3,517,604 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3,290,199 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7,180,080 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7,137,245 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11,015 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16,644 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27,422 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31,681 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gross premiums written</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72,493,668 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61,062,409 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142,097,049 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119,237,405 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premiums written(1):</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Personal lines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64,261,214 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48,906,505 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138,173,554 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106,051,894 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Livery physical damage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3,517,604 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3,290,199 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7,180,080 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7,137,245 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10,289 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13,970 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28,710 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30,942 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premiums written</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67,789,107 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52,210,674 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145,382,344 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113,220,081 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premiums earned:</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Personal lines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56,874,798 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42,581,605 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109,164,507 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82,517,929 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Livery physical damage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3,578,728 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3,616,990 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7,142,191 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7,186,016 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16,665 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29,593 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34,378 </w:t>
            </w:r>
          </w:p>
        </w:tc>
        <w:tc>
          <w:tcPr>
            <w:tcW w:w="364" w:type="dxa"/>
            <w:tcBorders/>
            <w:shd w:fill="CCEE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premiums earned</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36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and loss adjustment expenses(4):</w:t>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Personal lines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21,545,748 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14,820,001 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63,772,750 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39,551,760 </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Livery physical damage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1,082,970 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1,313,864 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2,705,031 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2,772,169 </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(133,306)</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(37,393)</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(70,818)</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(22,726)</w:t>
            </w:r>
          </w:p>
        </w:tc>
        <w:tc>
          <w:tcPr>
            <w:tcW w:w="3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Unallocated loss adjustment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1,595,919 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1,453,193 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3,274,363 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2,815,065 </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without commercial lines in run-off</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24,091,331 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17,549,665 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69,681,326 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45,116,268 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lines (in run-off effective July 2019)(2)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(160,834)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377,497 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(176,445)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(14,028)</w:t>
            </w:r>
          </w:p>
        </w:tc>
        <w:tc>
          <w:tcPr>
            <w:tcW w:w="364" w:type="dxa"/>
            <w:tcBorders/>
            <w:shd w:fill="FFFFFF" w:val="clear"/>
            <w:tcMar>
              <w:top w:w="0" w:type="dxa"/>
              <w:left w:w="0" w:type="dxa"/>
              <w:bottom w:w="0" w:type="dxa"/>
              <w:right w:w="0" w:type="dxa"/>
            </w:tcMar>
            <w:vAlign w:val="center"/>
          </w:tcPr>
          <w:p>
            <w:pPr>
              <w:pStyle w:val="TableContents"/>
              <w:bidi w:val="0"/>
              <w:spacing w:before="0" w:after="283"/>
              <w:ind w:left="0" w:right="0" w:firstLine="225"/>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net loss and loss adjustment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3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loss ratio(4):</w:t>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Personal lines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w:t>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Livery physical damage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38.6</w:t>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(955.5</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(224.4</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(66.1</w:t>
            </w:r>
          </w:p>
        </w:tc>
        <w:tc>
          <w:tcPr>
            <w:tcW w:w="36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without commercial lines in run-off</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39.8</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38.0</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1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lines (in run-off effective July 2019)(3)</w:t>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225"/>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31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3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20" w:after="283"/>
        <w:ind w:left="0" w:right="0" w:hanging="1210"/>
        <w:jc w:val="left"/>
        <w:rPr>
          <w:rFonts w:ascii="Times New Roman;serif" w:hAnsi="Times New Roman;serif"/>
          <w:b w:val="false"/>
          <w:color w:val="000000"/>
          <w:sz w:val="18"/>
        </w:rPr>
      </w:pPr>
      <w:r>
        <w:rPr>
          <w:rFonts w:ascii="Times New Roman;serif" w:hAnsi="Times New Roman;serif"/>
          <w:b w:val="false"/>
          <w:color w:val="000000"/>
          <w:sz w:val="18"/>
        </w:rPr>
        <w:t>(1)Direct premiums written and net premiums written are non-GAAP measures, defined above under "Key GAAP and Non-GAAP Measures". See "Non-GAAP Financial Measures" below for a reconciliation of direct premiums written and net premiums written to the GAAP measure of net premiums earned.</w:t>
      </w:r>
    </w:p>
    <w:p>
      <w:pPr>
        <w:pStyle w:val="TextBody"/>
        <w:bidi w:val="0"/>
        <w:spacing w:lineRule="auto" w:line="288" w:before="120" w:after="283"/>
        <w:ind w:left="0" w:right="0" w:hanging="1210"/>
        <w:jc w:val="left"/>
        <w:rPr/>
      </w:pPr>
      <w:r>
        <w:rPr>
          <w:rFonts w:ascii="Times New Roman;serif" w:hAnsi="Times New Roman;serif"/>
          <w:b w:val="false"/>
          <w:color w:val="000000"/>
          <w:sz w:val="18"/>
        </w:rPr>
        <w:t>(2)</w:t>
      </w:r>
      <w:r>
        <w:rPr>
          <w:color w:val="000000"/>
        </w:rPr>
        <w:t>“</w:t>
      </w:r>
      <w:r>
        <w:rPr>
          <w:rFonts w:ascii="Times New Roman;serif" w:hAnsi="Times New Roman;serif"/>
          <w:b w:val="false"/>
          <w:color w:val="000000"/>
          <w:sz w:val="18"/>
        </w:rPr>
        <w:t xml:space="preserve">Other” includes, among other things, premiums and loss and loss adjustment expenses from our participation in a mandatory state joint underwriting association and loss and loss adjustment expenses from commercial auto. </w:t>
      </w:r>
    </w:p>
    <w:p>
      <w:pPr>
        <w:pStyle w:val="TextBody"/>
        <w:bidi w:val="0"/>
        <w:spacing w:lineRule="auto" w:line="288" w:before="0" w:after="0"/>
        <w:ind w:left="0" w:right="0" w:hanging="1210"/>
        <w:jc w:val="left"/>
        <w:rPr>
          <w:rFonts w:ascii="Times New Roman;serif" w:hAnsi="Times New Roman;serif"/>
          <w:b w:val="false"/>
          <w:color w:val="000000"/>
          <w:sz w:val="18"/>
        </w:rPr>
      </w:pPr>
      <w:r>
        <w:rPr>
          <w:rFonts w:ascii="Times New Roman;serif" w:hAnsi="Times New Roman;serif"/>
          <w:b w:val="false"/>
          <w:color w:val="000000"/>
          <w:sz w:val="18"/>
        </w:rPr>
        <w:t>(3)In July 2019, we decided that we will no longer underwrite commercial liability risks. See discussions above regarding the discontinuation of this line of business.</w:t>
      </w:r>
    </w:p>
    <w:p>
      <w:pPr>
        <w:pStyle w:val="TextBody"/>
        <w:bidi w:val="0"/>
        <w:spacing w:lineRule="auto" w:line="288" w:before="0" w:after="0"/>
        <w:ind w:left="0" w:right="0" w:hanging="1210"/>
        <w:jc w:val="left"/>
        <w:rPr>
          <w:rFonts w:ascii="Times New Roman;serif" w:hAnsi="Times New Roman;serif"/>
          <w:b w:val="false"/>
          <w:color w:val="000000"/>
          <w:sz w:val="18"/>
        </w:rPr>
      </w:pPr>
      <w:r>
        <w:rPr>
          <w:rFonts w:ascii="Times New Roman;serif" w:hAnsi="Times New Roman;serif"/>
          <w:b w:val="false"/>
          <w:color w:val="000000"/>
          <w:sz w:val="18"/>
        </w:rPr>
        <w:t xml:space="preserve">(4)See discussion above with regard to “Net Loss and LAE”, as to catastrophe losses in the three months and six months ended June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120" w:after="283"/>
        <w:jc w:val="both"/>
        <w:rPr/>
      </w:pPr>
      <w:r>
        <w:rPr/>
      </w:r>
    </w:p>
    <w:p>
      <w:pPr>
        <w:pStyle w:val="TextBody"/>
        <w:bidi w:val="0"/>
        <w:spacing w:lineRule="auto" w:line="288" w:before="120" w:after="283"/>
        <w:jc w:val="both"/>
        <w:rPr/>
      </w:pPr>
      <w:r>
        <w:rPr>
          <w:rFonts w:ascii="Times New Roman;serif" w:hAnsi="Times New Roman;serif"/>
          <w:b/>
          <w:color w:val="000000"/>
          <w:sz w:val="18"/>
        </w:rPr>
        <w:t>Insurance Underwriting Business on a Standalone Basis</w:t>
      </w:r>
      <w:r>
        <w:rPr>
          <w:rFonts w:ascii="Times New Roman;serif" w:hAnsi="Times New Roman;serif"/>
          <w:b/>
          <w:color w:val="000000"/>
          <w:sz w:val="12"/>
        </w:rPr>
        <w:t>(1)</w:t>
      </w:r>
      <w:r>
        <w:rPr>
          <w:color w:val="000000"/>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18"/>
        </w:rPr>
        <w:t>Our insurance underwriting business reported on a standalone basis</w:t>
      </w:r>
      <w:r>
        <w:rPr>
          <w:rFonts w:ascii="Times New Roman;serif" w:hAnsi="Times New Roman;serif"/>
          <w:b w:val="false"/>
          <w:color w:val="000000"/>
          <w:sz w:val="12"/>
        </w:rPr>
        <w:t>(1)</w:t>
      </w:r>
      <w:r>
        <w:rPr>
          <w:color w:val="000000"/>
        </w:rPr>
        <w:t xml:space="preserve"> </w:t>
      </w:r>
      <w:r>
        <w:rPr>
          <w:rFonts w:ascii="Times New Roman;serif" w:hAnsi="Times New Roman;serif"/>
          <w:b w:val="false"/>
          <w:color w:val="000000"/>
          <w:sz w:val="18"/>
        </w:rPr>
        <w:t xml:space="preserve">for the periods indicated is as follows: </w:t>
      </w:r>
    </w:p>
    <w:tbl>
      <w:tblPr>
        <w:tblW w:w="10205" w:type="dxa"/>
        <w:jc w:val="left"/>
        <w:tblInd w:w="0" w:type="dxa"/>
        <w:tblLayout w:type="fixed"/>
        <w:tblCellMar>
          <w:top w:w="28" w:type="dxa"/>
          <w:left w:w="28" w:type="dxa"/>
          <w:bottom w:w="28" w:type="dxa"/>
          <w:right w:w="28" w:type="dxa"/>
        </w:tblCellMar>
      </w:tblPr>
      <w:tblGrid>
        <w:gridCol w:w="1307"/>
        <w:gridCol w:w="945"/>
        <w:gridCol w:w="954"/>
        <w:gridCol w:w="196"/>
        <w:gridCol w:w="961"/>
        <w:gridCol w:w="256"/>
        <w:gridCol w:w="109"/>
        <w:gridCol w:w="109"/>
        <w:gridCol w:w="109"/>
        <w:gridCol w:w="196"/>
        <w:gridCol w:w="961"/>
        <w:gridCol w:w="256"/>
        <w:gridCol w:w="109"/>
        <w:gridCol w:w="109"/>
        <w:gridCol w:w="109"/>
        <w:gridCol w:w="196"/>
        <w:gridCol w:w="1051"/>
        <w:gridCol w:w="256"/>
        <w:gridCol w:w="109"/>
        <w:gridCol w:w="109"/>
        <w:gridCol w:w="109"/>
        <w:gridCol w:w="196"/>
        <w:gridCol w:w="961"/>
        <w:gridCol w:w="532"/>
      </w:tblGrid>
      <w:tr>
        <w:trPr/>
        <w:tc>
          <w:tcPr>
            <w:tcW w:w="130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Revenues</w:t>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3,428,729 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2,300,267 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6,766,310 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4,348,863 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gains (losses) on investments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240,345 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546,451 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(775,002)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408,472 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1,965,989 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291,127 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65,853,528 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52,294,707 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125,629,241 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102,793,021 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11,573,138 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10,629,629 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21,768,550 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19,942,509 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8,655,155 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7,727,367 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17,016,428 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15,132,789 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761,473 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613,364 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1,476,980 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1,237,227 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58,808 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128,663 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158,551 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44,979,071 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36,974,596 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109,895,502 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81,573,316 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20,874,457 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15,320,111 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15,733,739 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21,219,705 </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4,342,857 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3,201,227 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3,234,965 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4,434,352 </w:t>
            </w:r>
          </w:p>
        </w:tc>
        <w:tc>
          <w:tcPr>
            <w:tcW w:w="5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color w:val="000000"/>
                <w:sz w:val="20"/>
              </w:rPr>
              <w:t>Net income from insurance underwriting business on a standalone basis</w:t>
            </w:r>
            <w:r>
              <w:rPr>
                <w:rFonts w:ascii="Times New Roman;serif" w:hAnsi="Times New Roman;serif"/>
                <w:b/>
                <w:color w:val="000000"/>
                <w:sz w:val="13"/>
              </w:rPr>
              <w:t>(1)</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16,531,600 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12,118,884 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12,498,774 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16,785,353 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Key Measures:</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50.3 </w:t>
            </w:r>
          </w:p>
        </w:tc>
        <w:tc>
          <w:tcPr>
            <w:tcW w:w="532"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32"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5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underwriting expense ratio:</w:t>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costs and other</w:t>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4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expenses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20,228,293 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18,356,996 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38,784,978 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35,075,298 </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Ceding commission revenue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w:t>
            </w:r>
          </w:p>
        </w:tc>
        <w:tc>
          <w:tcPr>
            <w:tcW w:w="532"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Other income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(291,127)</w:t>
            </w:r>
          </w:p>
        </w:tc>
        <w:tc>
          <w:tcPr>
            <w:tcW w:w="5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18,511,316 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15,124,267 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35,483,336 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28,743,924 </w:t>
            </w:r>
          </w:p>
        </w:tc>
        <w:tc>
          <w:tcPr>
            <w:tcW w:w="5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5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115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25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32.0 </w:t>
            </w:r>
          </w:p>
        </w:tc>
        <w:tc>
          <w:tcPr>
            <w:tcW w:w="53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ind w:left="0" w:right="0" w:firstLine="675"/>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18"/>
        </w:rPr>
      </w:pPr>
      <w:r>
        <w:rPr>
          <w:rFonts w:ascii="Times New Roman;serif" w:hAnsi="Times New Roman;serif"/>
          <w:b w:val="false"/>
          <w:color w:val="000000"/>
          <w:sz w:val="18"/>
        </w:rPr>
        <w:t>(1) Net income from insurance underwriting business on a standalone basis is a non-GAAP measure, which is computed as GAAP net income without the effect of holding company operations on GAAP net income. See "Non-GAAP Financial Measures" for a reconciliation of net income from insurance underwriting business on a standalone basis to the GAAP measure of net income.</w:t>
      </w:r>
    </w:p>
    <w:p>
      <w:pPr>
        <w:pStyle w:val="TextBody"/>
        <w:bidi w:val="0"/>
        <w:spacing w:before="0" w:after="0"/>
        <w:ind w:left="0" w:right="0" w:firstLine="675"/>
        <w:jc w:val="both"/>
        <w:rPr/>
      </w:pPr>
      <w:r>
        <w:rPr/>
      </w:r>
    </w:p>
    <w:p>
      <w:pPr>
        <w:pStyle w:val="TextBody"/>
        <w:bidi w:val="0"/>
        <w:spacing w:lineRule="auto" w:line="288" w:before="0" w:after="0"/>
        <w:ind w:left="0" w:right="0" w:firstLine="675"/>
        <w:jc w:val="center"/>
        <w:rPr>
          <w:rFonts w:ascii="Times New Roman;serif" w:hAnsi="Times New Roman;serif"/>
          <w:b w:val="false"/>
          <w:color w:val="000000"/>
          <w:sz w:val="18"/>
        </w:rPr>
      </w:pPr>
      <w:r>
        <w:rPr>
          <w:rFonts w:ascii="Times New Roman;serif" w:hAnsi="Times New Roman;serif"/>
          <w:b w:val="false"/>
          <w:color w:val="000000"/>
          <w:sz w:val="18"/>
        </w:rPr>
        <w:t>An analysis of our direct, assumed and ceded earned premiums, loss and loss adjustment expenses, and loss ratios is shown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9498" w:type="dxa"/>
        <w:jc w:val="center"/>
        <w:tblInd w:w="0" w:type="dxa"/>
        <w:tblLayout w:type="fixed"/>
        <w:tblCellMar>
          <w:top w:w="28" w:type="dxa"/>
          <w:left w:w="28" w:type="dxa"/>
          <w:bottom w:w="28" w:type="dxa"/>
          <w:right w:w="28" w:type="dxa"/>
        </w:tblCellMar>
      </w:tblPr>
      <w:tblGrid>
        <w:gridCol w:w="1332"/>
        <w:gridCol w:w="1176"/>
        <w:gridCol w:w="1181"/>
        <w:gridCol w:w="196"/>
        <w:gridCol w:w="1051"/>
        <w:gridCol w:w="256"/>
        <w:gridCol w:w="109"/>
        <w:gridCol w:w="109"/>
        <w:gridCol w:w="109"/>
        <w:gridCol w:w="109"/>
        <w:gridCol w:w="109"/>
        <w:gridCol w:w="109"/>
        <w:gridCol w:w="109"/>
        <w:gridCol w:w="196"/>
        <w:gridCol w:w="1036"/>
        <w:gridCol w:w="256"/>
        <w:gridCol w:w="109"/>
        <w:gridCol w:w="109"/>
        <w:gridCol w:w="109"/>
        <w:gridCol w:w="196"/>
        <w:gridCol w:w="1051"/>
        <w:gridCol w:w="481"/>
      </w:tblGrid>
      <w:tr>
        <w:trPr/>
        <w:tc>
          <w:tcPr>
            <w:tcW w:w="133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Direct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Ceded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Net </w:t>
            </w:r>
          </w:p>
        </w:tc>
      </w:tr>
      <w:tr>
        <w:trPr/>
        <w:tc>
          <w:tcPr>
            <w:tcW w:w="36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2026</w:t>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142,097,049 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3,285,295 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145,382,344 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1,400,866 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(30,446,919)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(29,046,053)</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143,497,915 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(27,161,624)</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 excluding</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catastrophes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61,304,337 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(5,805,435)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55,498,902 </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26,740,781 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(12,734,802)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14,005,979 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88,045,118 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(18,540,237)</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180"/>
              <w:jc w:val="left"/>
              <w:rPr/>
            </w:pPr>
            <w:r>
              <w:rPr>
                <w:rFonts w:ascii="Times New Roman;serif" w:hAnsi="Times New Roman;serif"/>
                <w:b w:val="false"/>
                <w:color w:val="000000"/>
                <w:sz w:val="18"/>
              </w:rPr>
              <w:t>Loss ratio excluding the effect of catastrophes</w:t>
            </w:r>
            <w:r>
              <w:rPr>
                <w:rFonts w:ascii="Times New Roman;serif" w:hAnsi="Times New Roman;serif"/>
                <w:b w:val="false"/>
                <w:color w:val="000000"/>
                <w:sz w:val="12"/>
              </w:rPr>
              <w:t>(2)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ratio</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61.4</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Six months ended June 30, 2025</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119,237,405 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(6,017,324)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113,220,081 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4,438,637 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(27,920,395)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(23,481,758)</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123,676,042 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(33,937,719)</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 excluding</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catastrophes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54,510,804 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(10,447,449)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44,063,355 </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1,236,768 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(197,883)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1,038,885 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55,747,572 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(10,645,332)</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180"/>
              <w:jc w:val="left"/>
              <w:rPr/>
            </w:pPr>
            <w:r>
              <w:rPr>
                <w:rFonts w:ascii="Times New Roman;serif" w:hAnsi="Times New Roman;serif"/>
                <w:b w:val="false"/>
                <w:color w:val="000000"/>
                <w:sz w:val="18"/>
              </w:rPr>
              <w:t>Loss ratio excluding the effect of catastrophes</w:t>
            </w:r>
            <w:r>
              <w:rPr>
                <w:rFonts w:ascii="Times New Roman;serif" w:hAnsi="Times New Roman;serif"/>
                <w:b w:val="false"/>
                <w:color w:val="000000"/>
                <w:sz w:val="12"/>
              </w:rPr>
              <w:t>(2)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44.1</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ratio</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2026</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72,493,668 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(4,704,561)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67,789,107 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1,015,525 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(8,337,155)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(7,321,630)</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73,509,193 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(13,041,716)</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4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 excluding</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catastrophes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26,693,374 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(2,270,207)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24,423,167 </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1,121,382 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(1,614,052)</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(492,670)</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27,814,756 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(3,884,259)</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180"/>
              <w:jc w:val="left"/>
              <w:rPr/>
            </w:pPr>
            <w:r>
              <w:rPr>
                <w:rFonts w:ascii="Times New Roman;serif" w:hAnsi="Times New Roman;serif"/>
                <w:b w:val="false"/>
                <w:color w:val="000000"/>
                <w:sz w:val="18"/>
              </w:rPr>
              <w:t>Loss ratio excluding the effect of catastrophes</w:t>
            </w:r>
            <w:r>
              <w:rPr>
                <w:rFonts w:ascii="Times New Roman;serif" w:hAnsi="Times New Roman;serif"/>
                <w:b w:val="false"/>
                <w:color w:val="000000"/>
                <w:sz w:val="12"/>
              </w:rPr>
              <w:t>(2)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17.4 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ratio</w:t>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Written premiums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61,062,409 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(8,851,735)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52,210,674 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1,968,256 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(7,963,670)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(5,995,414)</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Earned premiums</w:t>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63,030,665 </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(16,815,405)</w:t>
            </w:r>
          </w:p>
        </w:tc>
        <w:tc>
          <w:tcPr>
            <w:tcW w:w="2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481"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 excluding</w:t>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 effect of catastrophes</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21,169,474 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(3,531,000)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17,638,474 </w:t>
            </w:r>
          </w:p>
        </w:tc>
        <w:tc>
          <w:tcPr>
            <w:tcW w:w="48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343,676 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288,688 </w:t>
            </w:r>
          </w:p>
        </w:tc>
        <w:tc>
          <w:tcPr>
            <w:tcW w:w="48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and loss adjustment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21,513,150 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(3,585,988)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4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ratio excluding the effect of catastrophes(2)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48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48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 ratio</w:t>
            </w:r>
          </w:p>
        </w:tc>
        <w:tc>
          <w:tcPr>
            <w:tcW w:w="1247"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21.3</w:t>
            </w:r>
          </w:p>
        </w:tc>
        <w:tc>
          <w:tcPr>
            <w:tcW w:w="2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4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i/>
          <w:color w:val="000000"/>
          <w:sz w:val="18"/>
        </w:rPr>
        <w:t>(Percent components may not sum to totals due to rounding)</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The key measures for our insurance underwriting business for the periods indicated are as follows: </w:t>
      </w:r>
    </w:p>
    <w:tbl>
      <w:tblPr>
        <w:tblW w:w="10205" w:type="dxa"/>
        <w:jc w:val="left"/>
        <w:tblInd w:w="0" w:type="dxa"/>
        <w:tblLayout w:type="fixed"/>
        <w:tblCellMar>
          <w:top w:w="28" w:type="dxa"/>
          <w:left w:w="28" w:type="dxa"/>
          <w:bottom w:w="28" w:type="dxa"/>
          <w:right w:w="28" w:type="dxa"/>
        </w:tblCellMar>
      </w:tblPr>
      <w:tblGrid>
        <w:gridCol w:w="1294"/>
        <w:gridCol w:w="954"/>
        <w:gridCol w:w="958"/>
        <w:gridCol w:w="196"/>
        <w:gridCol w:w="961"/>
        <w:gridCol w:w="285"/>
        <w:gridCol w:w="109"/>
        <w:gridCol w:w="109"/>
        <w:gridCol w:w="109"/>
        <w:gridCol w:w="196"/>
        <w:gridCol w:w="961"/>
        <w:gridCol w:w="256"/>
        <w:gridCol w:w="109"/>
        <w:gridCol w:w="109"/>
        <w:gridCol w:w="109"/>
        <w:gridCol w:w="196"/>
        <w:gridCol w:w="1051"/>
        <w:gridCol w:w="256"/>
        <w:gridCol w:w="109"/>
        <w:gridCol w:w="109"/>
        <w:gridCol w:w="109"/>
        <w:gridCol w:w="196"/>
        <w:gridCol w:w="961"/>
        <w:gridCol w:w="503"/>
      </w:tblGrid>
      <w:tr>
        <w:trPr/>
        <w:tc>
          <w:tcPr>
            <w:tcW w:w="129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earned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Ceding commission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1,532,966 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3,081,556 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2,936,842 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6,040,247 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184,011 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151,173 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364,800 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291,127 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erif" w:hAnsi="Times New Roman;serif"/>
                <w:b w:val="false"/>
                <w:color w:val="000000"/>
                <w:sz w:val="20"/>
              </w:rPr>
              <w:t>Loss and loss adjustment expenses</w:t>
            </w:r>
            <w:r>
              <w:rPr>
                <w:rFonts w:ascii="Times New Roman;serif" w:hAnsi="Times New Roman;serif"/>
                <w:b w:val="false"/>
                <w:color w:val="000000"/>
                <w:sz w:val="13"/>
              </w:rPr>
              <w:t>(1)</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23,930,497 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17,927,162 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69,504,881 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45,102,240 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costs and other underwriting expenses:</w:t>
            </w:r>
          </w:p>
        </w:tc>
        <w:tc>
          <w:tcPr>
            <w:tcW w:w="14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expense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11,573,138 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10,629,629 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21,768,550 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19,942,509 </w:t>
            </w:r>
          </w:p>
        </w:tc>
        <w:tc>
          <w:tcPr>
            <w:tcW w:w="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underwriting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8,655,155 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7,727,367 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17,016,428 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15,132,789 </w:t>
            </w:r>
          </w:p>
        </w:tc>
        <w:tc>
          <w:tcPr>
            <w:tcW w:w="5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acquisition costs and other underwriting expenses</w:t>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20,228,293 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18,356,996 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38,784,978 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35,075,298 </w:t>
            </w:r>
          </w:p>
        </w:tc>
        <w:tc>
          <w:tcPr>
            <w:tcW w:w="5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Underwriting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18,025,664 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13,163,831 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11,348,074 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15,892,159 </w:t>
            </w:r>
          </w:p>
        </w:tc>
        <w:tc>
          <w:tcPr>
            <w:tcW w:w="5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Key Measures:</w:t>
            </w:r>
          </w:p>
        </w:tc>
        <w:tc>
          <w:tcPr>
            <w:tcW w:w="14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Net loss ratio excluding the effect of catastrophes</w:t>
            </w:r>
            <w:r>
              <w:rPr>
                <w:rFonts w:ascii="Times New Roman;serif" w:hAnsi="Times New Roman;serif"/>
                <w:b w:val="false"/>
                <w:color w:val="000000"/>
                <w:sz w:val="12"/>
              </w:rPr>
              <w:t>(2)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w:t>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38.2</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49.1</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Effect of catastrophe loss on net loss ratio</w:t>
            </w:r>
            <w:r>
              <w:rPr>
                <w:rFonts w:ascii="Times New Roman;serif" w:hAnsi="Times New Roman;serif"/>
                <w:b w:val="false"/>
                <w:color w:val="000000"/>
                <w:sz w:val="12"/>
              </w:rPr>
              <w:t>(1)(2)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20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59.7</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50.3</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Net underwriting expense ratio excluding the effect of catastrophes</w:t>
            </w:r>
            <w:r>
              <w:rPr>
                <w:rFonts w:ascii="Times New Roman;serif" w:hAnsi="Times New Roman;serif"/>
                <w:b w:val="false"/>
                <w:color w:val="000000"/>
                <w:sz w:val="12"/>
              </w:rPr>
              <w:t>(2)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Effect of catastrophe loss on net underwriting expense ratio</w:t>
            </w:r>
            <w:r>
              <w:rPr>
                <w:rFonts w:ascii="Times New Roman;serif" w:hAnsi="Times New Roman;serif"/>
                <w:b w:val="false"/>
                <w:color w:val="000000"/>
                <w:sz w:val="12"/>
              </w:rPr>
              <w:t>(2)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20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30.6</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32.0</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Net combined ratio excluding the effect of catastrophes</w:t>
            </w:r>
            <w:r>
              <w:rPr>
                <w:rFonts w:ascii="Times New Roman;serif" w:hAnsi="Times New Roman;serif"/>
                <w:b w:val="false"/>
                <w:color w:val="000000"/>
                <w:sz w:val="12"/>
              </w:rPr>
              <w:t>(2)</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71.0</w:t>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70.9</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78.2</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81.1</w:t>
            </w:r>
          </w:p>
        </w:tc>
        <w:tc>
          <w:tcPr>
            <w:tcW w:w="5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firstLine="200"/>
              <w:jc w:val="left"/>
              <w:rPr/>
            </w:pPr>
            <w:r>
              <w:rPr>
                <w:rFonts w:ascii="Times New Roman;serif" w:hAnsi="Times New Roman;serif"/>
                <w:b w:val="false"/>
                <w:color w:val="000000"/>
                <w:sz w:val="18"/>
              </w:rPr>
              <w:t>Effect of catastrophe loss on net combined ratio</w:t>
            </w:r>
            <w:r>
              <w:rPr>
                <w:rFonts w:ascii="Times New Roman;serif" w:hAnsi="Times New Roman;serif"/>
                <w:b w:val="false"/>
                <w:color w:val="000000"/>
                <w:sz w:val="12"/>
              </w:rPr>
              <w:t>(1)(2)</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8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503"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20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w:t>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70.2</w:t>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71.5</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5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r>
        <w:trPr/>
        <w:tc>
          <w:tcPr>
            <w:tcW w:w="3206" w:type="dxa"/>
            <w:gridSpan w:val="3"/>
            <w:tcBorders/>
            <w:vAlign w:val="center"/>
          </w:tcPr>
          <w:p>
            <w:pPr>
              <w:pStyle w:val="TableContents"/>
              <w:bidi w:val="0"/>
              <w:spacing w:before="0" w:after="283"/>
              <w:jc w:val="left"/>
              <w:rPr>
                <w:sz w:val="4"/>
                <w:szCs w:val="4"/>
              </w:rPr>
            </w:pPr>
            <w:r>
              <w:rPr>
                <w:sz w:val="4"/>
                <w:szCs w:val="4"/>
              </w:rPr>
            </w:r>
          </w:p>
        </w:tc>
        <w:tc>
          <w:tcPr>
            <w:tcW w:w="14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1181"/>
        <w:jc w:val="both"/>
        <w:rPr>
          <w:rFonts w:ascii="Times New Roman;serif" w:hAnsi="Times New Roman;serif"/>
          <w:b w:val="false"/>
          <w:color w:val="000000"/>
          <w:sz w:val="18"/>
        </w:rPr>
      </w:pPr>
      <w:r>
        <w:rPr>
          <w:rFonts w:ascii="Times New Roman;serif" w:hAnsi="Times New Roman;serif"/>
          <w:b w:val="false"/>
          <w:color w:val="000000"/>
          <w:sz w:val="18"/>
        </w:rPr>
        <w:t>(1)For the three months ended June 30, 2026 and 2025, gives effect to the sum of net catastrophe losses and loss adjustment expenses of $(492,670) and $288,688, respectively. For the six months ended June 30, 2026 and 2025, gives effect to the sum of net catastrophe losses and loss adjustment expenses of $14,005,979 and $1,038,885, respectively.</w:t>
      </w:r>
    </w:p>
    <w:p>
      <w:pPr>
        <w:pStyle w:val="TextBody"/>
        <w:bidi w:val="0"/>
        <w:spacing w:lineRule="auto" w:line="288" w:before="240" w:after="283"/>
        <w:ind w:left="0" w:right="0" w:hanging="1181"/>
        <w:jc w:val="both"/>
        <w:rPr>
          <w:rFonts w:ascii="Times New Roman;serif" w:hAnsi="Times New Roman;serif"/>
          <w:b w:val="false"/>
          <w:color w:val="000000"/>
          <w:sz w:val="18"/>
        </w:rPr>
      </w:pPr>
      <w:r>
        <w:rPr>
          <w:rFonts w:ascii="Times New Roman;serif" w:hAnsi="Times New Roman;serif"/>
          <w:b w:val="false"/>
          <w:color w:val="000000"/>
          <w:sz w:val="18"/>
        </w:rPr>
        <w:t>(2)Net loss ratio excluding the effect of catastrophes is a non-GAAP ratio, which is computed as the difference between the GAAP net loss ratio and the effect of catastrophes on the net loss ratio. See "Non-GAAP Financial Measures" for a reconciliation of net loss ratio excluding the effect of catastrophes to the GAAP measure of net loss ratio. Net underwriting expense ratio excluding the effect of catastrophes is also a non-GAAP ratio, which is computed as the difference between the GAAP net underwriting expense ratio and the effect of catastrophes on the net underwriting expense ratio. See "Non-GAAP Financial Measures" for a reconciliation of net underwriting expense ratio excluding the effect of catastrophes to the GAAP measure of net underwriting expense ratio. Net combined ratio excluding the effect of catastrophes is also a non-GAAP ratio, which is computed as the difference between the GAAP net combined ratio and the effect of catastrophes on the net combined ratio. See "Non-GAAP Financial Measures" for a reconciliation of net combined ratio excluding the effect of catastrophes to the GAAP measure of net combined ratio.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color w:val="000000"/>
          <w:sz w:val="18"/>
        </w:rPr>
        <w:t>Investments</w:t>
      </w:r>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18"/>
        </w:rPr>
        <w:t>Portfolio Summary</w:t>
      </w:r>
      <w:r>
        <w:rPr>
          <w:color w:val="000000"/>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18"/>
          <w:u w:val="single"/>
        </w:rPr>
        <w:t>Fixed-Maturity Securities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a breakdown of the amortized cost, estimated fair value, and gross unrealized gains and losses of our investments in fixed-maturity securities classified as available-for-sale for which an allowance for credit loss has not been recorded, as of June 30, 2026 and December 31, 2025: </w:t>
      </w:r>
    </w:p>
    <w:tbl>
      <w:tblPr>
        <w:tblW w:w="10420" w:type="dxa"/>
        <w:jc w:val="left"/>
        <w:tblInd w:w="0" w:type="dxa"/>
        <w:tblLayout w:type="fixed"/>
        <w:tblCellMar>
          <w:top w:w="28" w:type="dxa"/>
          <w:left w:w="28" w:type="dxa"/>
          <w:bottom w:w="28" w:type="dxa"/>
          <w:right w:w="28" w:type="dxa"/>
        </w:tblCellMar>
      </w:tblPr>
      <w:tblGrid>
        <w:gridCol w:w="484"/>
        <w:gridCol w:w="320"/>
        <w:gridCol w:w="322"/>
        <w:gridCol w:w="109"/>
        <w:gridCol w:w="109"/>
        <w:gridCol w:w="109"/>
        <w:gridCol w:w="196"/>
        <w:gridCol w:w="1051"/>
        <w:gridCol w:w="109"/>
        <w:gridCol w:w="109"/>
        <w:gridCol w:w="109"/>
        <w:gridCol w:w="109"/>
        <w:gridCol w:w="196"/>
        <w:gridCol w:w="736"/>
        <w:gridCol w:w="109"/>
        <w:gridCol w:w="109"/>
        <w:gridCol w:w="109"/>
        <w:gridCol w:w="109"/>
        <w:gridCol w:w="196"/>
        <w:gridCol w:w="886"/>
        <w:gridCol w:w="109"/>
        <w:gridCol w:w="109"/>
        <w:gridCol w:w="109"/>
        <w:gridCol w:w="109"/>
        <w:gridCol w:w="196"/>
        <w:gridCol w:w="886"/>
        <w:gridCol w:w="109"/>
        <w:gridCol w:w="109"/>
        <w:gridCol w:w="109"/>
        <w:gridCol w:w="109"/>
        <w:gridCol w:w="196"/>
        <w:gridCol w:w="1051"/>
        <w:gridCol w:w="109"/>
        <w:gridCol w:w="109"/>
        <w:gridCol w:w="109"/>
        <w:gridCol w:w="109"/>
        <w:gridCol w:w="278"/>
        <w:gridCol w:w="278"/>
        <w:gridCol w:w="641"/>
      </w:tblGrid>
      <w:tr>
        <w:trPr/>
        <w:tc>
          <w:tcPr>
            <w:tcW w:w="48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Gross Unrealized 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Estimated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Less than 12</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Months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More than 12</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Months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1,498,106 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(10,291)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Political subdivisions of States, 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24,116,616 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(2,582,468)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21,582,546 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154,932,078 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(1,112,828)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(2,658,148)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151,259,652 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and other asset backed securities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144,169,245 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593,520 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(733,952)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(4,432,896)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139,595,917 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324,716,045 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740,468 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(1,857,071)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(9,673,512)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375" w:type="dxa"/>
        <w:jc w:val="left"/>
        <w:tblInd w:w="0" w:type="dxa"/>
        <w:tblLayout w:type="fixed"/>
        <w:tblCellMar>
          <w:top w:w="28" w:type="dxa"/>
          <w:left w:w="28" w:type="dxa"/>
          <w:bottom w:w="28" w:type="dxa"/>
          <w:right w:w="28" w:type="dxa"/>
        </w:tblCellMar>
      </w:tblPr>
      <w:tblGrid>
        <w:gridCol w:w="484"/>
        <w:gridCol w:w="320"/>
        <w:gridCol w:w="322"/>
        <w:gridCol w:w="109"/>
        <w:gridCol w:w="109"/>
        <w:gridCol w:w="109"/>
        <w:gridCol w:w="196"/>
        <w:gridCol w:w="1051"/>
        <w:gridCol w:w="109"/>
        <w:gridCol w:w="109"/>
        <w:gridCol w:w="109"/>
        <w:gridCol w:w="109"/>
        <w:gridCol w:w="196"/>
        <w:gridCol w:w="871"/>
        <w:gridCol w:w="109"/>
        <w:gridCol w:w="109"/>
        <w:gridCol w:w="109"/>
        <w:gridCol w:w="109"/>
        <w:gridCol w:w="196"/>
        <w:gridCol w:w="751"/>
        <w:gridCol w:w="109"/>
        <w:gridCol w:w="109"/>
        <w:gridCol w:w="109"/>
        <w:gridCol w:w="109"/>
        <w:gridCol w:w="196"/>
        <w:gridCol w:w="886"/>
        <w:gridCol w:w="109"/>
        <w:gridCol w:w="109"/>
        <w:gridCol w:w="109"/>
        <w:gridCol w:w="109"/>
        <w:gridCol w:w="196"/>
        <w:gridCol w:w="1051"/>
        <w:gridCol w:w="109"/>
        <w:gridCol w:w="109"/>
        <w:gridCol w:w="109"/>
        <w:gridCol w:w="109"/>
        <w:gridCol w:w="253"/>
        <w:gridCol w:w="258"/>
        <w:gridCol w:w="641"/>
      </w:tblGrid>
      <w:tr>
        <w:trPr/>
        <w:tc>
          <w:tcPr>
            <w:tcW w:w="48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Gross</w:t>
              <w:br/>
              <w:t>Unrealized</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Gross Unrealized Losses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Estimated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Less than 12</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Months</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More than 12</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Months</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12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and obligations of U.S. government corporations and agencies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997,124 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1,007,190 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6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Political subdivisions of States, Territories and Possessions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24,125,578 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(2,534,725)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21,773,433 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131,958,643 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567,410 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(2,540,470)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129,866,682 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44.9</w:t>
            </w:r>
          </w:p>
        </w:tc>
        <w:tc>
          <w:tcPr>
            <w:tcW w:w="64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and other asset backed securities (1)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139,656,710 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1,273,816 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(62,968)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(4,477,673)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136,389,885 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47.2</w:t>
            </w:r>
          </w:p>
        </w:tc>
        <w:tc>
          <w:tcPr>
            <w:tcW w:w="641"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fixed-maturity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296,738,055 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2,033,872 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(181,869)</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(9,552,868)</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6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00" w:after="283"/>
        <w:ind w:left="0" w:right="0" w:hanging="1181"/>
        <w:jc w:val="both"/>
        <w:rPr>
          <w:rFonts w:ascii="Times New Roman;serif" w:hAnsi="Times New Roman;serif"/>
          <w:b w:val="false"/>
          <w:color w:val="000000"/>
          <w:sz w:val="18"/>
        </w:rPr>
      </w:pPr>
      <w:r>
        <w:rPr>
          <w:rFonts w:ascii="Times New Roman;serif" w:hAnsi="Times New Roman;serif"/>
          <w:b w:val="false"/>
          <w:color w:val="000000"/>
          <w:sz w:val="18"/>
        </w:rPr>
        <w:t>(1)In October 2022, KICO placed certain U.S. Treasury securities to fulfill the required collateral for a sale leaseback transaction in a designated custodian account (see Note 7 – Debt - “Equipment Financing”). As of December 31, 2024, KICO had sold its U.S. Treasury securities and replaced a portion of its other fixed-maturity securities in the designated custodian account. As of June 30, 2026 and December 31, 2025, the amount of required collateral was approximately $2,770,000 and $3,616,000, respectively. As of June 30, 2026 and December 31, 2025, the estimated fair value of the eligible collateral was approximately $2,770,000 and $3,616,000,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0" w:after="0"/>
        <w:ind w:left="0" w:right="0" w:hanging="1181"/>
        <w:jc w:val="both"/>
        <w:rPr>
          <w:rFonts w:ascii="Times New Roman;serif" w:hAnsi="Times New Roman;serif"/>
          <w:b w:val="false"/>
          <w:color w:val="000000"/>
          <w:sz w:val="18"/>
        </w:rPr>
      </w:pPr>
      <w:r>
        <w:rPr>
          <w:rFonts w:ascii="Times New Roman;serif" w:hAnsi="Times New Roman;serif"/>
          <w:b w:val="false"/>
          <w:color w:val="000000"/>
          <w:sz w:val="18"/>
        </w:rPr>
        <w:t xml:space="preserve">(2)KICO has placed certain residential mortgage backed securities as eligible collateral in a designated custodian account related to its membership in the Federal Home Loan Bank of New York ("FHLBNY") (see Note 7 – Debt – “Federal Home Loan Bank”). The eligible collateral would be pledged to FHLBNY if KICO draws an advance from the FHLBNY credit line. As of June 30, 2026, the estimated fair value of the eligible investments was approximately $9,117,000. KICO will retain all rights regarding all securities if pledged as collateral. As of June 30, 2026 and December 31, 2025 there was no outstanding balance on the FHLBNY credit line. </w:t>
      </w:r>
    </w:p>
    <w:p>
      <w:pPr>
        <w:pStyle w:val="TextBody"/>
        <w:bidi w:val="0"/>
        <w:spacing w:lineRule="auto" w:line="288" w:before="240" w:after="283"/>
        <w:ind w:left="0" w:right="0" w:firstLine="720"/>
        <w:jc w:val="both"/>
        <w:rPr/>
      </w:pPr>
      <w:r>
        <w:rPr>
          <w:rFonts w:ascii="Times New Roman;serif" w:hAnsi="Times New Roman;serif"/>
          <w:b w:val="false"/>
          <w:color w:val="000000"/>
          <w:sz w:val="18"/>
          <w:u w:val="single"/>
        </w:rPr>
        <w:t>Equity Securities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a breakdown of the cost and estimated fair value of, and gross gains and losses on, investments in equity securities as of June 30, 2026 and December 31, 2025: </w:t>
      </w:r>
    </w:p>
    <w:tbl>
      <w:tblPr>
        <w:tblW w:w="10167" w:type="dxa"/>
        <w:jc w:val="left"/>
        <w:tblInd w:w="0" w:type="dxa"/>
        <w:tblLayout w:type="fixed"/>
        <w:tblCellMar>
          <w:top w:w="28" w:type="dxa"/>
          <w:left w:w="28" w:type="dxa"/>
          <w:bottom w:w="28" w:type="dxa"/>
          <w:right w:w="28" w:type="dxa"/>
        </w:tblCellMar>
      </w:tblPr>
      <w:tblGrid>
        <w:gridCol w:w="980"/>
        <w:gridCol w:w="863"/>
        <w:gridCol w:w="872"/>
        <w:gridCol w:w="109"/>
        <w:gridCol w:w="109"/>
        <w:gridCol w:w="109"/>
        <w:gridCol w:w="196"/>
        <w:gridCol w:w="961"/>
        <w:gridCol w:w="109"/>
        <w:gridCol w:w="109"/>
        <w:gridCol w:w="109"/>
        <w:gridCol w:w="109"/>
        <w:gridCol w:w="370"/>
        <w:gridCol w:w="398"/>
        <w:gridCol w:w="207"/>
        <w:gridCol w:w="109"/>
        <w:gridCol w:w="109"/>
        <w:gridCol w:w="109"/>
        <w:gridCol w:w="196"/>
        <w:gridCol w:w="946"/>
        <w:gridCol w:w="109"/>
        <w:gridCol w:w="109"/>
        <w:gridCol w:w="109"/>
        <w:gridCol w:w="109"/>
        <w:gridCol w:w="196"/>
        <w:gridCol w:w="871"/>
        <w:gridCol w:w="109"/>
        <w:gridCol w:w="109"/>
        <w:gridCol w:w="109"/>
        <w:gridCol w:w="109"/>
        <w:gridCol w:w="278"/>
        <w:gridCol w:w="278"/>
        <w:gridCol w:w="593"/>
      </w:tblGrid>
      <w:tr>
        <w:trPr/>
        <w:tc>
          <w:tcPr>
            <w:tcW w:w="98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Gross</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pPr>
            <w:r>
              <w:rPr>
                <w:rFonts w:ascii="Times New Roman;serif" w:hAnsi="Times New Roman;serif"/>
                <w:b/>
                <w:color w:val="000000"/>
                <w:sz w:val="18"/>
              </w:rPr>
              <w:t>Estimated</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Fair Value</w:t>
            </w:r>
            <w:r>
              <w:rPr>
                <w:color w:val="000000"/>
              </w:rPr>
              <w:t xml:space="preserve"> </w:t>
            </w:r>
          </w:p>
        </w:tc>
      </w:tr>
      <w:tr>
        <w:trPr/>
        <w:tc>
          <w:tcPr>
            <w:tcW w:w="27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(3,031,122)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6,719,200 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68.5 </w:t>
            </w:r>
          </w:p>
        </w:tc>
        <w:tc>
          <w:tcPr>
            <w:tcW w:w="5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(756,832)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59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136,900 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59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7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13,598,454 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(3,787,954)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9,810,500 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962"/>
        <w:gridCol w:w="847"/>
        <w:gridCol w:w="856"/>
        <w:gridCol w:w="109"/>
        <w:gridCol w:w="109"/>
        <w:gridCol w:w="109"/>
        <w:gridCol w:w="196"/>
        <w:gridCol w:w="961"/>
        <w:gridCol w:w="109"/>
        <w:gridCol w:w="109"/>
        <w:gridCol w:w="109"/>
        <w:gridCol w:w="109"/>
        <w:gridCol w:w="369"/>
        <w:gridCol w:w="397"/>
        <w:gridCol w:w="206"/>
        <w:gridCol w:w="109"/>
        <w:gridCol w:w="109"/>
        <w:gridCol w:w="109"/>
        <w:gridCol w:w="196"/>
        <w:gridCol w:w="944"/>
        <w:gridCol w:w="109"/>
        <w:gridCol w:w="109"/>
        <w:gridCol w:w="109"/>
        <w:gridCol w:w="109"/>
        <w:gridCol w:w="196"/>
        <w:gridCol w:w="961"/>
        <w:gridCol w:w="109"/>
        <w:gridCol w:w="109"/>
        <w:gridCol w:w="109"/>
        <w:gridCol w:w="109"/>
        <w:gridCol w:w="278"/>
        <w:gridCol w:w="278"/>
        <w:gridCol w:w="596"/>
      </w:tblGrid>
      <w:tr>
        <w:trPr/>
        <w:tc>
          <w:tcPr>
            <w:tcW w:w="96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Gross</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Unrealized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pPr>
            <w:r>
              <w:rPr>
                <w:rFonts w:ascii="Times New Roman;serif" w:hAnsi="Times New Roman;serif"/>
                <w:b/>
                <w:color w:val="000000"/>
                <w:sz w:val="18"/>
              </w:rPr>
              <w:t>Estimated</w:t>
            </w:r>
            <w:r>
              <w:rPr>
                <w:color w:val="000000"/>
              </w:rPr>
              <w:t xml:space="preserve"> </w:t>
            </w:r>
          </w:p>
          <w:p>
            <w:pPr>
              <w:pStyle w:val="TableContents"/>
              <w:bidi w:val="0"/>
              <w:spacing w:lineRule="auto" w:line="276" w:before="0" w:after="0"/>
              <w:jc w:val="center"/>
              <w:rPr/>
            </w:pPr>
            <w:r>
              <w:rPr>
                <w:rFonts w:ascii="Times New Roman;serif" w:hAnsi="Times New Roman;serif"/>
                <w:b/>
                <w:color w:val="000000"/>
                <w:sz w:val="18"/>
              </w:rPr>
              <w:t>Fair Value</w:t>
            </w:r>
            <w:r>
              <w:rPr>
                <w:color w:val="000000"/>
              </w:rPr>
              <w:t xml:space="preserve"> </w:t>
            </w:r>
          </w:p>
        </w:tc>
      </w:tr>
      <w:tr>
        <w:trPr/>
        <w:tc>
          <w:tcPr>
            <w:tcW w:w="26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Equity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stocks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9,750,322 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(2,765,627)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6,984,695 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69.5 </w:t>
            </w:r>
          </w:p>
        </w:tc>
        <w:tc>
          <w:tcPr>
            <w:tcW w:w="5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Fixed income exchange traded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3,711,232 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59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FHLBNY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85,100 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59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13,546,654 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2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(3,490,059)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10,056,595 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5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jc w:val="both"/>
        <w:rPr/>
      </w:pPr>
      <w:r>
        <w:rPr>
          <w:rFonts w:ascii="Times New Roman;serif" w:hAnsi="Times New Roman;serif"/>
          <w:b w:val="false"/>
          <w:color w:val="000000"/>
          <w:sz w:val="18"/>
          <w:u w:val="single"/>
        </w:rPr>
        <w:t>Other Investments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a breakdown of the cost and estimated fair value of, and gross gains on, our other investments as of June 30, 2026 and December 31, 2025: </w:t>
      </w:r>
    </w:p>
    <w:tbl>
      <w:tblPr>
        <w:tblW w:w="10205" w:type="dxa"/>
        <w:jc w:val="left"/>
        <w:tblInd w:w="0" w:type="dxa"/>
        <w:tblLayout w:type="fixed"/>
        <w:tblCellMar>
          <w:top w:w="28" w:type="dxa"/>
          <w:left w:w="28" w:type="dxa"/>
          <w:bottom w:w="28" w:type="dxa"/>
          <w:right w:w="28" w:type="dxa"/>
        </w:tblCellMar>
      </w:tblPr>
      <w:tblGrid>
        <w:gridCol w:w="412"/>
        <w:gridCol w:w="363"/>
        <w:gridCol w:w="366"/>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5"/>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2"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Fair Value</w:t>
            </w:r>
          </w:p>
        </w:tc>
      </w:tr>
      <w:tr>
        <w:trPr/>
        <w:tc>
          <w:tcPr>
            <w:tcW w:w="11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Other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Hedge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2,293,482 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4,280,522 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1,987,040 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2,565,338 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4,552,378 </w:t>
            </w:r>
          </w:p>
        </w:tc>
        <w:tc>
          <w:tcPr>
            <w:tcW w:w="155"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18"/>
          <w:u w:val="single"/>
        </w:rPr>
        <w:t>Held-to-Maturity Securities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presents a breakdown of the amortized cost and estimated fair value of, and gross unrealized gains and losses on, investments in held-to-maturity securities as of June 30, 2026 and December 31, 2025: </w:t>
      </w:r>
    </w:p>
    <w:tbl>
      <w:tblPr>
        <w:tblW w:w="10205" w:type="dxa"/>
        <w:jc w:val="left"/>
        <w:tblInd w:w="0" w:type="dxa"/>
        <w:tblLayout w:type="fixed"/>
        <w:tblCellMar>
          <w:top w:w="28" w:type="dxa"/>
          <w:left w:w="28" w:type="dxa"/>
          <w:bottom w:w="28" w:type="dxa"/>
          <w:right w:w="28" w:type="dxa"/>
        </w:tblCellMar>
      </w:tblPr>
      <w:tblGrid>
        <w:gridCol w:w="689"/>
        <w:gridCol w:w="606"/>
        <w:gridCol w:w="611"/>
        <w:gridCol w:w="109"/>
        <w:gridCol w:w="109"/>
        <w:gridCol w:w="109"/>
        <w:gridCol w:w="196"/>
        <w:gridCol w:w="871"/>
        <w:gridCol w:w="109"/>
        <w:gridCol w:w="109"/>
        <w:gridCol w:w="109"/>
        <w:gridCol w:w="109"/>
        <w:gridCol w:w="356"/>
        <w:gridCol w:w="383"/>
        <w:gridCol w:w="199"/>
        <w:gridCol w:w="109"/>
        <w:gridCol w:w="109"/>
        <w:gridCol w:w="109"/>
        <w:gridCol w:w="201"/>
        <w:gridCol w:w="598"/>
        <w:gridCol w:w="111"/>
        <w:gridCol w:w="109"/>
        <w:gridCol w:w="109"/>
        <w:gridCol w:w="109"/>
        <w:gridCol w:w="196"/>
        <w:gridCol w:w="764"/>
        <w:gridCol w:w="109"/>
        <w:gridCol w:w="109"/>
        <w:gridCol w:w="109"/>
        <w:gridCol w:w="109"/>
        <w:gridCol w:w="196"/>
        <w:gridCol w:w="871"/>
        <w:gridCol w:w="109"/>
        <w:gridCol w:w="109"/>
        <w:gridCol w:w="109"/>
        <w:gridCol w:w="109"/>
        <w:gridCol w:w="258"/>
        <w:gridCol w:w="253"/>
        <w:gridCol w:w="557"/>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Estimated</w:t>
            </w:r>
          </w:p>
          <w:p>
            <w:pPr>
              <w:pStyle w:val="TableContents"/>
              <w:bidi w:val="0"/>
              <w:spacing w:lineRule="auto" w:line="276" w:before="0" w:after="0"/>
              <w:jc w:val="center"/>
              <w:rPr/>
            </w:pPr>
            <w:r>
              <w:rPr>
                <w:rFonts w:ascii="Times New Roman;serif" w:hAnsi="Times New Roman;serif"/>
                <w:b/>
                <w:color w:val="000000"/>
                <w:sz w:val="18"/>
              </w:rPr>
              <w:t>Fair Value</w:t>
            </w:r>
            <w:r>
              <w:rPr>
                <w:color w:val="000000"/>
              </w:rPr>
              <w:t xml:space="preserve"> </w:t>
            </w:r>
          </w:p>
        </w:tc>
      </w:tr>
      <w:tr>
        <w:trPr/>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Less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More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1,229,652 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(67,861)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4,505,928 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(870,763)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3,635,165 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6,039,691 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(5,009)</w:t>
            </w:r>
          </w:p>
        </w:tc>
        <w:tc>
          <w:tcPr>
            <w:tcW w:w="1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(969,341)</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5,065,341 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5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tbl>
      <w:tblPr>
        <w:tblW w:w="10205" w:type="dxa"/>
        <w:jc w:val="left"/>
        <w:tblInd w:w="0" w:type="dxa"/>
        <w:tblLayout w:type="fixed"/>
        <w:tblCellMar>
          <w:top w:w="28" w:type="dxa"/>
          <w:left w:w="28" w:type="dxa"/>
          <w:bottom w:w="28" w:type="dxa"/>
          <w:right w:w="28" w:type="dxa"/>
        </w:tblCellMar>
      </w:tblPr>
      <w:tblGrid>
        <w:gridCol w:w="689"/>
        <w:gridCol w:w="606"/>
        <w:gridCol w:w="611"/>
        <w:gridCol w:w="109"/>
        <w:gridCol w:w="109"/>
        <w:gridCol w:w="109"/>
        <w:gridCol w:w="196"/>
        <w:gridCol w:w="871"/>
        <w:gridCol w:w="109"/>
        <w:gridCol w:w="109"/>
        <w:gridCol w:w="109"/>
        <w:gridCol w:w="109"/>
        <w:gridCol w:w="356"/>
        <w:gridCol w:w="383"/>
        <w:gridCol w:w="199"/>
        <w:gridCol w:w="109"/>
        <w:gridCol w:w="109"/>
        <w:gridCol w:w="109"/>
        <w:gridCol w:w="201"/>
        <w:gridCol w:w="598"/>
        <w:gridCol w:w="111"/>
        <w:gridCol w:w="109"/>
        <w:gridCol w:w="109"/>
        <w:gridCol w:w="109"/>
        <w:gridCol w:w="196"/>
        <w:gridCol w:w="764"/>
        <w:gridCol w:w="109"/>
        <w:gridCol w:w="109"/>
        <w:gridCol w:w="109"/>
        <w:gridCol w:w="109"/>
        <w:gridCol w:w="196"/>
        <w:gridCol w:w="871"/>
        <w:gridCol w:w="109"/>
        <w:gridCol w:w="109"/>
        <w:gridCol w:w="109"/>
        <w:gridCol w:w="109"/>
        <w:gridCol w:w="258"/>
        <w:gridCol w:w="253"/>
        <w:gridCol w:w="557"/>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Cost or </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Gross </w:t>
              <w:br/>
              <w:t xml:space="preserve">Unrealized </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6"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Gross Unrealized Losses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restart"/>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of</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Estimated</w:t>
            </w:r>
          </w:p>
          <w:p>
            <w:pPr>
              <w:pStyle w:val="TableContents"/>
              <w:bidi w:val="0"/>
              <w:spacing w:lineRule="auto" w:line="276" w:before="0" w:after="0"/>
              <w:jc w:val="center"/>
              <w:rPr/>
            </w:pPr>
            <w:r>
              <w:rPr>
                <w:rFonts w:ascii="Times New Roman;serif" w:hAnsi="Times New Roman;serif"/>
                <w:b/>
                <w:color w:val="000000"/>
                <w:sz w:val="18"/>
              </w:rPr>
              <w:t>Fair Value</w:t>
            </w:r>
            <w:r>
              <w:rPr>
                <w:color w:val="000000"/>
              </w:rPr>
              <w:t xml:space="preserve"> </w:t>
            </w:r>
          </w:p>
        </w:tc>
      </w:tr>
      <w:tr>
        <w:trPr/>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Less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Months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More than 12</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 xml:space="preserve">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Held-to-Maturity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1,229,490 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(22,083)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1,204,337 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8" w:type="dxa"/>
            <w:gridSpan w:val="3"/>
            <w:tcBorders/>
            <w:vAlign w:val="center"/>
          </w:tcPr>
          <w:p>
            <w:pPr>
              <w:pStyle w:val="TableContents"/>
              <w:bidi w:val="0"/>
              <w:spacing w:before="0" w:after="283"/>
              <w:jc w:val="left"/>
              <w:rPr>
                <w:sz w:val="4"/>
                <w:szCs w:val="4"/>
              </w:rPr>
            </w:pPr>
            <w:r>
              <w:rPr>
                <w:sz w:val="4"/>
                <w:szCs w:val="4"/>
              </w:rPr>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traded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55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3,690,930 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71.8</w:t>
            </w:r>
          </w:p>
        </w:tc>
        <w:tc>
          <w:tcPr>
            <w:tcW w:w="55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9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6,042,348 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(3,070)</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(902,011)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5,137,267 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Held-to-maturity U.S. Treasury securities are held in trust pursuant to various states’ minimum fund requirements.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 summary of the amortized cost and fair value of our investments in held-to-maturity securities by contractual maturity as of June 30, 2026 and December 31, 2025 is shown below: </w:t>
      </w:r>
    </w:p>
    <w:tbl>
      <w:tblPr>
        <w:tblW w:w="8382" w:type="dxa"/>
        <w:jc w:val="left"/>
        <w:tblInd w:w="0" w:type="dxa"/>
        <w:tblLayout w:type="fixed"/>
        <w:tblCellMar>
          <w:top w:w="28" w:type="dxa"/>
          <w:left w:w="28" w:type="dxa"/>
          <w:bottom w:w="28" w:type="dxa"/>
          <w:right w:w="28" w:type="dxa"/>
        </w:tblCellMar>
      </w:tblPr>
      <w:tblGrid>
        <w:gridCol w:w="842"/>
        <w:gridCol w:w="740"/>
        <w:gridCol w:w="74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Remaining Time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Estimated</w:t>
              <w:br/>
              <w:t>Fair Value</w:t>
            </w:r>
          </w:p>
        </w:tc>
      </w:tr>
      <w:tr>
        <w:trPr/>
        <w:tc>
          <w:tcPr>
            <w:tcW w:w="23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499,772 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One to five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1,570,465 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1,522,172 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2,063,366 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2,029,462 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Five to ten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More than 10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3,969,454 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3,048,514 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3,978,982 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3,107,805 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6,039,691 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5,065,341 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6,042,348 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5,137,267 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pPr>
      <w:r>
        <w:rPr>
          <w:rFonts w:ascii="Times New Roman;serif" w:hAnsi="Times New Roman;serif"/>
          <w:b/>
          <w:i/>
          <w:color w:val="000000"/>
          <w:sz w:val="18"/>
        </w:rPr>
        <w:t>Credit Rating of Fixed-Maturity Securities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credit quality of our available-for-sale fixed-maturity securities as of June 30, 2026 and December 31, 2025 as rated by Standard &amp; Poor’s (or, if unavailable from Standard &amp; Poor’s, then Moody’s, Fitch, or Kroll): </w:t>
      </w:r>
    </w:p>
    <w:tbl>
      <w:tblPr>
        <w:tblW w:w="10205" w:type="dxa"/>
        <w:jc w:val="left"/>
        <w:tblInd w:w="0" w:type="dxa"/>
        <w:tblLayout w:type="fixed"/>
        <w:tblCellMar>
          <w:top w:w="28" w:type="dxa"/>
          <w:left w:w="28" w:type="dxa"/>
          <w:bottom w:w="28" w:type="dxa"/>
          <w:right w:w="28" w:type="dxa"/>
        </w:tblCellMar>
      </w:tblPr>
      <w:tblGrid>
        <w:gridCol w:w="1439"/>
        <w:gridCol w:w="1161"/>
        <w:gridCol w:w="1183"/>
        <w:gridCol w:w="109"/>
        <w:gridCol w:w="109"/>
        <w:gridCol w:w="109"/>
        <w:gridCol w:w="196"/>
        <w:gridCol w:w="1051"/>
        <w:gridCol w:w="109"/>
        <w:gridCol w:w="109"/>
        <w:gridCol w:w="109"/>
        <w:gridCol w:w="109"/>
        <w:gridCol w:w="258"/>
        <w:gridCol w:w="255"/>
        <w:gridCol w:w="561"/>
        <w:gridCol w:w="109"/>
        <w:gridCol w:w="109"/>
        <w:gridCol w:w="109"/>
        <w:gridCol w:w="196"/>
        <w:gridCol w:w="1051"/>
        <w:gridCol w:w="109"/>
        <w:gridCol w:w="109"/>
        <w:gridCol w:w="109"/>
        <w:gridCol w:w="109"/>
        <w:gridCol w:w="253"/>
        <w:gridCol w:w="258"/>
        <w:gridCol w:w="817"/>
      </w:tblGrid>
      <w:tr>
        <w:trPr/>
        <w:tc>
          <w:tcPr>
            <w:tcW w:w="14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Percentage of</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Estimated</w:t>
            </w:r>
          </w:p>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w:t>
              <w:br/>
              <w:t xml:space="preserve">Fair </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w:t>
              <w:br/>
              <w:t>Estimated</w:t>
              <w:br/>
              <w:t>Fair Value</w:t>
            </w:r>
          </w:p>
        </w:tc>
      </w:tr>
      <w:tr>
        <w:trPr/>
        <w:tc>
          <w:tcPr>
            <w:tcW w:w="37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1,487,815 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1,007,198 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3,350,711 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3,388,595 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20,241,390 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18,728,005 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83,848,910 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72,631,685 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37,260,957 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29,128,976 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24,588,788 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24,203,080 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1,968,085 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1,958,225 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firstLine="360"/>
              <w:jc w:val="left"/>
              <w:rPr>
                <w:sz w:val="4"/>
                <w:szCs w:val="4"/>
              </w:rPr>
            </w:pPr>
            <w:r>
              <w:rPr>
                <w:sz w:val="4"/>
                <w:szCs w:val="4"/>
              </w:rPr>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corporate and 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171,258,841 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54.6</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150,038,566 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52.0</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asset backed, and other collateralized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AAA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47,640,224 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50,779,398 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68,334,241 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64,073,127 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22,403,831 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18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CCC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390,642 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6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81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ind w:left="0" w:right="0" w:firstLine="180"/>
              <w:jc w:val="left"/>
              <w:rPr>
                <w:sz w:val="4"/>
                <w:szCs w:val="4"/>
              </w:rPr>
            </w:pPr>
            <w:r>
              <w:rPr>
                <w:sz w:val="4"/>
                <w:szCs w:val="4"/>
              </w:rPr>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Non-rated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297,345 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56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81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residential mortgage backed, asset backed, and other collateralized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141,179,274 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45.0</w:t>
            </w:r>
          </w:p>
        </w:tc>
        <w:tc>
          <w:tcPr>
            <w:tcW w:w="5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137,991,426 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47.8</w:t>
            </w:r>
          </w:p>
        </w:tc>
        <w:tc>
          <w:tcPr>
            <w:tcW w:w="8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7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313,925,930 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56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289,037,190 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w:t>
            </w:r>
          </w:p>
        </w:tc>
        <w:tc>
          <w:tcPr>
            <w:tcW w:w="817"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summarizes the average yield by type of fixed-maturity security as of June 30, 2026 and December 31, 2025: </w:t>
      </w:r>
    </w:p>
    <w:tbl>
      <w:tblPr>
        <w:tblW w:w="8951" w:type="dxa"/>
        <w:jc w:val="left"/>
        <w:tblInd w:w="0" w:type="dxa"/>
        <w:tblLayout w:type="fixed"/>
        <w:tblCellMar>
          <w:top w:w="28" w:type="dxa"/>
          <w:left w:w="28" w:type="dxa"/>
          <w:bottom w:w="28" w:type="dxa"/>
          <w:right w:w="28" w:type="dxa"/>
        </w:tblCellMar>
      </w:tblPr>
      <w:tblGrid>
        <w:gridCol w:w="2274"/>
        <w:gridCol w:w="1999"/>
        <w:gridCol w:w="2012"/>
        <w:gridCol w:w="109"/>
        <w:gridCol w:w="109"/>
        <w:gridCol w:w="109"/>
        <w:gridCol w:w="210"/>
        <w:gridCol w:w="211"/>
        <w:gridCol w:w="407"/>
        <w:gridCol w:w="109"/>
        <w:gridCol w:w="109"/>
        <w:gridCol w:w="109"/>
        <w:gridCol w:w="248"/>
        <w:gridCol w:w="248"/>
        <w:gridCol w:w="688"/>
      </w:tblGrid>
      <w:tr>
        <w:trPr/>
        <w:tc>
          <w:tcPr>
            <w:tcW w:w="2274"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r>
      <w:tr>
        <w:trPr/>
        <w:tc>
          <w:tcPr>
            <w:tcW w:w="628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628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U.S. Treasury securities and obligations of U.S. government corporations and agencies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3.96</w:t>
            </w:r>
          </w:p>
        </w:tc>
        <w:tc>
          <w:tcPr>
            <w:tcW w:w="40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3.84</w:t>
            </w:r>
          </w:p>
        </w:tc>
        <w:tc>
          <w:tcPr>
            <w:tcW w:w="68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Political subdivisions of States, Territories and Possessions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3.73</w:t>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3.69</w:t>
            </w:r>
          </w:p>
        </w:tc>
        <w:tc>
          <w:tcPr>
            <w:tcW w:w="6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Corporate and other bonds Industrial and miscellaneous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4.22</w:t>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4.19</w:t>
            </w:r>
          </w:p>
        </w:tc>
        <w:tc>
          <w:tcPr>
            <w:tcW w:w="6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Residential mortgage backed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4.44</w:t>
            </w:r>
          </w:p>
        </w:tc>
        <w:tc>
          <w:tcPr>
            <w:tcW w:w="6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w:t>
            </w:r>
          </w:p>
        </w:tc>
        <w:tc>
          <w:tcPr>
            <w:tcW w:w="40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w:t>
            </w:r>
          </w:p>
        </w:tc>
        <w:tc>
          <w:tcPr>
            <w:tcW w:w="68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table below lists the weighted average maturity and effective duration in years on our fixed-maturity securities as of June 30, 2026 and December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5241" w:type="dxa"/>
        <w:jc w:val="left"/>
        <w:tblInd w:w="0" w:type="dxa"/>
        <w:tblLayout w:type="fixed"/>
        <w:tblCellMar>
          <w:top w:w="28" w:type="dxa"/>
          <w:left w:w="28" w:type="dxa"/>
          <w:bottom w:w="28" w:type="dxa"/>
          <w:right w:w="28" w:type="dxa"/>
        </w:tblCellMar>
      </w:tblPr>
      <w:tblGrid>
        <w:gridCol w:w="960"/>
        <w:gridCol w:w="844"/>
        <w:gridCol w:w="850"/>
        <w:gridCol w:w="109"/>
        <w:gridCol w:w="109"/>
        <w:gridCol w:w="109"/>
        <w:gridCol w:w="249"/>
        <w:gridCol w:w="249"/>
        <w:gridCol w:w="251"/>
        <w:gridCol w:w="109"/>
        <w:gridCol w:w="109"/>
        <w:gridCol w:w="109"/>
        <w:gridCol w:w="346"/>
        <w:gridCol w:w="346"/>
        <w:gridCol w:w="492"/>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2025</w:t>
            </w:r>
          </w:p>
        </w:tc>
      </w:tr>
      <w:tr>
        <w:trPr/>
        <w:tc>
          <w:tcPr>
            <w:tcW w:w="265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effective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4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final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Effective duration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4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pPr>
      <w:r>
        <w:rPr>
          <w:rFonts w:ascii="Times New Roman;serif" w:hAnsi="Times New Roman;serif"/>
          <w:b/>
          <w:i/>
          <w:color w:val="000000"/>
          <w:sz w:val="18"/>
        </w:rPr>
        <w:t>Fair Value Consideration</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Fair value is the price that would be received to sell an asset or paid to transfer a liability in a transaction involving identical or comparable assets or liabilities between market participants (an “exit price”). The fair value hierarchy distinguishes between inputs based on market data from independent sources (“observable inputs”) and a reporting entity’s internal assumptions based upon the best information available when external market data is limited or unavailable (“unobservable inputs”). The fair value hierarchy prioritizes fair value measurements into three levels based on the nature of the inputs. Quoted prices in active markets for identical assets have the highest priority (“Level 1”), followed by observable inputs other than quoted prices including prices for similar but not identical assets or liabilities (“Level 2”), and unobservable inputs, including the reporting entity’s estimates of the assumption that market participants would use, having the lowest priority (“Level 3”). As of June 30, 2026 and December 31, 2025, 50% and 47%, respectively, of the investment portfolio recorded at fair value was priced based upon quoted market prices.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Liquidity and Capital Resources</w:t>
      </w:r>
      <w:r>
        <w:rPr>
          <w:color w:val="000000"/>
        </w:rPr>
        <w:t xml:space="preserve"> </w:t>
      </w:r>
    </w:p>
    <w:p>
      <w:pPr>
        <w:pStyle w:val="TextBody"/>
        <w:bidi w:val="0"/>
        <w:spacing w:lineRule="auto" w:line="288" w:before="240" w:after="283"/>
        <w:ind w:left="0" w:right="0" w:firstLine="720"/>
        <w:jc w:val="both"/>
        <w:rPr>
          <w:rFonts w:ascii="Times New Roman;serif" w:hAnsi="Times New Roman;serif"/>
          <w:b/>
          <w:i/>
          <w:color w:val="000000"/>
          <w:sz w:val="18"/>
        </w:rPr>
      </w:pPr>
      <w:r>
        <w:rPr>
          <w:rFonts w:ascii="Times New Roman;serif" w:hAnsi="Times New Roman;serif"/>
          <w:b/>
          <w:i/>
          <w:color w:val="000000"/>
          <w:sz w:val="18"/>
        </w:rPr>
        <w:t>Cash Flows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primary sources of cash flow are from our insurance underwriting subsidiary, KICO, and include direct premiums written, ceding commissions from our quota share reinsurers, loss recovery payments from our reinsurers, investment income and proceeds from the sale or maturity of investments. Funds are used by KICO for ceded premium payments to reinsurers, which are paid on a net basis after subtracting losses paid on reinsured claims and reinsurance commissions. KICO also uses funds for loss payments and loss adjustment expenses on its net business, commissions to producers, salaries and other underwriting expenses as well as to purchase investments and fixed assets.</w:t>
      </w:r>
    </w:p>
    <w:p>
      <w:pPr>
        <w:pStyle w:val="TextBody"/>
        <w:bidi w:val="0"/>
        <w:spacing w:lineRule="auto" w:line="276"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The primary source of cash flow for the Holding Company are dividends and distributions received from KICO, which are subject to statutory restrictions. For the six months ended June 30, 2026, KICO paid dividends of $1,800,000 to the Holding Company. As of June 30, 2026, the maximum dividends that KICO can pay to the Holding Company is restricted to the lesser of 10% of statutory surplus as shown by its last statement on file with the DFS, or 100% of net investment income for the preceding 36 months, reduced by dividends paid during such period. As of June 30, 2026, the maximum allowable dividend that KICO may pay to the Holding Company was $635,645 without DFS approval. In six months ended June 30, 2026, the Holding Company funded KAIC with an initial investment of $5,100,000. The Holding Company does not expect to receive any dividends from KAIC within the next year.</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KICO is a member of FHLBNY, which provides additional access to liquidity. Members have access to a variety of flexible, low-cost funding through FHLBNY’s credit products, enabling members to customize advances. Advances are to be fully collateralized; eligible collateral to pledge to FHLBNY includes residential and commercial mortgage-backed securities, along with U.S. Treasury and agency securities. See Note 3 – Investments to our condensed consolidated financial statements for eligible collateral held in a designated custodian account available for future advances. Advances are limited to 5% of KICO’s net admitted assets as of the end of the previous quarter, which is March 31, 2026. On July 6, 2023, A.M. Best withdrew KICO’s ratings as KICO requested to no longer participate in A.M. Best’s interactive rating process. As a result of the withdrawal of A.M. Best ratings, prior to April 15, 2025, KICO was only able to borrow on an overnight basis. Effective April 15, 2025, based on KICO's credit rating from FHLBNY, KICO can now borrow for a term of up to five years. The maximum allowable advance as of June 30, 2026, based on the net admitted assets as of March 31, 2026, was approximately $18,819,000. Available collateral as of June 30, 2026 was approximately $9,117,000. Effective April 15, 2025, advances are limited to 91% of the amount of available collateral. Prior to April 15, 2025, advances were limited to 85% of the amount of available collateral. There were no borrowings under this facility during the Six Months of 2026 or the Six Months of 2025.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 April 5, 2024, we filed a shelf registration statement on Form S-3 with the SEC under the Securities Act of 1933, as amended, with regard to the registration of $50,000,000 of our equity and debt securities (the “Shelf Registration Statement”). The Shelf Registration Statement was declared effective by the SEC on April 22, 2024. Any offering made pursuant to the Shelf Registration Statement may only be made by means of a prospectus, including a prospectus supplement, forming a part of the effective Shelf Registration Statement, relating to the offering.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In May 2024, we entered into a Sales Agreement with Janney Montgomery Scott LLC (the “Sales Agent”) under which we initially had the ability to issue and sell shares of our Common Stock, from time to time, through the Sales Agent, pursuant to the Shelf Registration Statement, up to an aggregate offering price of approximately $16,400,000 in what is commonly referred to as an “at-the-market” (“ATM”) program. On January 7, 2025, we filed a prospectus supplement providing for a going forward aggregate offering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 xml:space="preserve">price for the ATM program of $25,000,000. During the six months ended June 30, 2026, we did not sell any shares of our Common Stock under the ATM program. As of June 30, 2026, we had remaining capacity to sell up to an additional $15,945,937 of our Common Stock under the ATM program. </w:t>
      </w:r>
    </w:p>
    <w:p>
      <w:pPr>
        <w:pStyle w:val="TextBody"/>
        <w:bidi w:val="0"/>
        <w:spacing w:lineRule="auto" w:line="26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 July 1, 2026, the Holding Company executed a Revolving Loan Note pursuant to a credit agreement (together, the “Citizens Agreement”) with Citizens Bank (“Lender”). Under the Citizens Agreement, we may receive advances from Lender not to exceed an unpaid principal balance of $5,000,000. See Note 15 – Subsequent Events-Debt to our condensed consolidated financial statements.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If the aforementioned sources of cash flow currently available are insufficient to cover our Holding Company cash requirements, we will seek to obtain additional financing.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Cash flow and liquidity are categorized into three sources: (1) operating activities; (2) investing activities; and (3) financing activities, which are shown in the following table: </w:t>
      </w:r>
    </w:p>
    <w:tbl>
      <w:tblPr>
        <w:tblW w:w="6873" w:type="dxa"/>
        <w:jc w:val="left"/>
        <w:tblInd w:w="0" w:type="dxa"/>
        <w:tblLayout w:type="fixed"/>
        <w:tblCellMar>
          <w:top w:w="28" w:type="dxa"/>
          <w:left w:w="28" w:type="dxa"/>
          <w:bottom w:w="28" w:type="dxa"/>
          <w:right w:w="28" w:type="dxa"/>
        </w:tblCellMar>
      </w:tblPr>
      <w:tblGrid>
        <w:gridCol w:w="1253"/>
        <w:gridCol w:w="1101"/>
        <w:gridCol w:w="1111"/>
        <w:gridCol w:w="109"/>
        <w:gridCol w:w="109"/>
        <w:gridCol w:w="109"/>
        <w:gridCol w:w="196"/>
        <w:gridCol w:w="961"/>
        <w:gridCol w:w="109"/>
        <w:gridCol w:w="109"/>
        <w:gridCol w:w="109"/>
        <w:gridCol w:w="109"/>
        <w:gridCol w:w="196"/>
        <w:gridCol w:w="961"/>
        <w:gridCol w:w="331"/>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i/>
                <w:color w:val="000000"/>
                <w:sz w:val="18"/>
              </w:rPr>
            </w:pPr>
            <w:r>
              <w:rPr>
                <w:rFonts w:ascii="Times New Roman;serif" w:hAnsi="Times New Roman;serif"/>
                <w:b w:val="false"/>
                <w:i/>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provided by (used 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37,459,778 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27,131,737 </w:t>
            </w:r>
          </w:p>
        </w:tc>
        <w:tc>
          <w:tcPr>
            <w:tcW w:w="331" w:type="dxa"/>
            <w:tcBorders/>
            <w:shd w:fill="CCEE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(29,981,554)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(24,512,699)</w:t>
            </w:r>
          </w:p>
        </w:tc>
        <w:tc>
          <w:tcPr>
            <w:tcW w:w="3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(2,732,098)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2,425,953 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Net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4,746,126 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5,044,991 </w:t>
            </w:r>
          </w:p>
        </w:tc>
        <w:tc>
          <w:tcPr>
            <w:tcW w:w="3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12,178,730 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28,669,441 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Cash and cash equivalents,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16,924,856 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33,714,432 </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cash provided by operating activities was $37,460,000 in the Six Months of 2026 as compared to $27,132,000 provided by operating activities in the Six Months of 2025. The $10,328,000 increase in cash flows provided by operating activities in the Six Months of 2026 as compared to the Six Months of 2025 was primarily the result of cash provided from net fluctuations in operating assets and liabilities, offset by a decrease in net income (adjusted for non-cash items) of $2,093,000. The net fluctuations in assets and liabilities are related to operating activities of KICO as affected by growth or declines in its operations, payments on claims and other changes, which are described above.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Net cash used in investing activities was $29,982,000 in the Six Months of 2026 compared to $24,513,000 used in investing activities in the Six Months of 2025 resulting in a $5,469,000 increase in net cash used in investing activities. In the Six Months of 2026, we had net cash used by our investment portfolio of $28,238,000, compared to $26,672,000 used in the Six Months of 2025. In the Six Months of 2025 one of our subsidiaries received gross proceeds of $3,600,000 from the sale of real estate that was used as our headquarters building.</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Net cash used by financing activities was $2,732,000 in the Six Months of 2026 compared to $2,426,000 provided by financing activities in the Six Months of 2025 resulting in a $5,158,000 increase in net cash used in financing activities. In the Six Months of 2026, we received no proceeds from our ATM offering, compared to $9,484,000 in the Six Months of 2025. In the Six Months of 2025, we satisfied our debt under the 2024 Notes by making principal payments of $5,950,000, with none paid in the Six Months of 2026. In the Six Months of 2026, shareholder dividends were $1,447,000, compared to none in the Six Months of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Reinsurance</w:t>
      </w:r>
      <w:r>
        <w:rPr>
          <w:color w:val="000000"/>
        </w:rPr>
        <w:t xml:space="preserve">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On January 1, 2025, we entered into a 16% quota share reinsurance treaty for our personal lines business, which primarily consisted of homeowners’ and dwelling fire policies, covering the period from January 1, 2025 through January 1, 2026 (“2025/2026 Treaty”). Upon the expiration of the 2025/2026 Treaty on January 1, 2026, we entered into a new 5% quota share reinsurance treaty for our personal lines business written in all states except California (for which we entered into a new 30% quota share reinsurance treaty), covering the period from January 1, 2026 through January 1, 2027 (“2026/2027 Treaty”).</w:t>
        <w:br/>
        <w:br/>
        <w:t>    Our excess of loss and catastrophe reinsurance treaties expired on June 30, 2026 and we entered into new excess of loss and catastrophe reinsurance treaties effective July 1, 2026. The new catastrophe reinsurance treaties include the second year of the $125,000,000 catastrophe bond ("Series 2025-1 Notes") issued on July 1, 2025. The Series 2025-1 Notes were priced at 4.5% and issued through a Bermuda-registered special purpose insurer, 1886 Re Ltd., providing KICO with $125,000,000 of collateralized reinsurance protection. The Series 2025-1 Notes offer multi-year protection against named storm events across New York, New Jersey, Connecticut, Massachusetts and Rhode Island on an indemnity trigger and per-occurrence basis. The Series 2025-1 Notes, which were structured and placed by AON Securities LLC, cover four annual risk periods from July 1, 2025, through June 30,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Effective January 1, 2025, we renewed an underlying excess of loss reinsurance treaty ("Underlying XOL Treaty") covering the period from January 1, 2025 through June 30, 2025. The treaty provided 50% reinsurance coverage for losses of $400,000 in excess of $600,000. Losses from named storms were excluded from the treaty. Effective July 1, 2025, the Underlying XOL Treaty was renewed along with our excess of loss reinsurance treaty covering the period from July 1, 2025 through June 30, 2026 ("2025/2026 XOL Treaties"). Combined, the renewed 2025/2026 XOL Treaties provided 50% reinsurance coverage for losses of $250,000 in excess of $750,000, and 100% reinsurance coverage for losses in excess of $1,000,000 up to $9,000,000 together with facultative coverage. Effective July 1, 2026, the Underlying XOL Treaty was renewed along with our excess of loss reinsurance treaty covering the period from July 1, 2026 through June 30, 2027 ("2026/2027 XOL Treaties"). Combined, the renewed 2026/2027 XOL Treaties provide 50% reinsurance coverage for losses of $250,000 in excess of $750,000, and 100% reinsurance coverage for losses in excess of $1,000,000 up to $11,000,000 together with facultative coverage. For the period October 1, 2024 through April 30, 2025, we purchased catastrophe reinsurance which provides coverage for winter storm losses to the extent of 71% of $4,500,000 in excess of $5,500,000. For the period October 15, 2025 through April 30, 2026, we purchased catastrophe reinsurance which provides coverage for winter storm losses to the extent of 90% of $5,000,000 in excess of $5,000,000. For the period July 1, 2026 through June 30, 2027, we purchased 70% of all perils coverage excluding named storm losses of $5,000,000 in excess of $5,000,000. Effective July 1, 2026, we purchased $495,000,000 of catastrophe reinsurance in excess of $5,000,000, compared to $435,000,000 of catastrophe reinsurance in excess of $5,000,000 in the expiring treaty.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Material terms for our reinsurance treaties in effect for the treaty years shown below are as follows: </w:t>
      </w:r>
    </w:p>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tbl>
      <w:tblPr>
        <w:tblW w:w="10413" w:type="dxa"/>
        <w:jc w:val="left"/>
        <w:tblInd w:w="0" w:type="dxa"/>
        <w:tblLayout w:type="fixed"/>
        <w:tblCellMar>
          <w:top w:w="28" w:type="dxa"/>
          <w:left w:w="28" w:type="dxa"/>
          <w:bottom w:w="28" w:type="dxa"/>
          <w:right w:w="28" w:type="dxa"/>
        </w:tblCellMar>
      </w:tblPr>
      <w:tblGrid>
        <w:gridCol w:w="499"/>
        <w:gridCol w:w="372"/>
        <w:gridCol w:w="255"/>
        <w:gridCol w:w="196"/>
        <w:gridCol w:w="1051"/>
        <w:gridCol w:w="109"/>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09"/>
        <w:gridCol w:w="109"/>
        <w:gridCol w:w="109"/>
        <w:gridCol w:w="196"/>
        <w:gridCol w:w="1051"/>
        <w:gridCol w:w="256"/>
        <w:gridCol w:w="178"/>
        <w:gridCol w:w="178"/>
        <w:gridCol w:w="255"/>
      </w:tblGrid>
      <w:tr>
        <w:trPr/>
        <w:tc>
          <w:tcPr>
            <w:tcW w:w="49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6"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 xml:space="preserve">Treaty Period </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2026/2027 Treaty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3"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2025/2026 Treaty</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Line of Business</w:t>
            </w:r>
          </w:p>
        </w:tc>
        <w:tc>
          <w:tcPr>
            <w:tcW w:w="135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 xml:space="preserve">January 2, </w:t>
              <w:br/>
              <w:t>2027</w:t>
              <w:br/>
              <w:t xml:space="preserve">to </w:t>
              <w:br/>
              <w:t xml:space="preserve">June 30, </w:t>
              <w:b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July 1, </w:t>
              <w:br/>
              <w:t xml:space="preserve">2026 </w:t>
              <w:br/>
              <w:t xml:space="preserve">to </w:t>
              <w:br/>
              <w:t>January 1,</w:t>
              <w:br/>
              <w:t>2027</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January 2, </w:t>
              <w:br/>
              <w:t>2026</w:t>
              <w:br/>
              <w:t xml:space="preserve">to </w:t>
              <w:br/>
              <w:t xml:space="preserve">June 30, </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July 1, </w:t>
              <w:br/>
              <w:t xml:space="preserve">2025 </w:t>
              <w:br/>
              <w:t xml:space="preserve">to </w:t>
              <w:br/>
              <w:t>January 1,</w:t>
              <w:b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 xml:space="preserve">January 2, </w:t>
              <w:br/>
              <w:t>2025</w:t>
              <w:br/>
              <w:t xml:space="preserve">to </w:t>
              <w:br/>
              <w:t xml:space="preserve">June 30, </w:t>
              <w:br/>
              <w:t>2025</w:t>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Personal Lines:</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Homeowners, dwelling fire and canine legal liability</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Quota share treaty:</w:t>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Percent ceded (6)</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Risk retained on initial</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$1,000,000 of losses (4) (5) (6)</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Losses per occurrence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subject to quota share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reinsurance coverage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48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date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January 1, 2026</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Excess of loss coverage and</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facultative facility</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(1) (4) (5)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in excess of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w:t>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reinsurance coverage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per occurrence (4) (5)</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10,175,000 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8,175,000 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8,285,000 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Losses per occurrence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subject to reinsurance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(5)</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Expiration date</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June 30, 2025</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Catastrophe Reinsurance: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Initial loss subject to personal</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lines quota share treaty (5)</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Risk retained per catastrophe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occurrence (5) (6) (7) (8)</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4,250,000 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Catastrophe loss coverage</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 excess of quota share</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coverage (2) (5) (8)</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495,250,000 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434,500,000 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Reinstatement premium</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320"/>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protection (3)</w:t>
            </w:r>
          </w:p>
        </w:tc>
        <w:tc>
          <w:tcPr>
            <w:tcW w:w="1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Yes</w:t>
            </w:r>
          </w:p>
        </w:tc>
        <w:tc>
          <w:tcPr>
            <w:tcW w:w="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(1)For personal lines, includes the addition of an automatic facultative facility allowing KICO to obtain homeowners single risk coverage up to $9,000,000 in total insured value, which covers direct losses from $3,500,000 to $9,000,000 through June 30, 2026. Effective July 1, 2026, homeowners single risk coverage was increased to $11,000,000 in total insured value, which covers direct losses from $3,500,000 to $11,000,000 through June 30, 2027.</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 xml:space="preserve">(2)Through June 30, 2026, catastrophe coverage is limited on an annual basis to two times the per occurrence amounts, except for one occurrence on 80% of the first layer of $5,000,000 in excess of $5,000,000, and one occurrence on 52% of the top layer of $240,000,000 in excess of $200,000,000, which is covered under the catastrophe bond. Effective July 1, 2026,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76" w:before="320" w:after="283"/>
        <w:jc w:val="both"/>
        <w:rPr>
          <w:rFonts w:ascii="Times New Roman;serif" w:hAnsi="Times New Roman;serif"/>
          <w:b w:val="false"/>
          <w:color w:val="000000"/>
          <w:sz w:val="18"/>
        </w:rPr>
      </w:pPr>
      <w:r>
        <w:rPr>
          <w:rFonts w:ascii="Times New Roman;serif" w:hAnsi="Times New Roman;serif"/>
          <w:b w:val="false"/>
          <w:color w:val="000000"/>
          <w:sz w:val="18"/>
        </w:rPr>
        <w:t>catastrophe coverage is limited on an annual basis to two times the per occurrence amounts, except for one occurrence on: (i) 70% of the first layer of $5,000,000 in excess of $5,000,000 for all perils excluding named storms, and (ii), 95% of the first layer of $5,000,000 in excess of $5,000,000 for named storms, and one occurrence on 45% of the layer of $275,000,000 in excess of $215,000,000, which is covered under the catastrophe bond. Duration of 168 consecutive hours for a non-named catastrophe occurrence from windstorm, hail, tornado, hurricane and cyclone. For named storms, duration beginning on the date a watch, warning, advisory, or other bulletin is first issued, continuing for a time period thereafter during which such named storm continues, regardless of its category rating or lack thereof and regardless of whether the watch, warning, advisory or other bulletin remains in effect for such named storm, and ending on the fourth calendar day following the issuance of the last watch, warning, advisory or other bulletin.</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(3)For the period July 1, 2024 through June 30, 2025 (expiration date of the catastrophe reinsurance treaty), reinstatement premium protection for $50,000,000 of catastrophe coverage in excess of $10,000,000. For the period July 1, 2025 through June 30, 2026 (expiration date of the catastrophe reinsurance treaty), reinstatement premium protection for $50,000,000 of catastrophe coverage in excess of $10,000,000. For the period July 1, 2026 through June 30, 2027 (expiration date of the catastrophe reinsurance treaty), reinstatement premium protection for $50,000,000 of catastrophe coverage in excess of $10,000,000 for named storms only.</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(4)For the period January 1, 2024 through June 30, 2025, the Underlying XOL Treaty provides 50% reinsurance coverage for losses of $400,000 in excess of $600,000. Excludes losses from named storms. Reduces retention to $530,000 from $730,000 under the quota share treaty that expired on January 1, 2025. Retention increases to $640,000 from $530,000 under the 2025/2026 Treaty. For the period July 1, 2025 through June 30, 2026, the Underlying XOL Treaty combined with the excess of loss treaty provide 50% reinsurance coverage for losses of $250,000 in excess of $750,000, and 100% reinsurance coverage for losses in excess of $1,000,000 up to $9,000,000 together with facultative coverage. For the period July 1, 2026 through June 30, 2027, the Underlying XOL Treaty combined with the excess of loss treaty provide 50% reinsurance coverage for losses of $250,000 in excess of $750,000, and 100% reinsurance coverage for losses in excess of $1,000,000 up to $11,000,000 together with facultative coverage. Increased retention to $715,000 from $640,000 under the 2025/2026 Treaty, and increased retention to $825,000 under the 2026/2027 Treaty (see note 5 below).</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(5)The personal lines quota share treaty (homeowners, dwelling fire and canine liability) will expire on January 1, 2027, with none of these coverages to be in effect during the period from January 2, 2027 through June 30, 2027. If and when this treaty is renewed on January 2, 2027, the personal lines quota share treaty, will be as provided for therein. Reinsurance coverage in effect from January 2, 2027 through June 30, 2027 is only for excess of loss, Underlying XOL, and catastrophe reinsurance treaties.</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(6)For the 2025/2026 Treaty, 6% of the 16% total of losses ceded under this treaty were excluded from a named catastrophe event. For the 2026/2027 Treaty, there is no exclusion for catastrophe events. Quota share reinsurance under the 2026/2027 treaty is 5% for personal lines business written in all states except California (for which the quota share rate is 30%).</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(7)Plus losses in excess of catastrophe coverage.</w:t>
      </w:r>
    </w:p>
    <w:p>
      <w:pPr>
        <w:pStyle w:val="TextBody"/>
        <w:bidi w:val="0"/>
        <w:spacing w:lineRule="auto" w:line="276" w:before="320" w:after="283"/>
        <w:ind w:left="0" w:right="0" w:hanging="990"/>
        <w:jc w:val="both"/>
        <w:rPr>
          <w:rFonts w:ascii="Times New Roman;serif" w:hAnsi="Times New Roman;serif"/>
          <w:b w:val="false"/>
          <w:color w:val="000000"/>
          <w:sz w:val="18"/>
        </w:rPr>
      </w:pPr>
      <w:r>
        <w:rPr>
          <w:rFonts w:ascii="Times New Roman;serif" w:hAnsi="Times New Roman;serif"/>
          <w:b w:val="false"/>
          <w:color w:val="000000"/>
          <w:sz w:val="18"/>
        </w:rPr>
        <w:t xml:space="preserve">(8)Effective July 1, 2025 through June 30, 2026, catastrophe coverage is 80% of the first layer of $5,000,000 in excess of $5,000,000. The remaining coverage is at 100% of $430,000,000 in excess of $10,000,000. For the period October 1, 2024 through April 30, 2025, additional catastrophe reinsurance treaty provided coverage for winter storm losses to the extent of 71% of $4,500,000 in excess of $5,500,000. For the period October 15, 2025 through April 30, 2026, an additional catastrophe reinsurance treaty provided coverage for winter storm losses to the extent of 90% of $5,000,000 in excess of $5,000,000. Retention for winter storms was $5,200,000 under the 2025/2026 Treaty from January 1, 2025 through April 30, 2025, $3,900,000 from October 15, 2025 through January 1, 2026, the expiration date of the 2025/2026 Treaty, and $5,000,000 under the 2026/2027 Treaty through April 30, 2026. Effective July 1, 2026 through June 30, 2027, catastrophe coverage is 95% of the first layer of $5,000,000 in excess of $5,000,000 for named storms, 70% for all other catastrophe risks. The remaining coverage is at 100% of $490,000,000 in excess of $10,000,000. </w:t>
      </w:r>
    </w:p>
    <w:p>
      <w:pPr>
        <w:pStyle w:val="TextBody"/>
        <w:bidi w:val="0"/>
        <w:spacing w:before="320" w:after="283"/>
        <w:ind w:left="0" w:right="0" w:hanging="630"/>
        <w:jc w:val="both"/>
        <w:rPr/>
      </w:pPr>
      <w:r>
        <w:rPr/>
      </w:r>
    </w:p>
    <w:p>
      <w:pPr>
        <w:pStyle w:val="TextBody"/>
        <w:bidi w:val="0"/>
        <w:spacing w:before="320" w:after="283"/>
        <w:ind w:left="0" w:right="0" w:hanging="630"/>
        <w:jc w:val="both"/>
        <w:rPr/>
      </w:pPr>
      <w:r>
        <w:rPr/>
      </w:r>
    </w:p>
    <w:p>
      <w:pPr>
        <w:pStyle w:val="TextBody"/>
        <w:bidi w:val="0"/>
        <w:spacing w:before="320" w:after="283"/>
        <w:ind w:left="0" w:right="0" w:hanging="630"/>
        <w:jc w:val="both"/>
        <w:rPr/>
      </w:pPr>
      <w:r>
        <w:rPr/>
      </w:r>
    </w:p>
    <w:p>
      <w:pPr>
        <w:pStyle w:val="TextBody"/>
        <w:bidi w:val="0"/>
        <w:spacing w:before="320" w:after="283"/>
        <w:ind w:left="0" w:right="0" w:hanging="630"/>
        <w:jc w:val="both"/>
        <w:rPr/>
      </w:pPr>
      <w:r>
        <w:rPr/>
      </w:r>
    </w:p>
    <w:p>
      <w:pPr>
        <w:pStyle w:val="TextBody"/>
        <w:bidi w:val="0"/>
        <w:spacing w:before="320" w:after="283"/>
        <w:ind w:left="0" w:right="0" w:hanging="63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320" w:after="283"/>
        <w:ind w:left="0" w:right="0" w:hanging="630"/>
        <w:jc w:val="both"/>
        <w:rPr/>
      </w:pPr>
      <w:r>
        <w:rPr/>
      </w:r>
    </w:p>
    <w:tbl>
      <w:tblPr>
        <w:tblW w:w="9513" w:type="dxa"/>
        <w:jc w:val="left"/>
        <w:tblInd w:w="0" w:type="dxa"/>
        <w:tblLayout w:type="fixed"/>
        <w:tblCellMar>
          <w:top w:w="28" w:type="dxa"/>
          <w:left w:w="28" w:type="dxa"/>
          <w:bottom w:w="28" w:type="dxa"/>
          <w:right w:w="28" w:type="dxa"/>
        </w:tblCellMar>
      </w:tblPr>
      <w:tblGrid>
        <w:gridCol w:w="1754"/>
        <w:gridCol w:w="1540"/>
        <w:gridCol w:w="1551"/>
        <w:gridCol w:w="196"/>
        <w:gridCol w:w="871"/>
        <w:gridCol w:w="256"/>
        <w:gridCol w:w="109"/>
        <w:gridCol w:w="109"/>
        <w:gridCol w:w="109"/>
        <w:gridCol w:w="196"/>
        <w:gridCol w:w="871"/>
        <w:gridCol w:w="256"/>
        <w:gridCol w:w="109"/>
        <w:gridCol w:w="109"/>
        <w:gridCol w:w="109"/>
        <w:gridCol w:w="196"/>
        <w:gridCol w:w="871"/>
        <w:gridCol w:w="301"/>
      </w:tblGrid>
      <w:tr>
        <w:trPr/>
        <w:tc>
          <w:tcPr>
            <w:tcW w:w="175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8"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Treaty Year</w:t>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 xml:space="preserve">Line of Business </w:t>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2026</w:t>
              <w:br/>
              <w:t>to</w:t>
              <w:br/>
              <w:t>June 30, 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2025</w:t>
              <w:br/>
              <w:t>to</w:t>
              <w:b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July 1, 2024</w:t>
              <w:br/>
              <w:t>to</w:t>
              <w:br/>
              <w:t>June 30, 2025</w:t>
            </w:r>
          </w:p>
        </w:tc>
      </w:tr>
      <w:tr>
        <w:trPr/>
        <w:tc>
          <w:tcPr>
            <w:tcW w:w="4845"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u w:val="single"/>
              </w:rPr>
            </w:pPr>
            <w:r>
              <w:rPr>
                <w:rFonts w:ascii="Times New Roman;serif" w:hAnsi="Times New Roman;serif"/>
                <w:b w:val="false"/>
                <w:color w:val="000000"/>
                <w:sz w:val="18"/>
                <w:u w:val="single"/>
              </w:rPr>
              <w:t>Personal Lines:</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Personal Umbrella </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Quota share treaty: </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Percent ceded - first $1,000,000 of coverage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2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Percent ceded - excess of $1,000,000 of coverage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Risk retained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reinsurance coverage per occurrence </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4,700,000 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Losses per occurrence subject to quota share reinsurance coverage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5,000,000 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Expiration date </w:t>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2025</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 Lines (1)</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(1)Coverage on all commercial lines policies expired in September 2020; reinsurance coverage is based on treaties in effect on the date of loss.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 xml:space="preserve">Inflation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Premiums are established before we know the amount of losses and loss adjustment expenses or the extent to which inflation may affect such amounts. We attempt to anticipate the potential impact of inflation in establishing our reserves, especially as it relates to medical and hospital rates where historical inflation rates have exceeded the general level of inflation. Inflation in excess of the levels we have assumed could cause loss and loss adjustment expenses to be higher than we anticipated, which would require us to increase reserves and reduce earnings.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Fluctuations in rates of inflation also influence interest rates, which in turn impact the market value of our investment portfolio and yields on new investments. Operating expenses, including salaries and benefits, generally are impacted by inflation.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In the Three and Six Months of 2026, there was an increase in interest rates, lower public equity valuations, and significant financial market volatility. The higher interest rates reduced the value of our fixed income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Off-Balance Sheet Arrangements</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have no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Outlook</w:t>
      </w:r>
      <w:r>
        <w:rPr>
          <w:color w:val="000000"/>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Our net premiums earned may be impacted by a number of factors. Net premiums earned are a function of net written premium volume. Net written premiums comprise both renewal business and new business and are recognized as earned premium over the term of the underlying policies. Net written premiums from both renewal and new business are impacted by competitive market conditions as well as general economic conditions. We have made underwriting changes to emphasize profitability over growth and have culled out the type of risks that do not generate an acceptable level of return.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On April 14, 2025, KICO entered into an agreement to offer a quote for a replacement policy to selected homeowners policyholders in Downstate New York as one of our competitors pivoted focus away from admitted personal lines business (the "Withdrawal Plan"). The Withdrawal Plan, which includes this transaction, was approved by the DFS. The Withdrawal Plan enabled KICO to work with new distribution partners to further increase its footprint in Downstate New York by offering an alternative policy to selected homeowners policyholders with effective dates that started in the third quarter of 2025. In March 2026, we announced that we intend to expand into new markets, starting with California, which we entered in the second quarter of 2026.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The first quarter of 2026 included more severe winter weather in the Northeast United States than recent winters with losses incurred from eleven catastrophe events during the months of January and February 2026. The second quarter of 2026 was the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profitable quarter in our history with $15.5 million of net income. On August 6, 2026, we reaffirmed our growth, underwriting and profitability outlook for fiscal year 2026, which was originally issued on March 5, 2026 and affirmed on May 7, 2026. The reaffirmed guidance was issued in a press release included in our Form 8-K filed with the SEC on August 6, 2026 and is based on management’s current expectations as of this date.</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See “Forward-Looking Statements” before Part I, Item 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18"/>
        </w:rPr>
      </w:pPr>
      <w:r>
        <w:rPr>
          <w:rFonts w:ascii="Times New Roman;serif" w:hAnsi="Times New Roman;serif"/>
          <w:b/>
          <w:color w:val="000000"/>
          <w:sz w:val="18"/>
        </w:rPr>
        <w:t>Non-GAAP Financial Measures</w:t>
      </w:r>
    </w:p>
    <w:p>
      <w:pPr>
        <w:pStyle w:val="TextBody"/>
        <w:bidi w:val="0"/>
        <w:spacing w:lineRule="auto" w:line="256" w:before="240" w:after="283"/>
        <w:jc w:val="both"/>
        <w:rPr>
          <w:rFonts w:ascii="Times New Roman;serif" w:hAnsi="Times New Roman;serif"/>
          <w:b w:val="false"/>
          <w:color w:val="000000"/>
          <w:sz w:val="18"/>
        </w:rPr>
      </w:pPr>
      <w:r>
        <w:rPr>
          <w:rFonts w:ascii="Times New Roman;serif" w:hAnsi="Times New Roman;serif"/>
          <w:b w:val="false"/>
          <w:color w:val="000000"/>
          <w:sz w:val="18"/>
        </w:rPr>
        <w:t>Non-GAAP financial measures should be considered in addition to, and not as a substitute for or superior to, financial measures presented in accordance with GAAP.</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reconciles GAAP net premiums earned to net premiums written and direct premiums written for the periods presented:</w:t>
      </w:r>
    </w:p>
    <w:p>
      <w:pPr>
        <w:pStyle w:val="TextBody"/>
        <w:bidi w:val="0"/>
        <w:spacing w:before="0" w:after="0"/>
        <w:jc w:val="left"/>
        <w:rPr/>
      </w:pPr>
      <w:r>
        <w:rPr/>
      </w:r>
    </w:p>
    <w:p>
      <w:pPr>
        <w:pStyle w:val="TextBody"/>
        <w:bidi w:val="0"/>
        <w:spacing w:before="0" w:after="0"/>
        <w:jc w:val="left"/>
        <w:rPr/>
      </w:pPr>
      <w:r>
        <w:rPr/>
      </w:r>
    </w:p>
    <w:tbl>
      <w:tblPr>
        <w:tblW w:w="8640" w:type="dxa"/>
        <w:jc w:val="left"/>
        <w:tblInd w:w="0" w:type="dxa"/>
        <w:tblLayout w:type="fixed"/>
        <w:tblCellMar>
          <w:top w:w="28" w:type="dxa"/>
          <w:left w:w="28" w:type="dxa"/>
          <w:bottom w:w="28" w:type="dxa"/>
          <w:right w:w="28" w:type="dxa"/>
        </w:tblCellMar>
      </w:tblPr>
      <w:tblGrid>
        <w:gridCol w:w="836"/>
        <w:gridCol w:w="736"/>
        <w:gridCol w:w="738"/>
        <w:gridCol w:w="196"/>
        <w:gridCol w:w="976"/>
        <w:gridCol w:w="109"/>
        <w:gridCol w:w="109"/>
        <w:gridCol w:w="109"/>
        <w:gridCol w:w="109"/>
        <w:gridCol w:w="196"/>
        <w:gridCol w:w="976"/>
        <w:gridCol w:w="109"/>
        <w:gridCol w:w="109"/>
        <w:gridCol w:w="109"/>
        <w:gridCol w:w="109"/>
        <w:gridCol w:w="196"/>
        <w:gridCol w:w="1066"/>
        <w:gridCol w:w="109"/>
        <w:gridCol w:w="109"/>
        <w:gridCol w:w="109"/>
        <w:gridCol w:w="109"/>
        <w:gridCol w:w="196"/>
        <w:gridCol w:w="1066"/>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color w:val="000000"/>
                <w:sz w:val="18"/>
              </w:rPr>
            </w:pPr>
            <w:r>
              <w:rPr>
                <w:rFonts w:ascii="Times New Roman;serif" w:hAnsi="Times New Roman;serif"/>
                <w:b/>
                <w:color w:val="000000"/>
                <w:sz w:val="18"/>
              </w:rPr>
              <w:t>GAAP net premiums earned</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60,467,477 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46,215,260 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116,336,291 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89,738,323 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unearned premiums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7,321,630 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5,995,414 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29,046,053 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23,481,758 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premiums written</w:t>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67,789,107 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52,210,674 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145,382,344 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113,220,081 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Ceded premiums written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(4,704,561)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(8,851,735)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3,285,295 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(6,017,324)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Direct premiums written</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72,493,668</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61,062,409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142,097,049</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119,237,405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24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the GAAP net loss ratio to the net loss ratio excluding the effect of catastrophes and to the underlying loss ratio for the periods presented:</w:t>
      </w:r>
    </w:p>
    <w:p>
      <w:pPr>
        <w:pStyle w:val="TextBody"/>
        <w:bidi w:val="0"/>
        <w:spacing w:before="0" w:after="0"/>
        <w:jc w:val="left"/>
        <w:rPr/>
      </w:pPr>
      <w:r>
        <w:rPr/>
      </w:r>
    </w:p>
    <w:p>
      <w:pPr>
        <w:pStyle w:val="TextBody"/>
        <w:bidi w:val="0"/>
        <w:spacing w:before="0" w:after="0"/>
        <w:jc w:val="left"/>
        <w:rPr/>
      </w:pPr>
      <w:r>
        <w:rPr/>
      </w:r>
    </w:p>
    <w:tbl>
      <w:tblPr>
        <w:tblW w:w="8399" w:type="dxa"/>
        <w:jc w:val="left"/>
        <w:tblInd w:w="0" w:type="dxa"/>
        <w:tblLayout w:type="fixed"/>
        <w:tblCellMar>
          <w:top w:w="28" w:type="dxa"/>
          <w:left w:w="28" w:type="dxa"/>
          <w:bottom w:w="28" w:type="dxa"/>
          <w:right w:w="28" w:type="dxa"/>
        </w:tblCellMar>
      </w:tblPr>
      <w:tblGrid>
        <w:gridCol w:w="1301"/>
        <w:gridCol w:w="1146"/>
        <w:gridCol w:w="1153"/>
        <w:gridCol w:w="210"/>
        <w:gridCol w:w="211"/>
        <w:gridCol w:w="554"/>
        <w:gridCol w:w="191"/>
        <w:gridCol w:w="191"/>
        <w:gridCol w:w="191"/>
        <w:gridCol w:w="210"/>
        <w:gridCol w:w="211"/>
        <w:gridCol w:w="554"/>
        <w:gridCol w:w="109"/>
        <w:gridCol w:w="109"/>
        <w:gridCol w:w="109"/>
        <w:gridCol w:w="210"/>
        <w:gridCol w:w="211"/>
        <w:gridCol w:w="349"/>
        <w:gridCol w:w="120"/>
        <w:gridCol w:w="120"/>
        <w:gridCol w:w="120"/>
        <w:gridCol w:w="210"/>
        <w:gridCol w:w="211"/>
        <w:gridCol w:w="398"/>
      </w:tblGrid>
      <w:tr>
        <w:trPr/>
        <w:tc>
          <w:tcPr>
            <w:tcW w:w="1301"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loss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39.6</w:t>
            </w:r>
          </w:p>
        </w:tc>
        <w:tc>
          <w:tcPr>
            <w:tcW w:w="5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5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59.7</w:t>
            </w:r>
          </w:p>
        </w:tc>
        <w:tc>
          <w:tcPr>
            <w:tcW w:w="34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39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600"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573"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 excluding the effect of catastrophes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40.4</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38.2</w:t>
            </w:r>
          </w:p>
        </w:tc>
        <w:tc>
          <w:tcPr>
            <w:tcW w:w="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47.7</w:t>
            </w:r>
          </w:p>
        </w:tc>
        <w:tc>
          <w:tcPr>
            <w:tcW w:w="34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49.1</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prior year reserve development</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5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4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39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Underlying loss ratio</w:t>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43.1</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38.7</w:t>
            </w:r>
          </w:p>
        </w:tc>
        <w:tc>
          <w:tcPr>
            <w:tcW w:w="554"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50.2</w:t>
            </w:r>
          </w:p>
        </w:tc>
        <w:tc>
          <w:tcPr>
            <w:tcW w:w="349"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50.0</w:t>
            </w:r>
          </w:p>
        </w:tc>
        <w:tc>
          <w:tcPr>
            <w:tcW w:w="398"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24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the GAAP net loss ratio to the net loss ratio excluding commercial lines business for the periods presented:</w:t>
      </w:r>
    </w:p>
    <w:p>
      <w:pPr>
        <w:pStyle w:val="TextBody"/>
        <w:bidi w:val="0"/>
        <w:spacing w:before="0" w:after="0"/>
        <w:jc w:val="left"/>
        <w:rPr/>
      </w:pPr>
      <w:r>
        <w:rPr/>
      </w:r>
    </w:p>
    <w:p>
      <w:pPr>
        <w:pStyle w:val="TextBody"/>
        <w:bidi w:val="0"/>
        <w:spacing w:before="0" w:after="0"/>
        <w:jc w:val="left"/>
        <w:rPr/>
      </w:pPr>
      <w:r>
        <w:rPr/>
      </w:r>
    </w:p>
    <w:tbl>
      <w:tblPr>
        <w:tblW w:w="8955" w:type="dxa"/>
        <w:jc w:val="left"/>
        <w:tblInd w:w="0" w:type="dxa"/>
        <w:tblLayout w:type="fixed"/>
        <w:tblCellMar>
          <w:top w:w="28" w:type="dxa"/>
          <w:left w:w="28" w:type="dxa"/>
          <w:bottom w:w="28" w:type="dxa"/>
          <w:right w:w="28" w:type="dxa"/>
        </w:tblCellMar>
      </w:tblPr>
      <w:tblGrid>
        <w:gridCol w:w="1654"/>
        <w:gridCol w:w="1457"/>
        <w:gridCol w:w="1464"/>
        <w:gridCol w:w="210"/>
        <w:gridCol w:w="211"/>
        <w:gridCol w:w="434"/>
        <w:gridCol w:w="149"/>
        <w:gridCol w:w="149"/>
        <w:gridCol w:w="149"/>
        <w:gridCol w:w="229"/>
        <w:gridCol w:w="192"/>
        <w:gridCol w:w="393"/>
        <w:gridCol w:w="109"/>
        <w:gridCol w:w="109"/>
        <w:gridCol w:w="109"/>
        <w:gridCol w:w="210"/>
        <w:gridCol w:w="211"/>
        <w:gridCol w:w="356"/>
        <w:gridCol w:w="122"/>
        <w:gridCol w:w="122"/>
        <w:gridCol w:w="122"/>
        <w:gridCol w:w="210"/>
        <w:gridCol w:w="211"/>
        <w:gridCol w:w="373"/>
      </w:tblGrid>
      <w:tr>
        <w:trPr/>
        <w:tc>
          <w:tcPr>
            <w:tcW w:w="1654"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loss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39.6</w:t>
            </w:r>
          </w:p>
        </w:tc>
        <w:tc>
          <w:tcPr>
            <w:tcW w:w="4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59.7</w:t>
            </w:r>
          </w:p>
        </w:tc>
        <w:tc>
          <w:tcPr>
            <w:tcW w:w="35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37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commercial lines business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5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7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 excluding the effect of commercial lines business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39.8</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38.0</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59.9</w:t>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3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0" w:after="0"/>
        <w:jc w:val="left"/>
        <w:rPr/>
      </w:pPr>
      <w:r>
        <w:rPr/>
      </w:r>
    </w:p>
    <w:p>
      <w:pPr>
        <w:pStyle w:val="TextBody"/>
        <w:bidi w:val="0"/>
        <w:spacing w:lineRule="auto" w:line="256" w:before="240" w:after="283"/>
        <w:jc w:val="both"/>
        <w:rPr/>
      </w:pPr>
      <w:r>
        <w:rPr>
          <w:rFonts w:ascii="Times New Roman;serif" w:hAnsi="Times New Roman;serif"/>
          <w:b w:val="false"/>
          <w:color w:val="000000"/>
          <w:sz w:val="18"/>
        </w:rPr>
        <w:t>The following table reconciles GAAP net income to net income from insurance underwriting business on a standalone basis for the periods presented:</w:t>
      </w:r>
      <w:r>
        <w:rPr>
          <w:color w:val="000000"/>
        </w:rPr>
        <w:t xml:space="preserve"> </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32"/>
        <w:gridCol w:w="1254"/>
        <w:gridCol w:w="1268"/>
        <w:gridCol w:w="196"/>
        <w:gridCol w:w="976"/>
        <w:gridCol w:w="109"/>
        <w:gridCol w:w="109"/>
        <w:gridCol w:w="109"/>
        <w:gridCol w:w="109"/>
        <w:gridCol w:w="196"/>
        <w:gridCol w:w="976"/>
        <w:gridCol w:w="109"/>
        <w:gridCol w:w="109"/>
        <w:gridCol w:w="109"/>
        <w:gridCol w:w="109"/>
        <w:gridCol w:w="196"/>
        <w:gridCol w:w="976"/>
        <w:gridCol w:w="109"/>
        <w:gridCol w:w="109"/>
        <w:gridCol w:w="109"/>
        <w:gridCol w:w="109"/>
        <w:gridCol w:w="196"/>
        <w:gridCol w:w="976"/>
        <w:gridCol w:w="155"/>
      </w:tblGrid>
      <w:tr>
        <w:trPr/>
        <w:tc>
          <w:tcPr>
            <w:tcW w:w="1532"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0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15,470,171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11,252,332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9,661,921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15,134,992</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Holding company operations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(1,061,429)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(866,552)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(2,836,853)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(1,650,361)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from insurance underwriting business on a standalone basis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16,531,600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12,118,884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12,498,774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pPr>
            <w:r>
              <w:rPr>
                <w:rFonts w:ascii="Times New Roman;serif" w:hAnsi="Times New Roman;serif"/>
                <w:b/>
                <w:color w:val="000000"/>
                <w:sz w:val="18"/>
              </w:rPr>
              <w:t>16,785,353</w:t>
            </w:r>
            <w:r>
              <w:rPr>
                <w:color w:val="000000"/>
              </w:rPr>
              <w:t>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The following table reconciles the GAAP net loss ratio, GAAP net underwriting expense ratio, and GAAP net combined ratio to the net loss ratio excluding the effect of catastrophes, net underwriting expense ratio excluding the effect of catastrophes, and net combined ratio excluding the effect of catastrophes for the periods presented:</w:t>
      </w:r>
    </w:p>
    <w:p>
      <w:pPr>
        <w:pStyle w:val="TextBody"/>
        <w:bidi w:val="0"/>
        <w:spacing w:before="0" w:after="0"/>
        <w:jc w:val="left"/>
        <w:rPr/>
      </w:pPr>
      <w:r>
        <w:rPr/>
      </w:r>
    </w:p>
    <w:tbl>
      <w:tblPr>
        <w:tblW w:w="9215" w:type="dxa"/>
        <w:jc w:val="left"/>
        <w:tblInd w:w="0" w:type="dxa"/>
        <w:tblLayout w:type="fixed"/>
        <w:tblCellMar>
          <w:top w:w="28" w:type="dxa"/>
          <w:left w:w="28" w:type="dxa"/>
          <w:bottom w:w="28" w:type="dxa"/>
          <w:right w:w="28" w:type="dxa"/>
        </w:tblCellMar>
      </w:tblPr>
      <w:tblGrid>
        <w:gridCol w:w="1751"/>
        <w:gridCol w:w="1542"/>
        <w:gridCol w:w="1552"/>
        <w:gridCol w:w="210"/>
        <w:gridCol w:w="211"/>
        <w:gridCol w:w="434"/>
        <w:gridCol w:w="149"/>
        <w:gridCol w:w="149"/>
        <w:gridCol w:w="149"/>
        <w:gridCol w:w="210"/>
        <w:gridCol w:w="211"/>
        <w:gridCol w:w="393"/>
        <w:gridCol w:w="109"/>
        <w:gridCol w:w="109"/>
        <w:gridCol w:w="109"/>
        <w:gridCol w:w="210"/>
        <w:gridCol w:w="211"/>
        <w:gridCol w:w="329"/>
        <w:gridCol w:w="125"/>
        <w:gridCol w:w="125"/>
        <w:gridCol w:w="125"/>
        <w:gridCol w:w="210"/>
        <w:gridCol w:w="211"/>
        <w:gridCol w:w="381"/>
      </w:tblGrid>
      <w:tr>
        <w:trPr/>
        <w:tc>
          <w:tcPr>
            <w:tcW w:w="1751"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20"/>
              </w:rPr>
            </w:pPr>
            <w:r>
              <w:rPr>
                <w:rFonts w:ascii="Times New Roman;serif" w:hAnsi="Times New Roman;serif"/>
                <w:b/>
                <w:color w:val="000000"/>
                <w:sz w:val="20"/>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8"/>
              </w:rPr>
            </w:pPr>
            <w:r>
              <w:rPr>
                <w:rFonts w:ascii="Times New Roman;serif" w:hAnsi="Times New Roman;serif"/>
                <w:b/>
                <w:color w:val="000000"/>
                <w:sz w:val="18"/>
              </w:rPr>
              <w:t>Six Months Ended</w:t>
              <w:br/>
              <w:t>June 30,</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loss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39.6</w:t>
            </w:r>
          </w:p>
        </w:tc>
        <w:tc>
          <w:tcPr>
            <w:tcW w:w="4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38.8</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59.7</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50.3</w:t>
            </w:r>
          </w:p>
        </w:tc>
        <w:tc>
          <w:tcPr>
            <w:tcW w:w="3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ratio excluding the effect of catastrophes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40.4</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38.2</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47.7</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49.1</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underwriting expense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30.6</w:t>
            </w:r>
          </w:p>
        </w:tc>
        <w:tc>
          <w:tcPr>
            <w:tcW w:w="4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32.7</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30.5</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32.0</w:t>
            </w:r>
          </w:p>
        </w:tc>
        <w:tc>
          <w:tcPr>
            <w:tcW w:w="3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0.0</w:t>
            </w:r>
          </w:p>
        </w:tc>
        <w:tc>
          <w:tcPr>
            <w:tcW w:w="3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underwriting expense ratio excluding the effect of catastrophes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30.6</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32.7</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30.5</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32.0</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GAAP net combined ratio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70.2</w:t>
            </w:r>
          </w:p>
        </w:tc>
        <w:tc>
          <w:tcPr>
            <w:tcW w:w="43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71.5</w:t>
            </w:r>
          </w:p>
        </w:tc>
        <w:tc>
          <w:tcPr>
            <w:tcW w:w="3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90.2</w:t>
            </w:r>
          </w:p>
        </w:tc>
        <w:tc>
          <w:tcPr>
            <w:tcW w:w="329"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82.3</w:t>
            </w:r>
          </w:p>
        </w:tc>
        <w:tc>
          <w:tcPr>
            <w:tcW w:w="3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catastrophes</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43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3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combined ratio excluding the effect of catastrophes</w:t>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71.0</w:t>
            </w:r>
          </w:p>
        </w:tc>
        <w:tc>
          <w:tcPr>
            <w:tcW w:w="4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70.9</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78.2</w:t>
            </w:r>
          </w:p>
        </w:tc>
        <w:tc>
          <w:tcPr>
            <w:tcW w:w="3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color w:val="000000"/>
                <w:sz w:val="18"/>
              </w:rPr>
            </w:pPr>
            <w:r>
              <w:rPr>
                <w:rFonts w:ascii="Times New Roman;serif" w:hAnsi="Times New Roman;serif"/>
                <w:b/>
                <w:color w:val="000000"/>
                <w:sz w:val="18"/>
              </w:rPr>
              <w:t>81.1</w:t>
            </w:r>
          </w:p>
        </w:tc>
        <w:tc>
          <w:tcPr>
            <w:tcW w:w="3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3. </w:t>
      </w:r>
      <w:r>
        <w:rPr>
          <w:rFonts w:ascii="Times New Roman;serif" w:hAnsi="Times New Roman;serif"/>
          <w:b/>
          <w:color w:val="000000"/>
          <w:sz w:val="18"/>
          <w:u w:val="single"/>
        </w:rPr>
        <w:t>Quantitative and Qualitative Disclosures About Market Risk</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This item is not applicable to smaller reporting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4. </w:t>
      </w:r>
      <w:r>
        <w:rPr>
          <w:rFonts w:ascii="Times New Roman;serif" w:hAnsi="Times New Roman;serif"/>
          <w:b/>
          <w:color w:val="000000"/>
          <w:sz w:val="18"/>
          <w:u w:val="single"/>
        </w:rPr>
        <w:t>Controls and Procedures</w:t>
      </w:r>
      <w:r>
        <w:rPr>
          <w:rFonts w:ascii="Times New Roman;serif" w:hAnsi="Times New Roman;serif"/>
          <w:b w:val="false"/>
          <w:color w:val="000000"/>
          <w:sz w:val="18"/>
        </w:rPr>
        <w:t xml:space="preserve">. </w:t>
      </w:r>
    </w:p>
    <w:p>
      <w:pPr>
        <w:pStyle w:val="TextBody"/>
        <w:bidi w:val="0"/>
        <w:spacing w:lineRule="auto" w:line="288" w:before="240" w:after="283"/>
        <w:jc w:val="both"/>
        <w:rPr/>
      </w:pPr>
      <w:r>
        <w:rPr>
          <w:rFonts w:ascii="Times New Roman;serif" w:hAnsi="Times New Roman;serif"/>
          <w:b/>
          <w:i/>
          <w:color w:val="000000"/>
          <w:sz w:val="18"/>
        </w:rPr>
        <w:t>Evaluation of Disclosure Controls and Procedures</w:t>
      </w:r>
      <w:r>
        <w:rPr>
          <w:color w:val="000000"/>
        </w:rPr>
        <w:t xml:space="preserve"> </w:t>
      </w:r>
    </w:p>
    <w:p>
      <w:pPr>
        <w:pStyle w:val="TextBody"/>
        <w:bidi w:val="0"/>
        <w:spacing w:lineRule="auto" w:line="26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 xml:space="preserve">Our management is responsible for establishing and maintaining adequate internal control over financial reporting as defined in Rule 13a-15(f) under the Exchange Act. Our internal control over financial reporting is designed to provide reasonable assurances regarding the reliability of financial reporting and the preparation of our condensed consolidated financial statements in accordance with U.S. generally accepted accounting principles. </w:t>
      </w:r>
    </w:p>
    <w:p>
      <w:pPr>
        <w:pStyle w:val="TextBody"/>
        <w:bidi w:val="0"/>
        <w:spacing w:lineRule="auto" w:line="268" w:before="240" w:after="283"/>
        <w:ind w:left="0" w:right="0" w:firstLine="675"/>
        <w:jc w:val="both"/>
        <w:rPr/>
      </w:pPr>
      <w:r>
        <w:rPr>
          <w:rFonts w:ascii="Times New Roman;serif" w:hAnsi="Times New Roman;serif"/>
          <w:b w:val="false"/>
          <w:color w:val="000000"/>
          <w:sz w:val="18"/>
        </w:rPr>
        <w:t xml:space="preserve">Under the supervision and with the participation of management, including our Chief Executive Officer and Chief Financial Officer, we conducted an evaluation of the effectiveness of our internal control over financial reporting based on criteria established in </w:t>
      </w:r>
      <w:r>
        <w:rPr>
          <w:rFonts w:ascii="Times New Roman;serif" w:hAnsi="Times New Roman;serif"/>
          <w:b w:val="false"/>
          <w:i/>
          <w:color w:val="000000"/>
          <w:sz w:val="18"/>
        </w:rPr>
        <w:t>Internal Control — Integrated Framework</w:t>
      </w:r>
      <w:r>
        <w:rPr>
          <w:color w:val="000000"/>
        </w:rPr>
        <w:t xml:space="preserve"> </w:t>
      </w:r>
      <w:r>
        <w:rPr>
          <w:rFonts w:ascii="Times New Roman;serif" w:hAnsi="Times New Roman;serif"/>
          <w:b w:val="false"/>
          <w:i/>
          <w:color w:val="000000"/>
          <w:sz w:val="18"/>
        </w:rPr>
        <w:t>(2013)</w:t>
      </w:r>
      <w:r>
        <w:rPr>
          <w:color w:val="000000"/>
        </w:rPr>
        <w:t xml:space="preserve"> </w:t>
      </w:r>
      <w:r>
        <w:rPr>
          <w:rFonts w:ascii="Times New Roman;serif" w:hAnsi="Times New Roman;serif"/>
          <w:b w:val="false"/>
          <w:color w:val="000000"/>
          <w:sz w:val="18"/>
        </w:rPr>
        <w:t xml:space="preserve">issued by the Committee of Sponsoring Organizations of the Treadway Commission.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We previously disclosed that as of December 31, 2025, our internal control over financial reporting contained a material weakness due to the lack of receiving a Service Organization Control (SOC) 1 Type 2 report for our insurance premium quoting platform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system and our general ledger system. Therefore, we cannot rely on the controls within these systems, including automated and manual process level controls, and remaining information technology general controls, that are dependent upon the information derived from such systems. We are working with our insurance premium quoting platform system vendor and our general ledger vendor to develop a remediation plan. During the quarter ended June 30, 2026 we believe we have remediated both material weaknesses, however, it will take time to demonstrate the effectiveness of the remediation which will be completed by December 31, 2026. Because of this material weakness in internal control over financial reporting, as of June 30, 2026, our disclosure controls are not considered effective. Our management concluded that all other internal controls over financial reporting were effective as of June 30, 2026.</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A material weakness (within the meaning of PCAOB Auditing Standard 2201) is a deficiency, or a combination of deficiencies, in internal control over financial reporting, such that there is a reasonable possibility that a material misstatement of our annual or interim financial statements will not be prevented or detected on a timely basis. A significant deficiency is a deficiency, or a combination of deficiencies, in internal control over financial reporting that is less severe than a material weakness, yet important enough to merit attention by those responsible for oversight of our financial reporting. Because of its inherent limitations, internal control over financial reporting may not prevent or detect misstatements. </w:t>
      </w:r>
    </w:p>
    <w:p>
      <w:pPr>
        <w:pStyle w:val="TextBody"/>
        <w:bidi w:val="0"/>
        <w:spacing w:lineRule="auto" w:line="288" w:before="240" w:after="283"/>
        <w:jc w:val="both"/>
        <w:rPr/>
      </w:pPr>
      <w:r>
        <w:rPr>
          <w:rFonts w:ascii="Times New Roman;serif" w:hAnsi="Times New Roman;serif"/>
          <w:b/>
          <w:i/>
          <w:color w:val="000000"/>
          <w:sz w:val="18"/>
        </w:rPr>
        <w:t>Changes in Internal Control over Financial Reporting</w:t>
      </w:r>
      <w:r>
        <w:rPr>
          <w:color w:val="000000"/>
        </w:rPr>
        <w:t xml:space="preserve">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Except for efforts associated with remediation of the aforementioned material weakness, there have not been any changes in our internal control over financial reporting (as such term is defined in Rules 13a-15(f) and 15d-15(f) under the Exchange Act) during our most recently completed fiscal quarter that materially affected, or are reasonably likely to materially affect, our internal control over financial reporting.</w:t>
      </w:r>
    </w:p>
    <w:p>
      <w:pPr>
        <w:pStyle w:val="TextBody"/>
        <w:bidi w:val="0"/>
        <w:spacing w:lineRule="auto" w:line="288" w:before="240" w:after="283"/>
        <w:jc w:val="both"/>
        <w:rPr/>
      </w:pPr>
      <w:r>
        <w:rPr>
          <w:rFonts w:ascii="Times New Roman;serif" w:hAnsi="Times New Roman;serif"/>
          <w:b/>
          <w:i/>
          <w:color w:val="000000"/>
          <w:sz w:val="18"/>
        </w:rPr>
        <w:t>Inherent Limitation on Effectiveness of Controls</w:t>
      </w:r>
      <w:r>
        <w:rPr>
          <w:color w:val="000000"/>
        </w:rPr>
        <w:t xml:space="preserve"> </w:t>
      </w:r>
    </w:p>
    <w:p>
      <w:pPr>
        <w:pStyle w:val="TextBody"/>
        <w:bidi w:val="0"/>
        <w:spacing w:lineRule="auto" w:line="288"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Internal control over financial reporting is a process designed by, or under the supervision of, our Chief Executive Officer and Chief Financial Officer, and effected by the board of directors, management, and other personnel, to provide reasonable assurance regarding the reliability of financial reporting and the preparation of financial statements for external purposes in accordance with GAAP including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pStyle w:val="TextBody"/>
        <w:bidi w:val="0"/>
        <w:spacing w:lineRule="auto" w:line="276" w:before="240" w:after="283"/>
        <w:ind w:left="0" w:right="0" w:firstLine="675"/>
        <w:jc w:val="both"/>
        <w:rPr>
          <w:rFonts w:ascii="Times New Roman;serif" w:hAnsi="Times New Roman;serif"/>
          <w:b w:val="false"/>
          <w:color w:val="000000"/>
          <w:sz w:val="18"/>
        </w:rPr>
      </w:pPr>
      <w:r>
        <w:rPr>
          <w:rFonts w:ascii="Times New Roman;serif" w:hAnsi="Times New Roman;serif"/>
          <w:b w:val="false"/>
          <w:color w:val="000000"/>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and procedures may deteriorate.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center"/>
        <w:rPr/>
      </w:pPr>
      <w:r>
        <w:rPr>
          <w:rFonts w:ascii="Times New Roman;serif" w:hAnsi="Times New Roman;serif"/>
          <w:b/>
          <w:color w:val="000000"/>
          <w:sz w:val="18"/>
        </w:rPr>
        <w:t xml:space="preserve">PART II. </w:t>
      </w:r>
      <w:r>
        <w:rPr>
          <w:rFonts w:ascii="Times New Roman;serif" w:hAnsi="Times New Roman;serif"/>
          <w:b/>
          <w:color w:val="000000"/>
          <w:sz w:val="18"/>
          <w:u w:val="single"/>
        </w:rPr>
        <w:t>OTHER INFORMATION</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1. </w:t>
      </w:r>
      <w:r>
        <w:rPr>
          <w:rFonts w:ascii="Times New Roman;serif" w:hAnsi="Times New Roman;serif"/>
          <w:b/>
          <w:color w:val="000000"/>
          <w:sz w:val="18"/>
          <w:u w:val="single"/>
        </w:rPr>
        <w:t>Legal Proceedings</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1A. </w:t>
      </w:r>
      <w:r>
        <w:rPr>
          <w:rFonts w:ascii="Times New Roman;serif" w:hAnsi="Times New Roman;serif"/>
          <w:b/>
          <w:color w:val="000000"/>
          <w:sz w:val="18"/>
          <w:u w:val="single"/>
        </w:rPr>
        <w:t>Risk Factors</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For a discussion of the Company’s potential risks and uncertainties, see Part I, Item 1A— “Risk Factors” and Part II, Item 7— “Management’s Discussion and Analysis of Financial Condition and Results of Operations” in the Company’s Annual Report on Form 10-K for the year ended December 31, 2025 (the "2025 Annual Report") filed with the SEC, and Part I, Item 2—“Management’s Discussion and Analysis of Financial Condition and Results of Operations” herein, in each case as updated by the Company's periodic filings with the SEC. There have been no material changes to the risk factors disclosed in Part I, Item 1A of the Company’s 2025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2. </w:t>
      </w:r>
      <w:r>
        <w:rPr>
          <w:rFonts w:ascii="Times New Roman;serif" w:hAnsi="Times New Roman;serif"/>
          <w:b/>
          <w:color w:val="000000"/>
          <w:sz w:val="18"/>
          <w:u w:val="single"/>
        </w:rPr>
        <w:t>Unregistered Sales of Equity Securities and Use of Proceeds</w:t>
      </w:r>
      <w:r>
        <w:rPr>
          <w:rFonts w:ascii="Times New Roman;serif" w:hAnsi="Times New Roman;serif"/>
          <w:b w:val="false"/>
          <w:color w:val="000000"/>
          <w:sz w:val="18"/>
        </w:rPr>
        <w:t>.</w:t>
      </w:r>
    </w:p>
    <w:p>
      <w:pPr>
        <w:pStyle w:val="TextBody"/>
        <w:bidi w:val="0"/>
        <w:spacing w:lineRule="auto" w:line="268" w:before="0" w:after="0"/>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(a)None.</w:t>
      </w:r>
    </w:p>
    <w:p>
      <w:pPr>
        <w:pStyle w:val="TextBody"/>
        <w:bidi w:val="0"/>
        <w:spacing w:lineRule="auto" w:line="288" w:before="240" w:after="283"/>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(b)Not applicable.</w:t>
      </w:r>
    </w:p>
    <w:p>
      <w:pPr>
        <w:pStyle w:val="TextBody"/>
        <w:bidi w:val="0"/>
        <w:spacing w:lineRule="auto" w:line="288" w:before="240" w:after="283"/>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 xml:space="preserve">(c)The following table provides information with respect to purchases of shares of common stock made by or on our behalf or by any "affiliated purchaser," as defined in Rule 10b-18(a)(3) under the Exchange Act during the quarter ended June 30, 2026: </w:t>
      </w:r>
    </w:p>
    <w:tbl>
      <w:tblPr>
        <w:tblW w:w="10205" w:type="dxa"/>
        <w:jc w:val="left"/>
        <w:tblInd w:w="0" w:type="dxa"/>
        <w:tblLayout w:type="fixed"/>
        <w:tblCellMar>
          <w:top w:w="28" w:type="dxa"/>
          <w:left w:w="28" w:type="dxa"/>
          <w:bottom w:w="28" w:type="dxa"/>
          <w:right w:w="28" w:type="dxa"/>
        </w:tblCellMar>
      </w:tblPr>
      <w:tblGrid>
        <w:gridCol w:w="284"/>
        <w:gridCol w:w="249"/>
        <w:gridCol w:w="251"/>
        <w:gridCol w:w="109"/>
        <w:gridCol w:w="109"/>
        <w:gridCol w:w="109"/>
        <w:gridCol w:w="504"/>
        <w:gridCol w:w="504"/>
        <w:gridCol w:w="506"/>
        <w:gridCol w:w="109"/>
        <w:gridCol w:w="109"/>
        <w:gridCol w:w="109"/>
        <w:gridCol w:w="284"/>
        <w:gridCol w:w="807"/>
        <w:gridCol w:w="158"/>
        <w:gridCol w:w="109"/>
        <w:gridCol w:w="109"/>
        <w:gridCol w:w="109"/>
        <w:gridCol w:w="849"/>
        <w:gridCol w:w="849"/>
        <w:gridCol w:w="852"/>
        <w:gridCol w:w="109"/>
        <w:gridCol w:w="109"/>
        <w:gridCol w:w="109"/>
        <w:gridCol w:w="978"/>
        <w:gridCol w:w="750"/>
        <w:gridCol w:w="1072"/>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Plans or Programs(2)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Number of Shares that May Yet Be Purchased Under the Plans or Programs(2)</w:t>
            </w:r>
          </w:p>
        </w:tc>
      </w:tr>
      <w:tr>
        <w:trPr/>
        <w:tc>
          <w:tcPr>
            <w:tcW w:w="7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4/1/26 - 4/30/26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5/1/26 - 5/31/26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6/1/26 - 6/30/26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980,554 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19,446 </w:t>
            </w:r>
          </w:p>
        </w:tc>
        <w:tc>
          <w:tcPr>
            <w:tcW w:w="5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19,446 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980,554 </w:t>
            </w:r>
          </w:p>
        </w:tc>
        <w:tc>
          <w:tcPr>
            <w:tcW w:w="10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(1)Purchases were made by us in open market transactions.</w:t>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(2)Up to 1,000,000 shares of common stock may be purchased through May 2028 pursuant to our repurchase plan announced on May 19,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3. </w:t>
      </w:r>
      <w:r>
        <w:rPr>
          <w:rFonts w:ascii="Times New Roman;serif" w:hAnsi="Times New Roman;serif"/>
          <w:b/>
          <w:color w:val="000000"/>
          <w:sz w:val="18"/>
          <w:u w:val="single"/>
        </w:rPr>
        <w:t>Defaults Upon Senior Securities</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4. </w:t>
      </w:r>
      <w:r>
        <w:rPr>
          <w:rFonts w:ascii="Times New Roman;serif" w:hAnsi="Times New Roman;serif"/>
          <w:b/>
          <w:color w:val="000000"/>
          <w:sz w:val="18"/>
          <w:u w:val="single"/>
        </w:rPr>
        <w:t>Mine Safety Disclosures</w:t>
      </w:r>
      <w:r>
        <w:rPr>
          <w:rFonts w:ascii="Times New Roman;serif" w:hAnsi="Times New Roman;serif"/>
          <w:b w:val="false"/>
          <w:color w:val="000000"/>
          <w:sz w:val="18"/>
        </w:rPr>
        <w:t xml:space="preserve">. </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pPr>
      <w:r>
        <w:rPr>
          <w:rFonts w:ascii="Times New Roman;serif" w:hAnsi="Times New Roman;serif"/>
          <w:b/>
          <w:color w:val="000000"/>
          <w:sz w:val="18"/>
        </w:rPr>
        <w:t xml:space="preserve">Item 5. </w:t>
      </w:r>
      <w:r>
        <w:rPr>
          <w:rFonts w:ascii="Times New Roman;serif" w:hAnsi="Times New Roman;serif"/>
          <w:b/>
          <w:color w:val="000000"/>
          <w:sz w:val="18"/>
          <w:u w:val="single"/>
        </w:rPr>
        <w:t>Other Information</w:t>
      </w:r>
    </w:p>
    <w:p>
      <w:pPr>
        <w:pStyle w:val="TextBody"/>
        <w:bidi w:val="0"/>
        <w:spacing w:lineRule="auto" w:line="268" w:before="240" w:after="283"/>
        <w:ind w:left="0" w:right="0" w:hanging="1080"/>
        <w:jc w:val="both"/>
        <w:rPr>
          <w:rFonts w:ascii="Times New Roman;serif" w:hAnsi="Times New Roman;serif"/>
          <w:b w:val="false"/>
          <w:color w:val="000000"/>
          <w:sz w:val="18"/>
        </w:rPr>
      </w:pPr>
      <w:r>
        <w:rPr>
          <w:rFonts w:ascii="Times New Roman;serif" w:hAnsi="Times New Roman;serif"/>
          <w:b w:val="false"/>
          <w:color w:val="000000"/>
          <w:sz w:val="18"/>
        </w:rPr>
        <w:t>(a)None.</w:t>
      </w:r>
    </w:p>
    <w:p>
      <w:pPr>
        <w:pStyle w:val="TextBody"/>
        <w:bidi w:val="0"/>
        <w:spacing w:lineRule="auto" w:line="288" w:before="240" w:after="283"/>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(b)None.</w:t>
      </w:r>
    </w:p>
    <w:p>
      <w:pPr>
        <w:pStyle w:val="TextBody"/>
        <w:bidi w:val="0"/>
        <w:spacing w:lineRule="auto" w:line="276" w:before="0" w:after="0"/>
        <w:ind w:left="0" w:right="0" w:hanging="1080"/>
        <w:jc w:val="left"/>
        <w:rPr>
          <w:rFonts w:ascii="Times New Roman;serif" w:hAnsi="Times New Roman;serif"/>
          <w:b w:val="false"/>
          <w:color w:val="000000"/>
          <w:sz w:val="18"/>
        </w:rPr>
      </w:pPr>
      <w:r>
        <w:rPr>
          <w:rFonts w:ascii="Times New Roman;serif" w:hAnsi="Times New Roman;serif"/>
          <w:b w:val="false"/>
          <w:color w:val="000000"/>
          <w:sz w:val="18"/>
        </w:rPr>
        <w:t xml:space="preserve">(c)None.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before="0" w:after="0"/>
        <w:jc w:val="left"/>
        <w:rPr/>
      </w:pPr>
      <w:r>
        <w:rPr/>
      </w:r>
    </w:p>
    <w:p>
      <w:pPr>
        <w:pStyle w:val="TextBody"/>
        <w:bidi w:val="0"/>
        <w:spacing w:before="0" w:after="0"/>
        <w:ind w:left="0" w:right="0" w:hanging="720"/>
        <w:jc w:val="left"/>
        <w:rPr/>
      </w:pPr>
      <w:r>
        <w:rPr/>
      </w:r>
    </w:p>
    <w:p>
      <w:pPr>
        <w:pStyle w:val="TextBody"/>
        <w:bidi w:val="0"/>
        <w:spacing w:before="0" w:after="0"/>
        <w:ind w:left="0" w:right="0" w:hanging="1080"/>
        <w:jc w:val="left"/>
        <w:rPr/>
      </w:pPr>
      <w:r>
        <w:rPr/>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18"/>
        </w:rPr>
        <w:t xml:space="preserve">Item 6. </w:t>
      </w:r>
      <w:r>
        <w:rPr>
          <w:rFonts w:ascii="Times New Roman;serif" w:hAnsi="Times New Roman;serif"/>
          <w:b/>
          <w:color w:val="000000"/>
          <w:sz w:val="18"/>
          <w:u w:val="single"/>
        </w:rPr>
        <w:t>Exhibits</w:t>
      </w:r>
      <w:r>
        <w:rPr>
          <w:rFonts w:ascii="Times New Roman;serif" w:hAnsi="Times New Roman;serif"/>
          <w:b w:val="false"/>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259"/>
        <w:gridCol w:w="174"/>
        <w:gridCol w:w="162"/>
        <w:gridCol w:w="109"/>
        <w:gridCol w:w="109"/>
        <w:gridCol w:w="109"/>
        <w:gridCol w:w="2773"/>
        <w:gridCol w:w="2688"/>
        <w:gridCol w:w="3822"/>
      </w:tblGrid>
      <w:tr>
        <w:trPr/>
        <w:tc>
          <w:tcPr>
            <w:tcW w:w="2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18"/>
                  <w:u w:val="single"/>
                </w:rPr>
                <w:t>3(a)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18"/>
                  <w:u w:val="single"/>
                </w:rPr>
                <w:t>Restated Certificate of Incorporation, as amended (incorporated by reference to Exhibit 3(a) to the Company’s Quarterly Report on Form 10-Q for the period ended March 31, 2014 filed on May 15, 2014).</w:t>
              </w:r>
            </w:hyperlink>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18"/>
                  <w:u w:val="single"/>
                </w:rPr>
                <w:t>3(b)</w:t>
              </w:r>
            </w:hyperlink>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18"/>
                  <w:u w:val="single"/>
                </w:rPr>
                <w:t>By-laws, as amended (incorporated by reference to Exhibit 3(b) to the Company's Annual Report on Form 10-K for the fiscal year ended December 31, 2025 filed on March 16, 2026)</w:t>
              </w:r>
            </w:hyperlink>
          </w:p>
        </w:tc>
      </w:tr>
      <w:tr>
        <w:trPr/>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kins-20260630xex31a.htm">
              <w:r>
                <w:rPr>
                  <w:rStyle w:val="InternetLink"/>
                  <w:rFonts w:ascii="Times New Roman;serif" w:hAnsi="Times New Roman;serif"/>
                  <w:b w:val="false"/>
                  <w:color w:val="0000FF"/>
                  <w:sz w:val="18"/>
                  <w:u w:val="single"/>
                </w:rPr>
                <w:t>31(a)</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kins-20260630xex31a.htm">
              <w:r>
                <w:rPr>
                  <w:rStyle w:val="InternetLink"/>
                  <w:rFonts w:ascii="Times New Roman;serif" w:hAnsi="Times New Roman;serif"/>
                  <w:b w:val="false"/>
                  <w:color w:val="0000FF"/>
                  <w:sz w:val="18"/>
                  <w:u w:val="single"/>
                </w:rPr>
                <w:t>Rule 13a-14(a)/15d-14(a) Certification of Principal Executive Officer as adopted pursuant to Section 302 of the Sarbanes-Oxley Act of 2002</w:t>
              </w:r>
            </w:hyperlink>
          </w:p>
        </w:tc>
      </w:tr>
      <w:tr>
        <w:trPr/>
        <w:tc>
          <w:tcPr>
            <w:tcW w:w="5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kins-20260630xex31b.htm">
              <w:r>
                <w:rPr>
                  <w:rStyle w:val="InternetLink"/>
                  <w:rFonts w:ascii="Times New Roman;serif" w:hAnsi="Times New Roman;serif"/>
                  <w:b w:val="false"/>
                  <w:color w:val="0000FF"/>
                  <w:sz w:val="18"/>
                  <w:u w:val="single"/>
                </w:rPr>
                <w:t>31(b)</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kins-20260630xex31b.htm">
              <w:r>
                <w:rPr>
                  <w:rStyle w:val="InternetLink"/>
                  <w:rFonts w:ascii="Times New Roman;serif" w:hAnsi="Times New Roman;serif"/>
                  <w:b w:val="false"/>
                  <w:color w:val="0000FF"/>
                  <w:sz w:val="18"/>
                  <w:u w:val="single"/>
                </w:rPr>
                <w:t xml:space="preserve">Rule 13a-14(a)/15d-14(a) Certification of Principal Financial Officer as adopted pursuant to Section 302 of the Sarbanes-Oxley Act of 2002 </w:t>
              </w:r>
            </w:hyperlink>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kins-20260630xex32.htm">
              <w:r>
                <w:rPr>
                  <w:rStyle w:val="InternetLink"/>
                  <w:rFonts w:ascii="Times New Roman;serif" w:hAnsi="Times New Roman;serif"/>
                  <w:b w:val="false"/>
                  <w:color w:val="0000FF"/>
                  <w:sz w:val="18"/>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kins-20260630xex32.htm">
              <w:r>
                <w:rPr>
                  <w:rStyle w:val="InternetLink"/>
                  <w:rFonts w:ascii="Times New Roman;serif" w:hAnsi="Times New Roman;serif"/>
                  <w:b w:val="false"/>
                  <w:color w:val="0000FF"/>
                  <w:sz w:val="18"/>
                  <w:u w:val="single"/>
                </w:rPr>
                <w:t>Certification of Principal Executive Officer and Principal Financial Officer Pursuant to 18 U.S.C. Section 1350, as Adopted Pursuant to Section 906 of the Sarbanes-Oxley Act of 2002</w:t>
              </w:r>
            </w:hyperlink>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101.SCH XBRL Taxonomy Extension Schema.</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101.CAL XBRL Taxonomy Extension Calculation Linkbase.</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101.DEF XBRL Taxonomy Extension Definition Linkbase.</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 XBRL Taxonomy Extension Label Linkbase.</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 XBRL Taxonomy Extension Presentation Linkbase.</w:t>
            </w:r>
          </w:p>
        </w:tc>
      </w:tr>
      <w:tr>
        <w:trPr/>
        <w:tc>
          <w:tcPr>
            <w:tcW w:w="5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This exhibit will not be deemed “filed” for purposes of Section 18 of the Securities Exchange Act of 1934, as amended, or otherwise subject to the liability of that section. Such exhibit shall not be deemed incorporated into any filing under the Securities Act of 1933, as amended, or the Securities Act of 1934, as amended.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76" w:before="0" w:after="0"/>
        <w:jc w:val="left"/>
        <w:rPr/>
      </w:pPr>
      <w:hyperlink w:anchor="i92b3bfd314c944abaca110fc2b4e1e3e_7">
        <w:r>
          <w:rPr>
            <w:rStyle w:val="InternetLink"/>
          </w:rPr>
          <w:t xml:space="preserve">Table of </w:t>
        </w:r>
      </w:hyperlink>
      <w:hyperlink w:anchor="i92b3bfd314c944abaca110fc2b4e1e3e_7">
        <w:r>
          <w:rPr>
            <w:rStyle w:val="InternetLink"/>
          </w:rPr>
          <w:t>Contents</w:t>
        </w:r>
      </w:hyperlink>
    </w:p>
    <w:p>
      <w:pPr>
        <w:pStyle w:val="TextBody"/>
        <w:bidi w:val="0"/>
        <w:spacing w:lineRule="auto" w:line="288" w:before="240" w:after="283"/>
        <w:jc w:val="center"/>
        <w:rPr>
          <w:rFonts w:ascii="Times New Roman;serif" w:hAnsi="Times New Roman;serif"/>
          <w:b/>
          <w:color w:val="000000"/>
          <w:sz w:val="18"/>
          <w:u w:val="single"/>
        </w:rPr>
      </w:pPr>
      <w:r>
        <w:rPr>
          <w:rFonts w:ascii="Times New Roman;serif" w:hAnsi="Times New Roman;serif"/>
          <w:b/>
          <w:color w:val="000000"/>
          <w:sz w:val="18"/>
          <w:u w:val="single"/>
        </w:rPr>
        <w:t>SIGNATURES</w:t>
      </w:r>
    </w:p>
    <w:p>
      <w:pPr>
        <w:pStyle w:val="TextBody"/>
        <w:bidi w:val="0"/>
        <w:spacing w:lineRule="auto" w:line="288" w:before="240" w:after="283"/>
        <w:ind w:left="0" w:right="0" w:firstLine="720"/>
        <w:jc w:val="both"/>
        <w:rPr>
          <w:rFonts w:ascii="Times New Roman;serif" w:hAnsi="Times New Roman;serif"/>
          <w:b w:val="false"/>
          <w:color w:val="000000"/>
          <w:sz w:val="18"/>
        </w:rPr>
      </w:pPr>
      <w:r>
        <w:rPr>
          <w:rFonts w:ascii="Times New Roman;serif" w:hAnsi="Times New Roman;serif"/>
          <w:b w:val="false"/>
          <w:color w:val="000000"/>
          <w:sz w:val="18"/>
        </w:rPr>
        <w:t xml:space="preserve">Pursuant to the requirements of the Securities Exchange Act of 1934, the registrant has duly caused this report to be signed on its behalf by the undersigned thereunto duly authorized. </w:t>
      </w:r>
    </w:p>
    <w:tbl>
      <w:tblPr>
        <w:tblW w:w="7229" w:type="dxa"/>
        <w:jc w:val="left"/>
        <w:tblInd w:w="0" w:type="dxa"/>
        <w:tblLayout w:type="fixed"/>
        <w:tblCellMar>
          <w:top w:w="28" w:type="dxa"/>
          <w:left w:w="28" w:type="dxa"/>
          <w:bottom w:w="28" w:type="dxa"/>
          <w:right w:w="28" w:type="dxa"/>
        </w:tblCellMar>
      </w:tblPr>
      <w:tblGrid>
        <w:gridCol w:w="629"/>
        <w:gridCol w:w="552"/>
        <w:gridCol w:w="558"/>
        <w:gridCol w:w="120"/>
        <w:gridCol w:w="120"/>
        <w:gridCol w:w="120"/>
        <w:gridCol w:w="1500"/>
        <w:gridCol w:w="1500"/>
        <w:gridCol w:w="2130"/>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KINGSTONE COMPANIES, INC.</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tc>
        <w:tc>
          <w:tcPr>
            <w:tcW w:w="3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Meryl Golden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Meryl Golden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Chief Executive Officer and Principal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18"/>
              </w:rPr>
            </w:pPr>
            <w:r>
              <w:rPr>
                <w:rFonts w:ascii="Times New Roman;serif" w:hAnsi="Times New Roman;serif"/>
                <w:b w:val="false"/>
                <w:color w:val="000000"/>
                <w:sz w:val="18"/>
              </w:rPr>
              <w:t>Dated: August 7, 2026</w:t>
            </w:r>
          </w:p>
        </w:tc>
        <w:tc>
          <w:tcPr>
            <w:tcW w:w="36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 Randy Patten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18"/>
              </w:rPr>
            </w:pPr>
            <w:r>
              <w:rPr>
                <w:rFonts w:ascii="Times New Roman;serif" w:hAnsi="Times New Roman;serif"/>
                <w:b w:val="false"/>
                <w:color w:val="000000"/>
                <w:sz w:val="18"/>
              </w:rPr>
              <w:t>Randy Patten</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Vice President, Chief Financial Officer and 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31(A)</w:t>
      </w:r>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Meryl Golden, certify that: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Kingstone Companies, Inc.;</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526" w:type="dxa"/>
        <w:jc w:val="left"/>
        <w:tblInd w:w="0" w:type="dxa"/>
        <w:tblLayout w:type="fixed"/>
        <w:tblCellMar>
          <w:top w:w="28" w:type="dxa"/>
          <w:left w:w="28" w:type="dxa"/>
          <w:bottom w:w="28" w:type="dxa"/>
          <w:right w:w="28" w:type="dxa"/>
        </w:tblCellMar>
      </w:tblPr>
      <w:tblGrid>
        <w:gridCol w:w="667"/>
        <w:gridCol w:w="587"/>
        <w:gridCol w:w="590"/>
        <w:gridCol w:w="769"/>
        <w:gridCol w:w="769"/>
        <w:gridCol w:w="772"/>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Meryl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Meryl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31(B)</w:t>
      </w:r>
      <w:r>
        <w:rPr>
          <w:color w:val="000000"/>
        </w:rPr>
        <w:t xml:space="preserve"> </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Randy Patten, certify that: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Kingstone Companies, Inc.;</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117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4466" w:type="dxa"/>
        <w:jc w:val="left"/>
        <w:tblInd w:w="0" w:type="dxa"/>
        <w:tblLayout w:type="fixed"/>
        <w:tblCellMar>
          <w:top w:w="28" w:type="dxa"/>
          <w:left w:w="28" w:type="dxa"/>
          <w:bottom w:w="28" w:type="dxa"/>
          <w:right w:w="28" w:type="dxa"/>
        </w:tblCellMar>
      </w:tblPr>
      <w:tblGrid>
        <w:gridCol w:w="667"/>
        <w:gridCol w:w="587"/>
        <w:gridCol w:w="590"/>
        <w:gridCol w:w="749"/>
        <w:gridCol w:w="749"/>
        <w:gridCol w:w="752"/>
        <w:gridCol w:w="109"/>
        <w:gridCol w:w="109"/>
        <w:gridCol w:w="154"/>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Randy Patten</w:t>
              <w:b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pPr>
      <w:r>
        <w:rPr>
          <w:rFonts w:ascii="Times New Roman;serif" w:hAnsi="Times New Roman;serif"/>
          <w:b/>
          <w:color w:val="000000"/>
          <w:sz w:val="20"/>
        </w:rPr>
        <w:t>EXHIBIT 32</w:t>
      </w:r>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pPr>
      <w:r>
        <w:rPr>
          <w:rFonts w:ascii="Times New Roman;serif" w:hAnsi="Times New Roman;serif"/>
          <w:b/>
          <w:color w:val="000000"/>
          <w:sz w:val="20"/>
        </w:rPr>
        <w:t>SECTION 906 OF THE SARBANES-OXLEY ACT OF 2002</w:t>
      </w:r>
      <w:r>
        <w:rPr>
          <w:color w:val="000000"/>
        </w:rPr>
        <w:t xml:space="preserve"> </w:t>
      </w:r>
    </w:p>
    <w:p>
      <w:pPr>
        <w:pStyle w:val="TextBody"/>
        <w:bidi w:val="0"/>
        <w:spacing w:lineRule="auto" w:line="288" w:before="240" w:after="283"/>
        <w:ind w:left="0" w:right="0" w:firstLine="675"/>
        <w:jc w:val="both"/>
        <w:rPr>
          <w:rFonts w:ascii="Times New Roman;serif" w:hAnsi="Times New Roman;serif"/>
          <w:b w:val="false"/>
          <w:color w:val="000000"/>
          <w:sz w:val="20"/>
        </w:rPr>
      </w:pPr>
      <w:r>
        <w:rPr>
          <w:rFonts w:ascii="Times New Roman;serif" w:hAnsi="Times New Roman;serif"/>
          <w:b w:val="false"/>
          <w:color w:val="000000"/>
          <w:sz w:val="20"/>
        </w:rPr>
        <w:t xml:space="preserve">The undersigned hereby certify, pursuant to, and as required by, 18 U.S.C. Section 1350, as adopted pursuant to Section 906 of the Sarbanes-Oxley Act of 2002, that the Quarterly Report of Kingstone Companies, Inc. (the “Company”) on Form 10-Q for the period ended June 30, 2026 fully complies with the requirements of Section 13(a) or 15(d) of the Securities Exchange Act of 1934, as amended, and that information contained in such Quarterly Report on Form 10-Q fairly presents, in all material respects, the financial condition and results of operations of the Company. </w:t>
      </w:r>
    </w:p>
    <w:tbl>
      <w:tblPr>
        <w:tblW w:w="4631" w:type="dxa"/>
        <w:jc w:val="left"/>
        <w:tblInd w:w="0" w:type="dxa"/>
        <w:tblLayout w:type="fixed"/>
        <w:tblCellMar>
          <w:top w:w="28" w:type="dxa"/>
          <w:left w:w="28" w:type="dxa"/>
          <w:bottom w:w="28" w:type="dxa"/>
          <w:right w:w="28" w:type="dxa"/>
        </w:tblCellMar>
      </w:tblPr>
      <w:tblGrid>
        <w:gridCol w:w="705"/>
        <w:gridCol w:w="619"/>
        <w:gridCol w:w="625"/>
        <w:gridCol w:w="769"/>
        <w:gridCol w:w="769"/>
        <w:gridCol w:w="772"/>
        <w:gridCol w:w="109"/>
        <w:gridCol w:w="109"/>
        <w:gridCol w:w="154"/>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Meryl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Meryl Golden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Randy Patten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33992/000135448814002619/kins_ex3a.htm" TargetMode="External"/><Relationship Id="rId3" Type="http://schemas.openxmlformats.org/officeDocument/2006/relationships/hyperlink" Target="https://www.sec.gov/Archives/edgar/data/33992/000135448814002619/kins_ex3a.htm" TargetMode="External"/><Relationship Id="rId4" Type="http://schemas.openxmlformats.org/officeDocument/2006/relationships/hyperlink" Target="https://www.sec.gov/Archives/edgar/data/33992/000003399225000017/exhibit3bby-lawsasamended.htm" TargetMode="External"/><Relationship Id="rId5" Type="http://schemas.openxmlformats.org/officeDocument/2006/relationships/hyperlink" Target="https://www.sec.gov/Archives/edgar/data/33992/000003399225000017/exhibit3bby-lawsasamended.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40609</Words>
  <Characters>220786</Characters>
  <CharactersWithSpaces>257831</CharactersWithSpaces>
  <Paragraphs>6638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