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jc w:val="center"/>
        <w:ind w:left="3800" w:right="1060" w:hanging="3468"/>
        <w:spacing w:after="0" w:line="257" w:lineRule="auto"/>
        <w:tabs>
          <w:tab w:leader="none" w:pos="136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2016</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3" w:lineRule="exact"/>
        <w:rPr>
          <w:sz w:val="24"/>
          <w:szCs w:val="24"/>
          <w:color w:val="auto"/>
        </w:rPr>
      </w:pPr>
    </w:p>
    <w:p>
      <w:pPr>
        <w:jc w:val="center"/>
        <w:ind w:left="3680" w:right="1040" w:hanging="3348"/>
        <w:spacing w:after="0" w:line="275" w:lineRule="auto"/>
        <w:tabs>
          <w:tab w:leader="none" w:pos="136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_________to _________</w:t>
      </w:r>
    </w:p>
    <w:p>
      <w:pPr>
        <w:spacing w:after="0" w:line="20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0-1665</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KINGSTONE COMPANIES, INC.</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20"/>
          </w:cols>
          <w:pgMar w:left="240" w:top="652" w:right="339" w:bottom="1440" w:gutter="0" w:footer="0" w:header="0"/>
        </w:sectPr>
      </w:pPr>
    </w:p>
    <w:p>
      <w:pPr>
        <w:spacing w:after="0" w:line="205"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580"/>
        <w:spacing w:after="0"/>
        <w:rPr>
          <w:sz w:val="20"/>
          <w:szCs w:val="20"/>
          <w:color w:val="auto"/>
        </w:rPr>
      </w:pPr>
      <w:r>
        <w:rPr>
          <w:rFonts w:ascii="Arial" w:cs="Arial" w:eastAsia="Arial" w:hAnsi="Arial"/>
          <w:sz w:val="15"/>
          <w:szCs w:val="15"/>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36-2476480</w:t>
      </w:r>
    </w:p>
    <w:p>
      <w:pPr>
        <w:spacing w:after="0" w:line="21"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7100" w:space="720"/>
            <w:col w:w="3500"/>
          </w:cols>
          <w:pgMar w:left="240" w:top="652" w:right="339" w:bottom="1440" w:gutter="0" w:footer="0" w:header="0"/>
          <w:type w:val="continuous"/>
        </w:sectPr>
      </w:pP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15 Joys Lane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Kingston, NY 12401</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7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(845) 802-7900</w:t>
      </w:r>
    </w:p>
    <w:p>
      <w:pPr>
        <w:sectPr>
          <w:pgSz w:w="11900" w:h="16838" w:orient="portrait"/>
          <w:cols w:equalWidth="0" w:num="1">
            <w:col w:w="11320"/>
          </w:cols>
          <w:pgMar w:left="240" w:top="652" w:right="339" w:bottom="1440" w:gutter="0" w:footer="0" w:header="0"/>
          <w:type w:val="continuous"/>
        </w:sectPr>
      </w:pP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58" w:lineRule="exact"/>
        <w:rPr>
          <w:sz w:val="24"/>
          <w:szCs w:val="24"/>
          <w:color w:val="auto"/>
        </w:rPr>
      </w:pPr>
    </w:p>
    <w:p>
      <w:pPr>
        <w:jc w:val="both"/>
        <w:ind w:right="1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9" w:lineRule="exact"/>
        <w:rPr>
          <w:sz w:val="24"/>
          <w:szCs w:val="24"/>
          <w:color w:val="auto"/>
        </w:rPr>
      </w:pPr>
    </w:p>
    <w:p>
      <w:pPr>
        <w:ind w:right="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9" w:lineRule="exact"/>
        <w:rPr>
          <w:sz w:val="24"/>
          <w:szCs w:val="24"/>
          <w:color w:val="auto"/>
        </w:rPr>
      </w:pPr>
    </w:p>
    <w:p>
      <w:pPr>
        <w:ind w:right="3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7" w:lineRule="exact"/>
        <w:rPr>
          <w:sz w:val="24"/>
          <w:szCs w:val="24"/>
          <w:color w:val="auto"/>
        </w:rPr>
      </w:pPr>
    </w:p>
    <w:tbl>
      <w:tblPr>
        <w:tblLayout w:type="fixed"/>
        <w:tblInd w:w="260" w:type="dxa"/>
        <w:tblCellMar>
          <w:top w:w="0" w:type="dxa"/>
          <w:left w:w="0" w:type="dxa"/>
          <w:bottom w:w="0" w:type="dxa"/>
          <w:right w:w="0" w:type="dxa"/>
        </w:tblCellMar>
      </w:tblPr>
      <w:tr>
        <w:trPr>
          <w:trHeight w:val="249"/>
        </w:trPr>
        <w:tc>
          <w:tcPr>
            <w:tcW w:w="220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280" w:type="dxa"/>
            <w:vAlign w:val="bottom"/>
            <w:vMerge w:val="restart"/>
          </w:tcPr>
          <w:p>
            <w:pPr>
              <w:ind w:left="420"/>
              <w:spacing w:after="0" w:line="207" w:lineRule="exact"/>
              <w:rPr>
                <w:sz w:val="20"/>
                <w:szCs w:val="20"/>
                <w:color w:val="auto"/>
              </w:rPr>
            </w:pPr>
            <w:r>
              <w:rPr>
                <w:rFonts w:ascii="Arial" w:cs="Arial" w:eastAsia="Arial" w:hAnsi="Arial"/>
                <w:sz w:val="18"/>
                <w:szCs w:val="18"/>
                <w:color w:val="auto"/>
              </w:rPr>
              <w:t>Accelerated filer</w:t>
            </w:r>
            <w:r>
              <w:rPr>
                <w:rFonts w:ascii="MS PGothic" w:cs="MS PGothic" w:eastAsia="MS PGothic" w:hAnsi="MS PGothic"/>
                <w:sz w:val="18"/>
                <w:szCs w:val="18"/>
                <w:color w:val="auto"/>
              </w:rPr>
              <w:t>☐</w:t>
            </w:r>
          </w:p>
        </w:tc>
        <w:tc>
          <w:tcPr>
            <w:tcW w:w="4120" w:type="dxa"/>
            <w:vAlign w:val="bottom"/>
          </w:tcPr>
          <w:p>
            <w:pPr>
              <w:jc w:val="center"/>
              <w:ind w:left="112"/>
              <w:spacing w:after="0" w:line="207" w:lineRule="exact"/>
              <w:rPr>
                <w:sz w:val="20"/>
                <w:szCs w:val="20"/>
                <w:color w:val="auto"/>
              </w:rPr>
            </w:pPr>
            <w:r>
              <w:rPr>
                <w:rFonts w:ascii="Arial" w:cs="Arial" w:eastAsia="Arial" w:hAnsi="Arial"/>
                <w:sz w:val="18"/>
                <w:szCs w:val="18"/>
                <w:color w:val="auto"/>
                <w:w w:val="88"/>
              </w:rPr>
              <w:t xml:space="preserve">Non-accelerated filer </w:t>
            </w:r>
            <w:r>
              <w:rPr>
                <w:rFonts w:ascii="MS PGothic" w:cs="MS PGothic" w:eastAsia="MS PGothic" w:hAnsi="MS PGothic"/>
                <w:sz w:val="18"/>
                <w:szCs w:val="18"/>
                <w:color w:val="auto"/>
                <w:w w:val="88"/>
              </w:rPr>
              <w:t>☐</w:t>
            </w:r>
          </w:p>
        </w:tc>
        <w:tc>
          <w:tcPr>
            <w:tcW w:w="2460" w:type="dxa"/>
            <w:vAlign w:val="bottom"/>
            <w:vMerge w:val="restart"/>
          </w:tcPr>
          <w:p>
            <w:pPr>
              <w:ind w:left="340"/>
              <w:spacing w:after="0" w:line="207" w:lineRule="exact"/>
              <w:rPr>
                <w:sz w:val="20"/>
                <w:szCs w:val="20"/>
                <w:color w:val="auto"/>
              </w:rPr>
            </w:pPr>
            <w:r>
              <w:rPr>
                <w:rFonts w:ascii="Arial" w:cs="Arial" w:eastAsia="Arial" w:hAnsi="Arial"/>
                <w:sz w:val="18"/>
                <w:szCs w:val="18"/>
                <w:color w:val="auto"/>
                <w:w w:val="88"/>
              </w:rPr>
              <w:t xml:space="preserve">Smaller reporting company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4"/>
        </w:trPr>
        <w:tc>
          <w:tcPr>
            <w:tcW w:w="2200" w:type="dxa"/>
            <w:vAlign w:val="bottom"/>
            <w:vMerge w:val="continue"/>
          </w:tcPr>
          <w:p>
            <w:pPr>
              <w:spacing w:after="0"/>
              <w:rPr>
                <w:sz w:val="11"/>
                <w:szCs w:val="11"/>
                <w:color w:val="auto"/>
              </w:rPr>
            </w:pPr>
          </w:p>
        </w:tc>
        <w:tc>
          <w:tcPr>
            <w:tcW w:w="2280" w:type="dxa"/>
            <w:vAlign w:val="bottom"/>
            <w:vMerge w:val="continue"/>
          </w:tcPr>
          <w:p>
            <w:pPr>
              <w:spacing w:after="0"/>
              <w:rPr>
                <w:sz w:val="11"/>
                <w:szCs w:val="11"/>
                <w:color w:val="auto"/>
              </w:rPr>
            </w:pPr>
          </w:p>
        </w:tc>
        <w:tc>
          <w:tcPr>
            <w:tcW w:w="4120" w:type="dxa"/>
            <w:vAlign w:val="bottom"/>
            <w:vMerge w:val="restart"/>
          </w:tcPr>
          <w:p>
            <w:pPr>
              <w:jc w:val="center"/>
              <w:ind w:left="132"/>
              <w:spacing w:after="0"/>
              <w:rPr>
                <w:sz w:val="20"/>
                <w:szCs w:val="20"/>
                <w:color w:val="auto"/>
              </w:rPr>
            </w:pPr>
            <w:r>
              <w:rPr>
                <w:rFonts w:ascii="Arial" w:cs="Arial" w:eastAsia="Arial" w:hAnsi="Arial"/>
                <w:sz w:val="18"/>
                <w:szCs w:val="18"/>
                <w:color w:val="auto"/>
                <w:w w:val="89"/>
              </w:rPr>
              <w:t>(Do not check if a smaller reporting company)</w:t>
            </w:r>
          </w:p>
        </w:tc>
        <w:tc>
          <w:tcPr>
            <w:tcW w:w="2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4120" w:type="dxa"/>
            <w:vAlign w:val="bottom"/>
            <w:vMerge w:val="continue"/>
          </w:tcPr>
          <w:p>
            <w:pPr>
              <w:spacing w:after="0"/>
              <w:rPr>
                <w:sz w:val="7"/>
                <w:szCs w:val="7"/>
                <w:color w:val="auto"/>
              </w:rPr>
            </w:pPr>
          </w:p>
        </w:tc>
        <w:tc>
          <w:tcPr>
            <w:tcW w:w="24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10, 2016 there were 7,913,366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20"/>
          </w:cols>
          <w:pgMar w:left="240" w:top="65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KINGSTONE COMPANIES,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8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24"/>
        </w:trPr>
        <w:tc>
          <w:tcPr>
            <w:tcW w:w="1060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80" w:type="dxa"/>
            <w:vAlign w:val="bottom"/>
          </w:tcPr>
          <w:p>
            <w:pPr>
              <w:ind w:left="260"/>
              <w:spacing w:after="0"/>
              <w:rPr>
                <w:sz w:val="20"/>
                <w:szCs w:val="20"/>
                <w:color w:val="auto"/>
              </w:rPr>
            </w:pPr>
            <w:r>
              <w:rPr>
                <w:rFonts w:ascii="Arial" w:cs="Arial" w:eastAsia="Arial" w:hAnsi="Arial"/>
                <w:sz w:val="18"/>
                <w:szCs w:val="18"/>
                <w:color w:val="auto"/>
              </w:rPr>
              <w:t>Item 1 —</w:t>
            </w:r>
          </w:p>
        </w:tc>
        <w:tc>
          <w:tcPr>
            <w:tcW w:w="9320" w:type="dxa"/>
            <w:vAlign w:val="bottom"/>
          </w:tcPr>
          <w:p>
            <w:pPr>
              <w:ind w:left="200"/>
              <w:spacing w:after="0"/>
              <w:rPr>
                <w:sz w:val="20"/>
                <w:szCs w:val="20"/>
                <w:color w:val="auto"/>
              </w:rPr>
            </w:pPr>
            <w:r>
              <w:rPr>
                <w:rFonts w:ascii="Arial" w:cs="Arial" w:eastAsia="Arial" w:hAnsi="Arial"/>
                <w:sz w:val="18"/>
                <w:szCs w:val="18"/>
                <w:color w:val="auto"/>
              </w:rPr>
              <w:t>Financial Statements</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Condensed Consolidated Balance Sheets at September 30, 2016 (Unaudited) and December 31, 2015</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w w:val="93"/>
              </w:rPr>
              <w:t>Condensed Consolidated Statements of Income and Comprehensive Income for the three months and nine months ended</w:t>
            </w:r>
          </w:p>
        </w:tc>
        <w:tc>
          <w:tcPr>
            <w:tcW w:w="820" w:type="dxa"/>
            <w:vAlign w:val="bottom"/>
            <w:vMerge w:val="restart"/>
          </w:tcPr>
          <w:p>
            <w:pPr>
              <w:jc w:val="right"/>
              <w:ind w:right="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4"/>
        </w:trPr>
        <w:tc>
          <w:tcPr>
            <w:tcW w:w="1280" w:type="dxa"/>
            <w:vAlign w:val="bottom"/>
          </w:tcPr>
          <w:p>
            <w:pPr>
              <w:spacing w:after="0"/>
              <w:rPr>
                <w:sz w:val="9"/>
                <w:szCs w:val="9"/>
                <w:color w:val="auto"/>
              </w:rPr>
            </w:pPr>
          </w:p>
        </w:tc>
        <w:tc>
          <w:tcPr>
            <w:tcW w:w="9320" w:type="dxa"/>
            <w:vAlign w:val="bottom"/>
            <w:vMerge w:val="restart"/>
          </w:tcPr>
          <w:p>
            <w:pPr>
              <w:ind w:left="200"/>
              <w:spacing w:after="0"/>
              <w:rPr>
                <w:sz w:val="20"/>
                <w:szCs w:val="20"/>
                <w:color w:val="auto"/>
              </w:rPr>
            </w:pPr>
            <w:r>
              <w:rPr>
                <w:rFonts w:ascii="Arial" w:cs="Arial" w:eastAsia="Arial" w:hAnsi="Arial"/>
                <w:sz w:val="18"/>
                <w:szCs w:val="18"/>
                <w:color w:val="auto"/>
              </w:rPr>
              <w:t>September 30, 2016 (Unaudited) and 2015 (Unaudited)</w:t>
            </w: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80" w:type="dxa"/>
            <w:vAlign w:val="bottom"/>
          </w:tcPr>
          <w:p>
            <w:pPr>
              <w:spacing w:after="0"/>
              <w:rPr>
                <w:sz w:val="8"/>
                <w:szCs w:val="8"/>
                <w:color w:val="auto"/>
              </w:rPr>
            </w:pPr>
          </w:p>
        </w:tc>
        <w:tc>
          <w:tcPr>
            <w:tcW w:w="932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w w:val="94"/>
              </w:rPr>
              <w:t>Condensed Consolidated Statement of Stockholders’ Equity for the nine months ended September 30, 2016 (Unaudited)</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w w:val="92"/>
              </w:rPr>
              <w:t>Condensed Consolidated Statements of Cash Flows for the nine months ended September 30, 2016 (Unaudited) and 2015</w:t>
            </w:r>
          </w:p>
        </w:tc>
        <w:tc>
          <w:tcPr>
            <w:tcW w:w="820" w:type="dxa"/>
            <w:vAlign w:val="bottom"/>
            <w:vMerge w:val="restart"/>
          </w:tcPr>
          <w:p>
            <w:pPr>
              <w:jc w:val="right"/>
              <w:ind w:right="5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4"/>
        </w:trPr>
        <w:tc>
          <w:tcPr>
            <w:tcW w:w="1280" w:type="dxa"/>
            <w:vAlign w:val="bottom"/>
          </w:tcPr>
          <w:p>
            <w:pPr>
              <w:spacing w:after="0"/>
              <w:rPr>
                <w:sz w:val="9"/>
                <w:szCs w:val="9"/>
                <w:color w:val="auto"/>
              </w:rPr>
            </w:pPr>
          </w:p>
        </w:tc>
        <w:tc>
          <w:tcPr>
            <w:tcW w:w="9320" w:type="dxa"/>
            <w:vAlign w:val="bottom"/>
            <w:vMerge w:val="restart"/>
          </w:tcPr>
          <w:p>
            <w:pPr>
              <w:ind w:left="200"/>
              <w:spacing w:after="0"/>
              <w:rPr>
                <w:sz w:val="20"/>
                <w:szCs w:val="20"/>
                <w:color w:val="auto"/>
              </w:rPr>
            </w:pPr>
            <w:r>
              <w:rPr>
                <w:rFonts w:ascii="Arial" w:cs="Arial" w:eastAsia="Arial" w:hAnsi="Arial"/>
                <w:sz w:val="18"/>
                <w:szCs w:val="18"/>
                <w:color w:val="auto"/>
              </w:rPr>
              <w:t>(Unaudited)</w:t>
            </w: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80" w:type="dxa"/>
            <w:vAlign w:val="bottom"/>
          </w:tcPr>
          <w:p>
            <w:pPr>
              <w:spacing w:after="0"/>
              <w:rPr>
                <w:sz w:val="8"/>
                <w:szCs w:val="8"/>
                <w:color w:val="auto"/>
              </w:rPr>
            </w:pPr>
          </w:p>
        </w:tc>
        <w:tc>
          <w:tcPr>
            <w:tcW w:w="932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Notes to Condensed Consolidated Financial Statements (Unaudited)</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80" w:type="dxa"/>
            <w:vAlign w:val="bottom"/>
          </w:tcPr>
          <w:p>
            <w:pPr>
              <w:ind w:left="260"/>
              <w:spacing w:after="0"/>
              <w:rPr>
                <w:sz w:val="20"/>
                <w:szCs w:val="20"/>
                <w:color w:val="auto"/>
              </w:rPr>
            </w:pPr>
            <w:r>
              <w:rPr>
                <w:rFonts w:ascii="Arial" w:cs="Arial" w:eastAsia="Arial" w:hAnsi="Arial"/>
                <w:sz w:val="18"/>
                <w:szCs w:val="18"/>
                <w:color w:val="auto"/>
              </w:rPr>
              <w:t>Item 2 —</w:t>
            </w:r>
          </w:p>
        </w:tc>
        <w:tc>
          <w:tcPr>
            <w:tcW w:w="9320" w:type="dxa"/>
            <w:vAlign w:val="bottom"/>
          </w:tcPr>
          <w:p>
            <w:pPr>
              <w:ind w:left="2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280" w:type="dxa"/>
            <w:vAlign w:val="bottom"/>
          </w:tcPr>
          <w:p>
            <w:pPr>
              <w:ind w:left="260"/>
              <w:spacing w:after="0"/>
              <w:rPr>
                <w:sz w:val="20"/>
                <w:szCs w:val="20"/>
                <w:color w:val="auto"/>
              </w:rPr>
            </w:pPr>
            <w:r>
              <w:rPr>
                <w:rFonts w:ascii="Arial" w:cs="Arial" w:eastAsia="Arial" w:hAnsi="Arial"/>
                <w:sz w:val="18"/>
                <w:szCs w:val="18"/>
                <w:color w:val="auto"/>
              </w:rPr>
              <w:t>Item 3 —</w:t>
            </w:r>
          </w:p>
        </w:tc>
        <w:tc>
          <w:tcPr>
            <w:tcW w:w="9320" w:type="dxa"/>
            <w:vAlign w:val="bottom"/>
          </w:tcPr>
          <w:p>
            <w:pPr>
              <w:ind w:left="240"/>
              <w:spacing w:after="0"/>
              <w:rPr>
                <w:sz w:val="20"/>
                <w:szCs w:val="20"/>
                <w:color w:val="auto"/>
              </w:rPr>
            </w:pPr>
            <w:r>
              <w:rPr>
                <w:rFonts w:ascii="Arial" w:cs="Arial" w:eastAsia="Arial" w:hAnsi="Arial"/>
                <w:sz w:val="18"/>
                <w:szCs w:val="18"/>
                <w:color w:val="auto"/>
              </w:rPr>
              <w:t>Quantitative and Qualitative Disclosures About Market Risk</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2"/>
        </w:trPr>
        <w:tc>
          <w:tcPr>
            <w:tcW w:w="1280" w:type="dxa"/>
            <w:vAlign w:val="bottom"/>
          </w:tcPr>
          <w:p>
            <w:pPr>
              <w:ind w:left="260"/>
              <w:spacing w:after="0"/>
              <w:rPr>
                <w:sz w:val="20"/>
                <w:szCs w:val="20"/>
                <w:color w:val="auto"/>
              </w:rPr>
            </w:pPr>
            <w:r>
              <w:rPr>
                <w:rFonts w:ascii="Arial" w:cs="Arial" w:eastAsia="Arial" w:hAnsi="Arial"/>
                <w:sz w:val="18"/>
                <w:szCs w:val="18"/>
                <w:color w:val="auto"/>
              </w:rPr>
              <w:t>Item 4 —</w:t>
            </w:r>
          </w:p>
        </w:tc>
        <w:tc>
          <w:tcPr>
            <w:tcW w:w="9320" w:type="dxa"/>
            <w:vAlign w:val="bottom"/>
          </w:tcPr>
          <w:p>
            <w:pPr>
              <w:ind w:left="240"/>
              <w:spacing w:after="0"/>
              <w:rPr>
                <w:sz w:val="20"/>
                <w:szCs w:val="20"/>
                <w:color w:val="auto"/>
              </w:rPr>
            </w:pPr>
            <w:r>
              <w:rPr>
                <w:rFonts w:ascii="Arial" w:cs="Arial" w:eastAsia="Arial" w:hAnsi="Arial"/>
                <w:sz w:val="18"/>
                <w:szCs w:val="18"/>
                <w:color w:val="auto"/>
              </w:rPr>
              <w:t>Controls and Procedures</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26"/>
        </w:trPr>
        <w:tc>
          <w:tcPr>
            <w:tcW w:w="10600" w:type="dxa"/>
            <w:vAlign w:val="bottom"/>
            <w:gridSpan w:val="2"/>
          </w:tcPr>
          <w:p>
            <w:pPr>
              <w:spacing w:after="0"/>
              <w:rPr>
                <w:sz w:val="20"/>
                <w:szCs w:val="20"/>
                <w:color w:val="auto"/>
              </w:rPr>
            </w:pPr>
            <w:r>
              <w:rPr>
                <w:rFonts w:ascii="Arial" w:cs="Arial" w:eastAsia="Arial" w:hAnsi="Arial"/>
                <w:sz w:val="18"/>
                <w:szCs w:val="18"/>
                <w:b w:val="1"/>
                <w:bCs w:val="1"/>
                <w:color w:val="auto"/>
              </w:rPr>
              <w:t>PART II — OTHER INFORMATION</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280" w:type="dxa"/>
            <w:vAlign w:val="bottom"/>
          </w:tcPr>
          <w:p>
            <w:pPr>
              <w:ind w:left="260"/>
              <w:spacing w:after="0"/>
              <w:rPr>
                <w:sz w:val="20"/>
                <w:szCs w:val="20"/>
                <w:color w:val="auto"/>
              </w:rPr>
            </w:pPr>
            <w:r>
              <w:rPr>
                <w:rFonts w:ascii="Arial" w:cs="Arial" w:eastAsia="Arial" w:hAnsi="Arial"/>
                <w:sz w:val="18"/>
                <w:szCs w:val="18"/>
                <w:color w:val="auto"/>
              </w:rPr>
              <w:t>Item 1 —</w:t>
            </w:r>
          </w:p>
        </w:tc>
        <w:tc>
          <w:tcPr>
            <w:tcW w:w="9320" w:type="dxa"/>
            <w:vAlign w:val="bottom"/>
          </w:tcPr>
          <w:p>
            <w:pPr>
              <w:ind w:left="200"/>
              <w:spacing w:after="0"/>
              <w:rPr>
                <w:sz w:val="20"/>
                <w:szCs w:val="20"/>
                <w:color w:val="auto"/>
              </w:rPr>
            </w:pPr>
            <w:r>
              <w:rPr>
                <w:rFonts w:ascii="Arial" w:cs="Arial" w:eastAsia="Arial" w:hAnsi="Arial"/>
                <w:sz w:val="18"/>
                <w:szCs w:val="18"/>
                <w:color w:val="auto"/>
              </w:rPr>
              <w:t>Legal Proceedings</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280" w:type="dxa"/>
            <w:vAlign w:val="bottom"/>
          </w:tcPr>
          <w:p>
            <w:pPr>
              <w:ind w:left="260"/>
              <w:spacing w:after="0"/>
              <w:rPr>
                <w:sz w:val="20"/>
                <w:szCs w:val="20"/>
                <w:color w:val="auto"/>
              </w:rPr>
            </w:pPr>
            <w:r>
              <w:rPr>
                <w:rFonts w:ascii="Arial" w:cs="Arial" w:eastAsia="Arial" w:hAnsi="Arial"/>
                <w:sz w:val="18"/>
                <w:szCs w:val="18"/>
                <w:color w:val="auto"/>
              </w:rPr>
              <w:t>Item 1A —</w:t>
            </w:r>
          </w:p>
        </w:tc>
        <w:tc>
          <w:tcPr>
            <w:tcW w:w="9320" w:type="dxa"/>
            <w:vAlign w:val="bottom"/>
          </w:tcPr>
          <w:p>
            <w:pPr>
              <w:ind w:left="200"/>
              <w:spacing w:after="0"/>
              <w:rPr>
                <w:sz w:val="20"/>
                <w:szCs w:val="20"/>
                <w:color w:val="auto"/>
              </w:rPr>
            </w:pPr>
            <w:r>
              <w:rPr>
                <w:rFonts w:ascii="Arial" w:cs="Arial" w:eastAsia="Arial" w:hAnsi="Arial"/>
                <w:sz w:val="18"/>
                <w:szCs w:val="18"/>
                <w:color w:val="auto"/>
              </w:rPr>
              <w:t>Risk Factors</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280" w:type="dxa"/>
            <w:vAlign w:val="bottom"/>
          </w:tcPr>
          <w:p>
            <w:pPr>
              <w:ind w:left="260"/>
              <w:spacing w:after="0"/>
              <w:rPr>
                <w:sz w:val="20"/>
                <w:szCs w:val="20"/>
                <w:color w:val="auto"/>
              </w:rPr>
            </w:pPr>
            <w:r>
              <w:rPr>
                <w:rFonts w:ascii="Arial" w:cs="Arial" w:eastAsia="Arial" w:hAnsi="Arial"/>
                <w:sz w:val="18"/>
                <w:szCs w:val="18"/>
                <w:color w:val="auto"/>
              </w:rPr>
              <w:t>Item 2 —</w:t>
            </w:r>
          </w:p>
        </w:tc>
        <w:tc>
          <w:tcPr>
            <w:tcW w:w="9320" w:type="dxa"/>
            <w:vAlign w:val="bottom"/>
          </w:tcPr>
          <w:p>
            <w:pPr>
              <w:ind w:left="200"/>
              <w:spacing w:after="0"/>
              <w:rPr>
                <w:sz w:val="20"/>
                <w:szCs w:val="20"/>
                <w:color w:val="auto"/>
              </w:rPr>
            </w:pPr>
            <w:r>
              <w:rPr>
                <w:rFonts w:ascii="Arial" w:cs="Arial" w:eastAsia="Arial" w:hAnsi="Arial"/>
                <w:sz w:val="18"/>
                <w:szCs w:val="18"/>
                <w:color w:val="auto"/>
              </w:rPr>
              <w:t>Unregistered Sales of Equity Securities and Use of Proceeds</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280" w:type="dxa"/>
            <w:vAlign w:val="bottom"/>
          </w:tcPr>
          <w:p>
            <w:pPr>
              <w:ind w:left="260"/>
              <w:spacing w:after="0"/>
              <w:rPr>
                <w:sz w:val="20"/>
                <w:szCs w:val="20"/>
                <w:color w:val="auto"/>
              </w:rPr>
            </w:pPr>
            <w:r>
              <w:rPr>
                <w:rFonts w:ascii="Arial" w:cs="Arial" w:eastAsia="Arial" w:hAnsi="Arial"/>
                <w:sz w:val="18"/>
                <w:szCs w:val="18"/>
                <w:color w:val="auto"/>
              </w:rPr>
              <w:t>Item 3 —</w:t>
            </w:r>
          </w:p>
        </w:tc>
        <w:tc>
          <w:tcPr>
            <w:tcW w:w="9320" w:type="dxa"/>
            <w:vAlign w:val="bottom"/>
          </w:tcPr>
          <w:p>
            <w:pPr>
              <w:ind w:left="200"/>
              <w:spacing w:after="0"/>
              <w:rPr>
                <w:sz w:val="20"/>
                <w:szCs w:val="20"/>
                <w:color w:val="auto"/>
              </w:rPr>
            </w:pPr>
            <w:r>
              <w:rPr>
                <w:rFonts w:ascii="Arial" w:cs="Arial" w:eastAsia="Arial" w:hAnsi="Arial"/>
                <w:sz w:val="18"/>
                <w:szCs w:val="18"/>
                <w:color w:val="auto"/>
              </w:rPr>
              <w:t>Defaults Upon Senior Securities</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280" w:type="dxa"/>
            <w:vAlign w:val="bottom"/>
          </w:tcPr>
          <w:p>
            <w:pPr>
              <w:ind w:left="260"/>
              <w:spacing w:after="0"/>
              <w:rPr>
                <w:sz w:val="20"/>
                <w:szCs w:val="20"/>
                <w:color w:val="auto"/>
              </w:rPr>
            </w:pPr>
            <w:r>
              <w:rPr>
                <w:rFonts w:ascii="Arial" w:cs="Arial" w:eastAsia="Arial" w:hAnsi="Arial"/>
                <w:sz w:val="18"/>
                <w:szCs w:val="18"/>
                <w:color w:val="auto"/>
              </w:rPr>
              <w:t>Item 4 —</w:t>
            </w:r>
          </w:p>
        </w:tc>
        <w:tc>
          <w:tcPr>
            <w:tcW w:w="9320" w:type="dxa"/>
            <w:vAlign w:val="bottom"/>
          </w:tcPr>
          <w:p>
            <w:pPr>
              <w:ind w:left="200"/>
              <w:spacing w:after="0"/>
              <w:rPr>
                <w:sz w:val="20"/>
                <w:szCs w:val="20"/>
                <w:color w:val="auto"/>
              </w:rPr>
            </w:pPr>
            <w:r>
              <w:rPr>
                <w:rFonts w:ascii="Arial" w:cs="Arial" w:eastAsia="Arial" w:hAnsi="Arial"/>
                <w:sz w:val="18"/>
                <w:szCs w:val="18"/>
                <w:color w:val="auto"/>
              </w:rPr>
              <w:t>Mine Safety Disclosures</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280" w:type="dxa"/>
            <w:vAlign w:val="bottom"/>
          </w:tcPr>
          <w:p>
            <w:pPr>
              <w:ind w:left="260"/>
              <w:spacing w:after="0"/>
              <w:rPr>
                <w:sz w:val="20"/>
                <w:szCs w:val="20"/>
                <w:color w:val="auto"/>
              </w:rPr>
            </w:pPr>
            <w:r>
              <w:rPr>
                <w:rFonts w:ascii="Arial" w:cs="Arial" w:eastAsia="Arial" w:hAnsi="Arial"/>
                <w:sz w:val="18"/>
                <w:szCs w:val="18"/>
                <w:color w:val="auto"/>
              </w:rPr>
              <w:t>Item 5 —</w:t>
            </w:r>
          </w:p>
        </w:tc>
        <w:tc>
          <w:tcPr>
            <w:tcW w:w="9320" w:type="dxa"/>
            <w:vAlign w:val="bottom"/>
          </w:tcPr>
          <w:p>
            <w:pPr>
              <w:ind w:left="200"/>
              <w:spacing w:after="0"/>
              <w:rPr>
                <w:sz w:val="20"/>
                <w:szCs w:val="20"/>
                <w:color w:val="auto"/>
              </w:rPr>
            </w:pPr>
            <w:r>
              <w:rPr>
                <w:rFonts w:ascii="Arial" w:cs="Arial" w:eastAsia="Arial" w:hAnsi="Arial"/>
                <w:sz w:val="18"/>
                <w:szCs w:val="18"/>
                <w:color w:val="auto"/>
              </w:rPr>
              <w:t>Other Information</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280" w:type="dxa"/>
            <w:vAlign w:val="bottom"/>
          </w:tcPr>
          <w:p>
            <w:pPr>
              <w:ind w:left="260"/>
              <w:spacing w:after="0"/>
              <w:rPr>
                <w:sz w:val="20"/>
                <w:szCs w:val="20"/>
                <w:color w:val="auto"/>
              </w:rPr>
            </w:pPr>
            <w:r>
              <w:rPr>
                <w:rFonts w:ascii="Arial" w:cs="Arial" w:eastAsia="Arial" w:hAnsi="Arial"/>
                <w:sz w:val="18"/>
                <w:szCs w:val="18"/>
                <w:color w:val="auto"/>
              </w:rPr>
              <w:t>Item 6 —</w:t>
            </w:r>
          </w:p>
        </w:tc>
        <w:tc>
          <w:tcPr>
            <w:tcW w:w="9320" w:type="dxa"/>
            <w:vAlign w:val="bottom"/>
          </w:tcPr>
          <w:p>
            <w:pPr>
              <w:ind w:left="200"/>
              <w:spacing w:after="0"/>
              <w:rPr>
                <w:sz w:val="20"/>
                <w:szCs w:val="20"/>
                <w:color w:val="auto"/>
              </w:rPr>
            </w:pPr>
            <w:r>
              <w:rPr>
                <w:rFonts w:ascii="Arial" w:cs="Arial" w:eastAsia="Arial" w:hAnsi="Arial"/>
                <w:sz w:val="18"/>
                <w:szCs w:val="18"/>
                <w:color w:val="auto"/>
              </w:rPr>
              <w:t>Exhibits</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Signatures</w:t>
            </w:r>
          </w:p>
        </w:tc>
        <w:tc>
          <w:tcPr>
            <w:tcW w:w="9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80" w:type="dxa"/>
            <w:vAlign w:val="bottom"/>
          </w:tcPr>
          <w:p>
            <w:pPr>
              <w:ind w:left="60"/>
              <w:spacing w:after="0"/>
              <w:rPr>
                <w:sz w:val="20"/>
                <w:szCs w:val="20"/>
                <w:color w:val="auto"/>
              </w:rPr>
            </w:pPr>
            <w:r>
              <w:rPr>
                <w:rFonts w:ascii="Arial" w:cs="Arial" w:eastAsia="Arial" w:hAnsi="Arial"/>
                <w:sz w:val="18"/>
                <w:szCs w:val="18"/>
                <w:color w:val="auto"/>
              </w:rPr>
              <w:t>EXHIBIT 3(a)</w:t>
            </w:r>
          </w:p>
        </w:tc>
        <w:tc>
          <w:tcPr>
            <w:tcW w:w="9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8"/>
          <w:szCs w:val="18"/>
          <w:color w:val="auto"/>
        </w:rPr>
        <w:t>EXHIBIT 3(b)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31(a)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31(b)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EXHIBIT 101.INS XBRL Instance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EXHIBIT 101.SCH XBRL Taxonomy Extension Schema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EXHIBIT 101.CAL XBRL Taxonomy Extension Calculation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EXHIBIT 101.DEF XBRL Taxonomy Extension Definition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EXHIBIT 101.LAB XBRL Taxonomy Extension Label Linkbase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EXHIBIT 101.PRE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Quarterly Report on Form 10-Q contains forward-looking statements as that term is defined in the federal securities laws. The events described in forward-looking statements contained in this Quarterly Report may not occur. Generally, these statements relate to business plans or strategies, projected or anticipated benefits or other consequences of our plans or strategies, projected or anticipated benefits from acquisitions to be made by us, or projections involving anticipated revenues, earnings or other aspects of our operating results. The words "may," "will,"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which may affect our results include, but are not limited to, the risks and uncertainties discussed in Item 7 of our Annual Report on Form 10-K for the year ended December 31, 2015 under “Factors That May Affect Future Results and Financial Condition.”</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b w:val="1"/>
          <w:bCs w:val="1"/>
          <w:u w:val="single" w:color="auto"/>
          <w:color w:val="auto"/>
        </w:rPr>
        <w:t>FINANCIAL INFORMATION</w:t>
      </w:r>
    </w:p>
    <w:p>
      <w:pPr>
        <w:spacing w:after="0" w:line="252"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Financial Statements</w:t>
      </w:r>
      <w:r>
        <w:rPr>
          <w:rFonts w:ascii="Arial" w:cs="Arial" w:eastAsia="Arial" w:hAnsi="Arial"/>
          <w:sz w:val="15"/>
          <w:szCs w:val="15"/>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1" w:lineRule="exact"/>
        <w:rPr>
          <w:sz w:val="20"/>
          <w:szCs w:val="20"/>
          <w:color w:val="auto"/>
        </w:rPr>
      </w:pPr>
    </w:p>
    <w:p>
      <w:pPr>
        <w:ind w:left="8940"/>
        <w:spacing w:after="0"/>
        <w:tabs>
          <w:tab w:leader="none" w:pos="10300" w:val="left"/>
        </w:tabs>
        <w:rPr>
          <w:sz w:val="20"/>
          <w:szCs w:val="20"/>
          <w:color w:val="auto"/>
        </w:rPr>
      </w:pPr>
      <w:r>
        <w:rPr>
          <w:rFonts w:ascii="Arial" w:cs="Arial" w:eastAsia="Arial" w:hAnsi="Arial"/>
          <w:sz w:val="15"/>
          <w:szCs w:val="15"/>
          <w:b w:val="1"/>
          <w:bCs w:val="1"/>
          <w:color w:val="auto"/>
        </w:rPr>
        <w:t>September 30,</w:t>
      </w:r>
      <w:r>
        <w:rPr>
          <w:sz w:val="20"/>
          <w:szCs w:val="20"/>
          <w:color w:val="auto"/>
        </w:rPr>
        <w:tab/>
      </w:r>
      <w:r>
        <w:rPr>
          <w:rFonts w:ascii="Arial" w:cs="Arial" w:eastAsia="Arial" w:hAnsi="Arial"/>
          <w:sz w:val="13"/>
          <w:szCs w:val="13"/>
          <w:b w:val="1"/>
          <w:bCs w:val="1"/>
          <w:color w:val="auto"/>
        </w:rPr>
        <w:t>December 31,</w:t>
      </w:r>
    </w:p>
    <w:p>
      <w:pPr>
        <w:spacing w:after="0" w:line="44" w:lineRule="exact"/>
        <w:rPr>
          <w:sz w:val="20"/>
          <w:szCs w:val="20"/>
          <w:color w:val="auto"/>
        </w:rPr>
      </w:pPr>
    </w:p>
    <w:p>
      <w:pPr>
        <w:ind w:left="9220"/>
        <w:spacing w:after="0"/>
        <w:tabs>
          <w:tab w:leader="none" w:pos="10560" w:val="left"/>
        </w:tabs>
        <w:rPr>
          <w:sz w:val="20"/>
          <w:szCs w:val="20"/>
          <w:color w:val="auto"/>
        </w:rPr>
      </w:pPr>
      <w:r>
        <w:rPr>
          <w:rFonts w:ascii="Arial" w:cs="Arial" w:eastAsia="Arial" w:hAnsi="Arial"/>
          <w:sz w:val="15"/>
          <w:szCs w:val="15"/>
          <w:b w:val="1"/>
          <w:bCs w:val="1"/>
          <w:color w:val="auto"/>
        </w:rPr>
        <w:t>2016</w:t>
      </w:r>
      <w:r>
        <w:rPr>
          <w:sz w:val="20"/>
          <w:szCs w:val="20"/>
          <w:color w:val="auto"/>
        </w:rPr>
        <w:tab/>
      </w:r>
      <w:r>
        <w:rPr>
          <w:rFonts w:ascii="Arial" w:cs="Arial" w:eastAsia="Arial" w:hAnsi="Arial"/>
          <w:sz w:val="15"/>
          <w:szCs w:val="15"/>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w:t>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20" w:right="2480" w:hanging="161"/>
        <w:spacing w:after="0" w:line="300" w:lineRule="auto"/>
        <w:rPr>
          <w:sz w:val="20"/>
          <w:szCs w:val="20"/>
          <w:color w:val="auto"/>
        </w:rPr>
      </w:pPr>
      <w:r>
        <w:rPr>
          <w:rFonts w:ascii="Arial" w:cs="Arial" w:eastAsia="Arial" w:hAnsi="Arial"/>
          <w:sz w:val="15"/>
          <w:szCs w:val="15"/>
          <w:color w:val="auto"/>
        </w:rPr>
        <w:t>Fixed-maturity securities, held-to-maturity, at amortized cost (fair value of $5,482,735 at September 30, 2016 and $5,241,095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Fixed-maturity securities, available-for-sale, at fair value (amortized cost of</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5"/>
          <w:szCs w:val="15"/>
          <w:color w:val="auto"/>
        </w:rPr>
        <w:t>$78,917,448 at September 30, 2016 and $62,221,129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 w:lineRule="exact"/>
        <w:rPr>
          <w:sz w:val="20"/>
          <w:szCs w:val="20"/>
          <w:color w:val="auto"/>
        </w:rPr>
      </w:pPr>
    </w:p>
    <w:p>
      <w:pPr>
        <w:ind w:left="420" w:right="3020" w:hanging="161"/>
        <w:spacing w:after="0" w:line="295" w:lineRule="auto"/>
        <w:rPr>
          <w:sz w:val="20"/>
          <w:szCs w:val="20"/>
          <w:color w:val="auto"/>
        </w:rPr>
      </w:pPr>
      <w:r>
        <w:rPr>
          <w:rFonts w:ascii="Arial" w:cs="Arial" w:eastAsia="Arial" w:hAnsi="Arial"/>
          <w:sz w:val="16"/>
          <w:szCs w:val="16"/>
          <w:color w:val="auto"/>
        </w:rPr>
        <w:t>Equity securities, available-for-sale, at fair value (cost of $9,978,137 at September 30, 2016 and $8,751,537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Total investments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Premiums receivable, net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Reinsurance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Deferred policy acquisition costs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asset</w:t>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(unaudited)</w:t>
      </w:r>
    </w:p>
    <w:p>
      <w:pPr>
        <w:spacing w:after="0" w:line="200" w:lineRule="exact"/>
        <w:rPr>
          <w:sz w:val="20"/>
          <w:szCs w:val="20"/>
          <w:color w:val="auto"/>
        </w:rPr>
      </w:pPr>
    </w:p>
    <w:p>
      <w:pPr>
        <w:spacing w:after="0" w:line="223" w:lineRule="exact"/>
        <w:rPr>
          <w:sz w:val="20"/>
          <w:szCs w:val="20"/>
          <w:color w:val="auto"/>
        </w:rPr>
      </w:pPr>
    </w:p>
    <w:p>
      <w:pPr>
        <w:jc w:val="both"/>
        <w:spacing w:after="0"/>
        <w:tabs>
          <w:tab w:leader="none" w:pos="380" w:val="left"/>
          <w:tab w:leader="none" w:pos="1360" w:val="left"/>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5,094,455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5,138,872</w:t>
      </w:r>
    </w:p>
    <w:p>
      <w:pPr>
        <w:spacing w:after="0" w:line="225" w:lineRule="exact"/>
        <w:rPr>
          <w:sz w:val="20"/>
          <w:szCs w:val="20"/>
          <w:color w:val="auto"/>
        </w:rPr>
      </w:pPr>
    </w:p>
    <w:p>
      <w:pPr>
        <w:jc w:val="both"/>
        <w:ind w:left="300"/>
        <w:spacing w:after="0"/>
        <w:tabs>
          <w:tab w:leader="none" w:pos="1660" w:val="left"/>
        </w:tabs>
        <w:rPr>
          <w:sz w:val="20"/>
          <w:szCs w:val="20"/>
          <w:color w:val="auto"/>
        </w:rPr>
      </w:pPr>
      <w:r>
        <w:rPr>
          <w:rFonts w:ascii="Arial" w:cs="Arial" w:eastAsia="Arial" w:hAnsi="Arial"/>
          <w:sz w:val="18"/>
          <w:szCs w:val="18"/>
          <w:color w:val="auto"/>
        </w:rPr>
        <w:t>81,078,953</w:t>
      </w:r>
      <w:r>
        <w:rPr>
          <w:sz w:val="20"/>
          <w:szCs w:val="20"/>
          <w:color w:val="auto"/>
        </w:rPr>
        <w:tab/>
      </w:r>
      <w:r>
        <w:rPr>
          <w:rFonts w:ascii="Arial" w:cs="Arial" w:eastAsia="Arial" w:hAnsi="Arial"/>
          <w:sz w:val="18"/>
          <w:szCs w:val="18"/>
          <w:color w:val="auto"/>
        </w:rPr>
        <w:t>62,502,064</w:t>
      </w:r>
    </w:p>
    <w:p>
      <w:pPr>
        <w:spacing w:after="0" w:line="225" w:lineRule="exact"/>
        <w:rPr>
          <w:sz w:val="20"/>
          <w:szCs w:val="20"/>
          <w:color w:val="auto"/>
        </w:rPr>
      </w:pPr>
    </w:p>
    <w:p>
      <w:pPr>
        <w:jc w:val="both"/>
        <w:ind w:left="300"/>
        <w:spacing w:after="0"/>
        <w:tabs>
          <w:tab w:leader="none" w:pos="1740" w:val="left"/>
        </w:tabs>
        <w:rPr>
          <w:sz w:val="20"/>
          <w:szCs w:val="20"/>
          <w:color w:val="auto"/>
        </w:rPr>
      </w:pPr>
      <w:r>
        <w:rPr>
          <w:rFonts w:ascii="Arial" w:cs="Arial" w:eastAsia="Arial" w:hAnsi="Arial"/>
          <w:sz w:val="18"/>
          <w:szCs w:val="18"/>
          <w:color w:val="auto"/>
        </w:rPr>
        <w:t>10,363,702</w:t>
      </w:r>
      <w:r>
        <w:rPr>
          <w:sz w:val="20"/>
          <w:szCs w:val="20"/>
          <w:color w:val="auto"/>
        </w:rPr>
        <w:tab/>
      </w:r>
      <w:r>
        <w:rPr>
          <w:rFonts w:ascii="Arial" w:cs="Arial" w:eastAsia="Arial" w:hAnsi="Arial"/>
          <w:sz w:val="18"/>
          <w:szCs w:val="18"/>
          <w:color w:val="auto"/>
        </w:rPr>
        <w:t>9,204,270</w:t>
      </w:r>
    </w:p>
    <w:p>
      <w:pPr>
        <w:spacing w:after="0" w:line="36" w:lineRule="exact"/>
        <w:rPr>
          <w:sz w:val="20"/>
          <w:szCs w:val="20"/>
          <w:color w:val="auto"/>
        </w:rPr>
      </w:pPr>
    </w:p>
    <w:p>
      <w:pPr>
        <w:jc w:val="both"/>
        <w:ind w:left="320"/>
        <w:spacing w:after="0"/>
        <w:tabs>
          <w:tab w:leader="none" w:pos="1660" w:val="left"/>
        </w:tabs>
        <w:rPr>
          <w:sz w:val="20"/>
          <w:szCs w:val="20"/>
          <w:color w:val="auto"/>
        </w:rPr>
      </w:pPr>
      <w:r>
        <w:rPr>
          <w:rFonts w:ascii="Arial" w:cs="Arial" w:eastAsia="Arial" w:hAnsi="Arial"/>
          <w:sz w:val="18"/>
          <w:szCs w:val="18"/>
          <w:color w:val="auto"/>
        </w:rPr>
        <w:t>96,537,110</w:t>
      </w:r>
      <w:r>
        <w:rPr>
          <w:sz w:val="20"/>
          <w:szCs w:val="20"/>
          <w:color w:val="auto"/>
        </w:rPr>
        <w:tab/>
      </w:r>
      <w:r>
        <w:rPr>
          <w:rFonts w:ascii="Arial" w:cs="Arial" w:eastAsia="Arial" w:hAnsi="Arial"/>
          <w:sz w:val="18"/>
          <w:szCs w:val="18"/>
          <w:color w:val="auto"/>
        </w:rPr>
        <w:t>76,845,206</w:t>
      </w:r>
    </w:p>
    <w:p>
      <w:pPr>
        <w:spacing w:after="0" w:line="15" w:lineRule="exact"/>
        <w:rPr>
          <w:sz w:val="20"/>
          <w:szCs w:val="20"/>
          <w:color w:val="auto"/>
        </w:rPr>
      </w:pPr>
    </w:p>
    <w:p>
      <w:pPr>
        <w:jc w:val="both"/>
        <w:ind w:left="300"/>
        <w:spacing w:after="0"/>
        <w:tabs>
          <w:tab w:leader="none" w:pos="1660" w:val="left"/>
        </w:tabs>
        <w:rPr>
          <w:sz w:val="20"/>
          <w:szCs w:val="20"/>
          <w:color w:val="auto"/>
        </w:rPr>
      </w:pPr>
      <w:r>
        <w:rPr>
          <w:rFonts w:ascii="Arial" w:cs="Arial" w:eastAsia="Arial" w:hAnsi="Arial"/>
          <w:sz w:val="18"/>
          <w:szCs w:val="18"/>
          <w:color w:val="auto"/>
        </w:rPr>
        <w:t>12,430,687</w:t>
      </w:r>
      <w:r>
        <w:rPr>
          <w:sz w:val="20"/>
          <w:szCs w:val="20"/>
          <w:color w:val="auto"/>
        </w:rPr>
        <w:tab/>
      </w:r>
      <w:r>
        <w:rPr>
          <w:rFonts w:ascii="Arial" w:cs="Arial" w:eastAsia="Arial" w:hAnsi="Arial"/>
          <w:sz w:val="18"/>
          <w:szCs w:val="18"/>
          <w:color w:val="auto"/>
        </w:rPr>
        <w:t>13,551,372</w:t>
      </w:r>
    </w:p>
    <w:p>
      <w:pPr>
        <w:spacing w:after="0" w:line="9" w:lineRule="exact"/>
        <w:rPr>
          <w:sz w:val="20"/>
          <w:szCs w:val="20"/>
          <w:color w:val="auto"/>
        </w:rPr>
      </w:pPr>
    </w:p>
    <w:p>
      <w:pPr>
        <w:jc w:val="both"/>
        <w:ind w:left="320"/>
        <w:spacing w:after="0"/>
        <w:tabs>
          <w:tab w:leader="none" w:pos="1660" w:val="left"/>
        </w:tabs>
        <w:rPr>
          <w:sz w:val="20"/>
          <w:szCs w:val="20"/>
          <w:color w:val="auto"/>
        </w:rPr>
      </w:pPr>
      <w:r>
        <w:rPr>
          <w:rFonts w:ascii="Arial" w:cs="Arial" w:eastAsia="Arial" w:hAnsi="Arial"/>
          <w:sz w:val="18"/>
          <w:szCs w:val="18"/>
          <w:color w:val="auto"/>
        </w:rPr>
        <w:t>11,516,429</w:t>
      </w:r>
      <w:r>
        <w:rPr>
          <w:sz w:val="20"/>
          <w:szCs w:val="20"/>
          <w:color w:val="auto"/>
        </w:rPr>
        <w:tab/>
      </w:r>
      <w:r>
        <w:rPr>
          <w:rFonts w:ascii="Arial" w:cs="Arial" w:eastAsia="Arial" w:hAnsi="Arial"/>
          <w:sz w:val="18"/>
          <w:szCs w:val="18"/>
          <w:color w:val="auto"/>
        </w:rPr>
        <w:t>10,621,655</w:t>
      </w:r>
    </w:p>
    <w:p>
      <w:pPr>
        <w:spacing w:after="0" w:line="9" w:lineRule="exact"/>
        <w:rPr>
          <w:sz w:val="20"/>
          <w:szCs w:val="20"/>
          <w:color w:val="auto"/>
        </w:rPr>
      </w:pPr>
    </w:p>
    <w:p>
      <w:pPr>
        <w:jc w:val="both"/>
        <w:ind w:left="300"/>
        <w:spacing w:after="0"/>
        <w:tabs>
          <w:tab w:leader="none" w:pos="1660" w:val="left"/>
        </w:tabs>
        <w:rPr>
          <w:sz w:val="20"/>
          <w:szCs w:val="20"/>
          <w:color w:val="auto"/>
        </w:rPr>
      </w:pPr>
      <w:r>
        <w:rPr>
          <w:rFonts w:ascii="Arial" w:cs="Arial" w:eastAsia="Arial" w:hAnsi="Arial"/>
          <w:sz w:val="18"/>
          <w:szCs w:val="18"/>
          <w:color w:val="auto"/>
        </w:rPr>
        <w:t>31,212,976</w:t>
      </w:r>
      <w:r>
        <w:rPr>
          <w:sz w:val="20"/>
          <w:szCs w:val="20"/>
          <w:color w:val="auto"/>
        </w:rPr>
        <w:tab/>
      </w:r>
      <w:r>
        <w:rPr>
          <w:rFonts w:ascii="Arial" w:cs="Arial" w:eastAsia="Arial" w:hAnsi="Arial"/>
          <w:sz w:val="18"/>
          <w:szCs w:val="18"/>
          <w:color w:val="auto"/>
        </w:rPr>
        <w:t>31,270,235</w:t>
      </w:r>
    </w:p>
    <w:p>
      <w:pPr>
        <w:spacing w:after="0" w:line="9" w:lineRule="exact"/>
        <w:rPr>
          <w:sz w:val="20"/>
          <w:szCs w:val="20"/>
          <w:color w:val="auto"/>
        </w:rPr>
      </w:pPr>
    </w:p>
    <w:p>
      <w:pPr>
        <w:jc w:val="both"/>
        <w:ind w:left="300"/>
        <w:spacing w:after="0"/>
        <w:tabs>
          <w:tab w:leader="none" w:pos="1660" w:val="left"/>
        </w:tabs>
        <w:rPr>
          <w:sz w:val="20"/>
          <w:szCs w:val="20"/>
          <w:color w:val="auto"/>
        </w:rPr>
      </w:pPr>
      <w:r>
        <w:rPr>
          <w:rFonts w:ascii="Arial" w:cs="Arial" w:eastAsia="Arial" w:hAnsi="Arial"/>
          <w:sz w:val="18"/>
          <w:szCs w:val="18"/>
          <w:color w:val="auto"/>
        </w:rPr>
        <w:t>12,032,407</w:t>
      </w:r>
      <w:r>
        <w:rPr>
          <w:sz w:val="20"/>
          <w:szCs w:val="20"/>
          <w:color w:val="auto"/>
        </w:rPr>
        <w:tab/>
      </w:r>
      <w:r>
        <w:rPr>
          <w:rFonts w:ascii="Arial" w:cs="Arial" w:eastAsia="Arial" w:hAnsi="Arial"/>
          <w:sz w:val="18"/>
          <w:szCs w:val="18"/>
          <w:color w:val="auto"/>
        </w:rPr>
        <w:t>10,835,306</w:t>
      </w:r>
    </w:p>
    <w:p>
      <w:pPr>
        <w:spacing w:after="0" w:line="9" w:lineRule="exact"/>
        <w:rPr>
          <w:sz w:val="20"/>
          <w:szCs w:val="20"/>
          <w:color w:val="auto"/>
        </w:rPr>
      </w:pPr>
    </w:p>
    <w:p>
      <w:pPr>
        <w:jc w:val="both"/>
        <w:ind w:left="400"/>
        <w:spacing w:after="0"/>
        <w:tabs>
          <w:tab w:leader="none" w:pos="1740" w:val="left"/>
        </w:tabs>
        <w:rPr>
          <w:sz w:val="20"/>
          <w:szCs w:val="20"/>
          <w:color w:val="auto"/>
        </w:rPr>
      </w:pPr>
      <w:r>
        <w:rPr>
          <w:rFonts w:ascii="Arial" w:cs="Arial" w:eastAsia="Arial" w:hAnsi="Arial"/>
          <w:sz w:val="18"/>
          <w:szCs w:val="18"/>
          <w:color w:val="auto"/>
        </w:rPr>
        <w:t>1,435,000</w:t>
      </w:r>
      <w:r>
        <w:rPr>
          <w:sz w:val="20"/>
          <w:szCs w:val="20"/>
          <w:color w:val="auto"/>
        </w:rPr>
        <w:tab/>
      </w:r>
      <w:r>
        <w:rPr>
          <w:rFonts w:ascii="Arial" w:cs="Arial" w:eastAsia="Arial" w:hAnsi="Arial"/>
          <w:sz w:val="18"/>
          <w:szCs w:val="18"/>
          <w:color w:val="auto"/>
        </w:rPr>
        <w:t>1,757,816</w:t>
      </w:r>
    </w:p>
    <w:p>
      <w:pPr>
        <w:spacing w:after="0" w:line="9" w:lineRule="exact"/>
        <w:rPr>
          <w:sz w:val="20"/>
          <w:szCs w:val="20"/>
          <w:color w:val="auto"/>
        </w:rPr>
      </w:pPr>
    </w:p>
    <w:p>
      <w:pPr>
        <w:jc w:val="both"/>
        <w:ind w:left="400"/>
        <w:spacing w:after="0"/>
        <w:tabs>
          <w:tab w:leader="none" w:pos="1740" w:val="left"/>
        </w:tabs>
        <w:rPr>
          <w:sz w:val="20"/>
          <w:szCs w:val="20"/>
          <w:color w:val="auto"/>
        </w:rPr>
      </w:pPr>
      <w:r>
        <w:rPr>
          <w:rFonts w:ascii="Arial" w:cs="Arial" w:eastAsia="Arial" w:hAnsi="Arial"/>
          <w:sz w:val="18"/>
          <w:szCs w:val="18"/>
          <w:color w:val="auto"/>
        </w:rPr>
        <w:t>3,161,227</w:t>
      </w:r>
      <w:r>
        <w:rPr>
          <w:sz w:val="20"/>
          <w:szCs w:val="20"/>
          <w:color w:val="auto"/>
        </w:rPr>
        <w:tab/>
      </w:r>
      <w:r>
        <w:rPr>
          <w:rFonts w:ascii="Arial" w:cs="Arial" w:eastAsia="Arial" w:hAnsi="Arial"/>
          <w:sz w:val="18"/>
          <w:szCs w:val="18"/>
          <w:color w:val="auto"/>
        </w:rPr>
        <w:t>3,152,266</w:t>
      </w:r>
    </w:p>
    <w:p>
      <w:pPr>
        <w:spacing w:after="0" w:line="9" w:lineRule="exact"/>
        <w:rPr>
          <w:sz w:val="20"/>
          <w:szCs w:val="20"/>
          <w:color w:val="auto"/>
        </w:rPr>
      </w:pPr>
    </w:p>
    <w:p>
      <w:pPr>
        <w:jc w:val="both"/>
        <w:ind w:left="400"/>
        <w:spacing w:after="0"/>
        <w:tabs>
          <w:tab w:leader="none" w:pos="1740" w:val="left"/>
        </w:tabs>
        <w:rPr>
          <w:sz w:val="20"/>
          <w:szCs w:val="20"/>
          <w:color w:val="auto"/>
        </w:rPr>
      </w:pPr>
      <w:r>
        <w:rPr>
          <w:rFonts w:ascii="Arial" w:cs="Arial" w:eastAsia="Arial" w:hAnsi="Arial"/>
          <w:sz w:val="18"/>
          <w:szCs w:val="18"/>
          <w:color w:val="auto"/>
        </w:rPr>
        <w:t>1,153,951</w:t>
      </w:r>
      <w:r>
        <w:rPr>
          <w:sz w:val="20"/>
          <w:szCs w:val="20"/>
          <w:color w:val="auto"/>
        </w:rPr>
        <w:tab/>
      </w:r>
      <w:r>
        <w:rPr>
          <w:rFonts w:ascii="Arial" w:cs="Arial" w:eastAsia="Arial" w:hAnsi="Arial"/>
          <w:sz w:val="18"/>
          <w:szCs w:val="18"/>
          <w:color w:val="auto"/>
        </w:rPr>
        <w:t>1,095,894</w:t>
      </w:r>
    </w:p>
    <w:p>
      <w:pPr>
        <w:spacing w:after="0" w:line="3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  169,479,787</w:t>
      </w:r>
      <w:r>
        <w:rPr>
          <w:sz w:val="20"/>
          <w:szCs w:val="20"/>
          <w:color w:val="auto"/>
        </w:rPr>
        <w:tab/>
      </w:r>
      <w:r>
        <w:rPr>
          <w:rFonts w:ascii="Arial" w:cs="Arial" w:eastAsia="Arial" w:hAnsi="Arial"/>
          <w:sz w:val="16"/>
          <w:szCs w:val="16"/>
          <w:color w:val="auto"/>
        </w:rPr>
        <w:t>$  149,129,750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10795</wp:posOffset>
            </wp:positionV>
            <wp:extent cx="17322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8100" w:space="720"/>
            <w:col w:w="2600"/>
          </w:cols>
          <w:pgMar w:left="240" w:top="503"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70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b w:val="1"/>
                <w:bCs w:val="1"/>
                <w:color w:val="auto"/>
              </w:rPr>
              <w:t>Liabilitie</w:t>
            </w:r>
            <w:r>
              <w:rPr>
                <w:rFonts w:ascii="Arial" w:cs="Arial" w:eastAsia="Arial" w:hAnsi="Arial"/>
                <w:sz w:val="18"/>
                <w:szCs w:val="18"/>
                <w:color w:val="auto"/>
              </w:rPr>
              <w:t>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39,802,323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39,876,500</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Unearned premiums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53,763,848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48,890,241</w:t>
            </w:r>
          </w:p>
        </w:tc>
      </w:tr>
      <w:tr>
        <w:trPr>
          <w:trHeight w:val="216"/>
        </w:trPr>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 premiums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2,046,281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1,199,376</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Reinsurance balances payable</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3,996,426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1,688,922</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ceding commission revenue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6,652,854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6,435,068</w:t>
            </w:r>
          </w:p>
        </w:tc>
      </w:tr>
      <w:tr>
        <w:trPr>
          <w:trHeight w:val="216"/>
        </w:trPr>
        <w:tc>
          <w:tcPr>
            <w:tcW w:w="8700" w:type="dxa"/>
            <w:vAlign w:val="bottom"/>
          </w:tcPr>
          <w:p>
            <w:pPr>
              <w:ind w:left="200"/>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4,893,246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4,826,603</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540,686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263,622</w:t>
            </w: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1,115,912</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672,190</w:t>
            </w:r>
          </w:p>
        </w:tc>
      </w:tr>
      <w:tr>
        <w:trPr>
          <w:trHeight w:val="223"/>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w:t>
            </w:r>
            <w:r>
              <w:rPr>
                <w:rFonts w:ascii="Arial" w:cs="Arial" w:eastAsia="Arial" w:hAnsi="Arial"/>
                <w:sz w:val="18"/>
                <w:szCs w:val="18"/>
                <w:color w:val="auto"/>
              </w:rPr>
              <w:t>s</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87"/>
              </w:rPr>
              <w:t>112,811,576</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1"/>
              </w:rPr>
              <w:t>103,852,522</w:t>
            </w:r>
          </w:p>
        </w:tc>
      </w:tr>
      <w:tr>
        <w:trPr>
          <w:trHeight w:val="216"/>
        </w:trPr>
        <w:tc>
          <w:tcPr>
            <w:tcW w:w="8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Commitments and Contingencies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700" w:type="dxa"/>
            <w:vAlign w:val="bottom"/>
          </w:tcPr>
          <w:p>
            <w:pPr>
              <w:ind w:left="260"/>
              <w:spacing w:after="0"/>
              <w:rPr>
                <w:sz w:val="20"/>
                <w:szCs w:val="20"/>
                <w:color w:val="auto"/>
              </w:rPr>
            </w:pPr>
            <w:r>
              <w:rPr>
                <w:rFonts w:ascii="Arial" w:cs="Arial" w:eastAsia="Arial" w:hAnsi="Arial"/>
                <w:sz w:val="18"/>
                <w:szCs w:val="18"/>
                <w:color w:val="auto"/>
              </w:rPr>
              <w:t>Preferred stock, $.01 par value; authorized 2,500,000 shares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Common stock, $.01 par value; authorized 20,000,000 shares; issued 8,887,344 shares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at September 30, 2016 and 8,289,606 at December 31, 2015; outstanding</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7,912,875 shares at September 30, 2016 and 7,328,637 shares at December 31, 2015</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82,896</w:t>
            </w:r>
          </w:p>
        </w:tc>
      </w:tr>
      <w:tr>
        <w:trPr>
          <w:trHeight w:val="216"/>
        </w:trPr>
        <w:tc>
          <w:tcPr>
            <w:tcW w:w="8700" w:type="dxa"/>
            <w:vAlign w:val="bottom"/>
          </w:tcPr>
          <w:p>
            <w:pPr>
              <w:ind w:left="260"/>
              <w:spacing w:after="0"/>
              <w:rPr>
                <w:sz w:val="20"/>
                <w:szCs w:val="20"/>
                <w:color w:val="auto"/>
              </w:rPr>
            </w:pPr>
            <w:r>
              <w:rPr>
                <w:rFonts w:ascii="Arial" w:cs="Arial" w:eastAsia="Arial" w:hAnsi="Arial"/>
                <w:sz w:val="18"/>
                <w:szCs w:val="18"/>
                <w:color w:val="auto"/>
              </w:rPr>
              <w:t>Capital in excess of par</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37,891,275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32,987,082</w:t>
            </w:r>
          </w:p>
        </w:tc>
      </w:tr>
      <w:tr>
        <w:trPr>
          <w:trHeight w:val="216"/>
        </w:trPr>
        <w:tc>
          <w:tcPr>
            <w:tcW w:w="8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1,681,065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484,220</w:t>
            </w:r>
          </w:p>
        </w:tc>
      </w:tr>
      <w:tr>
        <w:trPr>
          <w:trHeight w:val="223"/>
        </w:trPr>
        <w:tc>
          <w:tcPr>
            <w:tcW w:w="870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19,002,460</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13,605,225</w:t>
            </w:r>
          </w:p>
        </w:tc>
      </w:tr>
      <w:tr>
        <w:trPr>
          <w:trHeight w:val="216"/>
        </w:trPr>
        <w:tc>
          <w:tcPr>
            <w:tcW w:w="8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58,663,673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47,159,423</w:t>
            </w:r>
          </w:p>
        </w:tc>
      </w:tr>
      <w:tr>
        <w:trPr>
          <w:trHeight w:val="216"/>
        </w:trPr>
        <w:tc>
          <w:tcPr>
            <w:tcW w:w="8700" w:type="dxa"/>
            <w:vAlign w:val="bottom"/>
          </w:tcPr>
          <w:p>
            <w:pPr>
              <w:ind w:left="260"/>
              <w:spacing w:after="0"/>
              <w:rPr>
                <w:sz w:val="20"/>
                <w:szCs w:val="20"/>
                <w:color w:val="auto"/>
              </w:rPr>
            </w:pPr>
            <w:r>
              <w:rPr>
                <w:rFonts w:ascii="Arial" w:cs="Arial" w:eastAsia="Arial" w:hAnsi="Arial"/>
                <w:sz w:val="18"/>
                <w:szCs w:val="18"/>
                <w:color w:val="auto"/>
              </w:rPr>
              <w:t>Treasury stock, at cost, 974,469 shares at September 30, 2016 and 960,969 shares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3"/>
        </w:trPr>
        <w:tc>
          <w:tcPr>
            <w:tcW w:w="8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at December 31, 2015</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(1,995,462)</w:t>
            </w: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(1,882,195)</w:t>
            </w:r>
          </w:p>
        </w:tc>
      </w:tr>
      <w:tr>
        <w:trPr>
          <w:trHeight w:val="22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56,668,211</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45,277,228</w:t>
            </w:r>
          </w:p>
        </w:tc>
      </w:tr>
      <w:tr>
        <w:trPr>
          <w:trHeight w:val="216"/>
        </w:trPr>
        <w:tc>
          <w:tcPr>
            <w:tcW w:w="8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169,479,787</w:t>
            </w:r>
          </w:p>
        </w:tc>
        <w:tc>
          <w:tcPr>
            <w:tcW w:w="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1"/>
              </w:rPr>
              <w:t>149,129,750</w:t>
            </w:r>
          </w:p>
        </w:tc>
      </w:tr>
      <w:tr>
        <w:trPr>
          <w:trHeight w:val="21"/>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and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3"/>
          </w:tcPr>
          <w:p>
            <w:pPr>
              <w:jc w:val="right"/>
              <w:ind w:right="393"/>
              <w:spacing w:after="0"/>
              <w:rPr>
                <w:sz w:val="20"/>
                <w:szCs w:val="20"/>
                <w:color w:val="auto"/>
              </w:rPr>
            </w:pPr>
            <w:r>
              <w:rPr>
                <w:rFonts w:ascii="Arial" w:cs="Arial" w:eastAsia="Arial" w:hAnsi="Arial"/>
                <w:sz w:val="15"/>
                <w:szCs w:val="15"/>
                <w:b w:val="1"/>
                <w:bCs w:val="1"/>
                <w:color w:val="auto"/>
                <w:w w:val="95"/>
              </w:rPr>
              <w:t>For the Three Months Ended</w:t>
            </w:r>
          </w:p>
        </w:tc>
        <w:tc>
          <w:tcPr>
            <w:tcW w:w="300" w:type="dxa"/>
            <w:vAlign w:val="bottom"/>
          </w:tcPr>
          <w:p>
            <w:pPr>
              <w:spacing w:after="0"/>
              <w:rPr>
                <w:sz w:val="16"/>
                <w:szCs w:val="16"/>
                <w:color w:val="auto"/>
              </w:rPr>
            </w:pPr>
          </w:p>
        </w:tc>
        <w:tc>
          <w:tcPr>
            <w:tcW w:w="2400" w:type="dxa"/>
            <w:vAlign w:val="bottom"/>
            <w:gridSpan w:val="3"/>
          </w:tcPr>
          <w:p>
            <w:pPr>
              <w:jc w:val="right"/>
              <w:ind w:right="393"/>
              <w:spacing w:after="0"/>
              <w:rPr>
                <w:sz w:val="20"/>
                <w:szCs w:val="20"/>
                <w:color w:val="auto"/>
              </w:rPr>
            </w:pPr>
            <w:r>
              <w:rPr>
                <w:rFonts w:ascii="Arial" w:cs="Arial" w:eastAsia="Arial" w:hAnsi="Arial"/>
                <w:sz w:val="15"/>
                <w:szCs w:val="15"/>
                <w:b w:val="1"/>
                <w:bCs w:val="1"/>
                <w:color w:val="auto"/>
                <w:w w:val="97"/>
              </w:rPr>
              <w:t>For the Nine Months Ended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5"/>
                <w:szCs w:val="15"/>
                <w:b w:val="1"/>
                <w:bCs w:val="1"/>
                <w:color w:val="auto"/>
              </w:rPr>
              <w:t>2016</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5"/>
                <w:szCs w:val="15"/>
                <w:b w:val="1"/>
                <w:bCs w:val="1"/>
                <w:color w:val="auto"/>
              </w:rPr>
              <w:t>2015</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5"/>
                <w:szCs w:val="15"/>
                <w:b w:val="1"/>
                <w:bCs w:val="1"/>
                <w:color w:val="auto"/>
              </w:rPr>
              <w:t>2016</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3"/>
              <w:spacing w:after="0"/>
              <w:rPr>
                <w:sz w:val="20"/>
                <w:szCs w:val="20"/>
                <w:color w:val="auto"/>
              </w:rPr>
            </w:pPr>
            <w:r>
              <w:rPr>
                <w:rFonts w:ascii="Arial" w:cs="Arial" w:eastAsia="Arial" w:hAnsi="Arial"/>
                <w:sz w:val="15"/>
                <w:szCs w:val="15"/>
                <w:b w:val="1"/>
                <w:bCs w:val="1"/>
                <w:color w:val="auto"/>
              </w:rPr>
              <w:t>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r>
              <w:rPr>
                <w:rFonts w:ascii="Arial" w:cs="Arial" w:eastAsia="Arial" w:hAnsi="Arial"/>
                <w:sz w:val="18"/>
                <w:szCs w:val="18"/>
                <w:color w:val="auto"/>
              </w:rPr>
              <w: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Net premiums earned</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w w:val="97"/>
              </w:rPr>
              <w:t>15,646,181</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w w:val="88"/>
              </w:rPr>
              <w:t>13,129,604</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w w:val="97"/>
              </w:rPr>
              <w:t>45,188,731</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88"/>
              </w:rPr>
              <w:t>34,381,118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Ceding commission revenue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2,934,928</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2,643,531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8,274,290</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9,388,457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320" w:type="dxa"/>
            <w:vAlign w:val="bottom"/>
          </w:tcPr>
          <w:p>
            <w:pPr>
              <w:spacing w:after="0"/>
              <w:rPr>
                <w:sz w:val="18"/>
                <w:szCs w:val="18"/>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709,072</w:t>
            </w:r>
          </w:p>
        </w:tc>
        <w:tc>
          <w:tcPr>
            <w:tcW w:w="38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649,441</w:t>
            </w:r>
          </w:p>
        </w:tc>
        <w:tc>
          <w:tcPr>
            <w:tcW w:w="300" w:type="dxa"/>
            <w:vAlign w:val="bottom"/>
          </w:tcPr>
          <w:p>
            <w:pPr>
              <w:spacing w:after="0"/>
              <w:rPr>
                <w:sz w:val="18"/>
                <w:szCs w:val="18"/>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2,286,199</w:t>
            </w:r>
          </w:p>
        </w:tc>
        <w:tc>
          <w:tcPr>
            <w:tcW w:w="38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99"/>
              </w:rPr>
              <w:t>1,850,069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realized gains (losses) on investments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241,035</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(40,487)</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604,903</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297,181</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275,280</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831,036</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1,299,511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7"/>
              </w:rPr>
              <w:t>19,828,397</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88"/>
              </w:rPr>
              <w:t>16,657,369</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7"/>
              </w:rPr>
              <w:t>57,185,159</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88"/>
              </w:rPr>
              <w:t>46,813,437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Expense</w:t>
            </w:r>
            <w:r>
              <w:rPr>
                <w:rFonts w:ascii="Arial" w:cs="Arial" w:eastAsia="Arial" w:hAnsi="Arial"/>
                <w:sz w:val="18"/>
                <w:szCs w:val="18"/>
                <w:color w:val="auto"/>
              </w:rPr>
              <w: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Loss and loss adjustment expenses</w:t>
            </w:r>
          </w:p>
        </w:tc>
        <w:tc>
          <w:tcPr>
            <w:tcW w:w="320" w:type="dxa"/>
            <w:vAlign w:val="bottom"/>
          </w:tcPr>
          <w:p>
            <w:pPr>
              <w:spacing w:after="0"/>
              <w:rPr>
                <w:sz w:val="18"/>
                <w:szCs w:val="18"/>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5,134,854</w:t>
            </w:r>
          </w:p>
        </w:tc>
        <w:tc>
          <w:tcPr>
            <w:tcW w:w="38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w w:val="99"/>
              </w:rPr>
              <w:t>5,050,194</w:t>
            </w:r>
          </w:p>
        </w:tc>
        <w:tc>
          <w:tcPr>
            <w:tcW w:w="300" w:type="dxa"/>
            <w:vAlign w:val="bottom"/>
          </w:tcPr>
          <w:p>
            <w:pPr>
              <w:spacing w:after="0"/>
              <w:rPr>
                <w:sz w:val="18"/>
                <w:szCs w:val="18"/>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w w:val="97"/>
              </w:rPr>
              <w:t>20,405,545</w:t>
            </w:r>
          </w:p>
        </w:tc>
        <w:tc>
          <w:tcPr>
            <w:tcW w:w="38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88"/>
              </w:rPr>
              <w:t>16,884,224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Commission expense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4,603,755</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4,021,383</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7"/>
              </w:rPr>
              <w:t>13,400,029</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8"/>
              </w:rPr>
              <w:t>11,033,874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Other underwriting expenses</w:t>
            </w:r>
          </w:p>
        </w:tc>
        <w:tc>
          <w:tcPr>
            <w:tcW w:w="320" w:type="dxa"/>
            <w:vAlign w:val="bottom"/>
          </w:tcPr>
          <w:p>
            <w:pPr>
              <w:spacing w:after="0"/>
              <w:rPr>
                <w:sz w:val="18"/>
                <w:szCs w:val="18"/>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4,039,209</w:t>
            </w:r>
          </w:p>
        </w:tc>
        <w:tc>
          <w:tcPr>
            <w:tcW w:w="38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w w:val="99"/>
              </w:rPr>
              <w:t>3,389,024</w:t>
            </w:r>
          </w:p>
        </w:tc>
        <w:tc>
          <w:tcPr>
            <w:tcW w:w="300" w:type="dxa"/>
            <w:vAlign w:val="bottom"/>
          </w:tcPr>
          <w:p>
            <w:pPr>
              <w:spacing w:after="0"/>
              <w:rPr>
                <w:sz w:val="18"/>
                <w:szCs w:val="18"/>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w w:val="97"/>
              </w:rPr>
              <w:t>10,981,784</w:t>
            </w:r>
          </w:p>
        </w:tc>
        <w:tc>
          <w:tcPr>
            <w:tcW w:w="38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w w:val="99"/>
              </w:rPr>
              <w:t>9,349,842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530,261</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468,352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1,292,196</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1,174,693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262,387</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267,424</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835,388</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749,658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7"/>
              </w:rPr>
              <w:t>14,570,466</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88"/>
              </w:rPr>
              <w:t>13,196,377</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7"/>
              </w:rPr>
              <w:t>46,914,942</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88"/>
              </w:rPr>
              <w:t>39,192,291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 before taxes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5,257,931</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3,460,992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7"/>
              </w:rPr>
              <w:t>10,270,217</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7,621,146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1,797,305</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1,115,338</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3,426,298</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2,513,811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3,460,626</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2,345,654</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6,843,919</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5,107,335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Gross change in unrealized gains (losses)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on available-for-sale-securities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60,391</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(92,097)</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2,418,305</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Reclassification adjustment for (gains) losses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included in net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(241,035)</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40,487</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(604,903)</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105,718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change in unrealized gains (losses)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(180,644)</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(51,610)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1,813,402</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Income tax (expense) benefit related to items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of other comprehensive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61,419</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17,547</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(616,557)</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201,926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(119,225)</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(34,063)</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1,196,845</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3,341,401</w:t>
            </w: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2,311,591</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8,040,764</w:t>
            </w: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4,715,360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Earnings per common share:</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0.44</w:t>
            </w:r>
          </w:p>
        </w:tc>
        <w:tc>
          <w:tcPr>
            <w:tcW w:w="3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0.32</w:t>
            </w: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0.89</w:t>
            </w:r>
          </w:p>
        </w:tc>
        <w:tc>
          <w:tcPr>
            <w:tcW w:w="3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0.43</w:t>
            </w: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0.32</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0.89</w:t>
            </w: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7,911,353</w:t>
            </w: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7,334,269</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7,676,887</w:t>
            </w:r>
          </w:p>
        </w:tc>
        <w:tc>
          <w:tcPr>
            <w:tcW w:w="3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7,330,178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7,972,925</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7,381,626</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7,729,712</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7,367,714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Dividends declared and paid per common share</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0.0625</w:t>
            </w: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0.0500</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0.1875</w:t>
            </w: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0.1500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5" w:name="page6"/>
    <w:bookmarkEnd w:id="5"/>
    <w:p>
      <w:pPr>
        <w:ind w:left="710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5"/>
                <w:szCs w:val="15"/>
                <w:color w:val="auto"/>
                <w:w w:val="92"/>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ind w:right="106"/>
              <w:spacing w:after="0"/>
              <w:rPr>
                <w:sz w:val="20"/>
                <w:szCs w:val="20"/>
                <w:color w:val="auto"/>
              </w:rPr>
            </w:pPr>
            <w:r>
              <w:rPr>
                <w:rFonts w:ascii="Arial" w:cs="Arial" w:eastAsia="Arial" w:hAnsi="Arial"/>
                <w:sz w:val="15"/>
                <w:szCs w:val="15"/>
                <w:color w:val="auto"/>
                <w:w w:val="89"/>
              </w:rPr>
              <w:t>Capital</w:t>
            </w:r>
          </w:p>
        </w:tc>
        <w:tc>
          <w:tcPr>
            <w:tcW w:w="260" w:type="dxa"/>
            <w:vAlign w:val="bottom"/>
          </w:tcPr>
          <w:p>
            <w:pPr>
              <w:spacing w:after="0"/>
              <w:rPr>
                <w:sz w:val="16"/>
                <w:szCs w:val="16"/>
                <w:color w:val="auto"/>
              </w:rPr>
            </w:pPr>
          </w:p>
        </w:tc>
        <w:tc>
          <w:tcPr>
            <w:tcW w:w="840" w:type="dxa"/>
            <w:vAlign w:val="bottom"/>
          </w:tcPr>
          <w:p>
            <w:pPr>
              <w:jc w:val="center"/>
              <w:ind w:right="206"/>
              <w:spacing w:after="0"/>
              <w:rPr>
                <w:sz w:val="20"/>
                <w:szCs w:val="20"/>
                <w:color w:val="auto"/>
              </w:rPr>
            </w:pPr>
            <w:r>
              <w:rPr>
                <w:rFonts w:ascii="Arial" w:cs="Arial" w:eastAsia="Arial" w:hAnsi="Arial"/>
                <w:sz w:val="15"/>
                <w:szCs w:val="15"/>
                <w:color w:val="auto"/>
                <w:w w:val="85"/>
              </w:rPr>
              <w:t>Other</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Treasury</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8"/>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40" w:type="dxa"/>
            <w:vAlign w:val="bottom"/>
            <w:tcBorders>
              <w:bottom w:val="single" w:sz="8" w:color="auto"/>
            </w:tcBorders>
            <w:gridSpan w:val="3"/>
          </w:tcPr>
          <w:p>
            <w:pPr>
              <w:jc w:val="right"/>
              <w:ind w:right="266"/>
              <w:spacing w:after="0" w:line="172" w:lineRule="exact"/>
              <w:rPr>
                <w:sz w:val="20"/>
                <w:szCs w:val="20"/>
                <w:color w:val="auto"/>
              </w:rPr>
            </w:pPr>
            <w:r>
              <w:rPr>
                <w:rFonts w:ascii="Arial" w:cs="Arial" w:eastAsia="Arial" w:hAnsi="Arial"/>
                <w:sz w:val="15"/>
                <w:szCs w:val="15"/>
                <w:color w:val="auto"/>
              </w:rPr>
              <w:t>Preferred Stock</w:t>
            </w: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466"/>
              <w:spacing w:after="0" w:line="172" w:lineRule="exact"/>
              <w:rPr>
                <w:sz w:val="20"/>
                <w:szCs w:val="20"/>
                <w:color w:val="auto"/>
              </w:rPr>
            </w:pPr>
            <w:r>
              <w:rPr>
                <w:rFonts w:ascii="Arial" w:cs="Arial" w:eastAsia="Arial" w:hAnsi="Arial"/>
                <w:sz w:val="15"/>
                <w:szCs w:val="15"/>
                <w:color w:val="auto"/>
              </w:rPr>
              <w:t>Common Stock</w:t>
            </w:r>
          </w:p>
        </w:tc>
        <w:tc>
          <w:tcPr>
            <w:tcW w:w="220" w:type="dxa"/>
            <w:vAlign w:val="bottom"/>
          </w:tcPr>
          <w:p>
            <w:pPr>
              <w:spacing w:after="0"/>
              <w:rPr>
                <w:sz w:val="15"/>
                <w:szCs w:val="15"/>
                <w:color w:val="auto"/>
              </w:rPr>
            </w:pPr>
          </w:p>
        </w:tc>
        <w:tc>
          <w:tcPr>
            <w:tcW w:w="800" w:type="dxa"/>
            <w:vAlign w:val="bottom"/>
          </w:tcPr>
          <w:p>
            <w:pPr>
              <w:jc w:val="center"/>
              <w:ind w:right="86"/>
              <w:spacing w:after="0" w:line="172" w:lineRule="exact"/>
              <w:rPr>
                <w:sz w:val="20"/>
                <w:szCs w:val="20"/>
                <w:color w:val="auto"/>
              </w:rPr>
            </w:pPr>
            <w:r>
              <w:rPr>
                <w:rFonts w:ascii="Arial" w:cs="Arial" w:eastAsia="Arial" w:hAnsi="Arial"/>
                <w:sz w:val="15"/>
                <w:szCs w:val="15"/>
                <w:color w:val="auto"/>
                <w:w w:val="87"/>
              </w:rPr>
              <w:t>in Excess</w:t>
            </w:r>
          </w:p>
        </w:tc>
        <w:tc>
          <w:tcPr>
            <w:tcW w:w="110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Comprehensive</w:t>
            </w:r>
          </w:p>
        </w:tc>
        <w:tc>
          <w:tcPr>
            <w:tcW w:w="160" w:type="dxa"/>
            <w:vAlign w:val="bottom"/>
          </w:tcPr>
          <w:p>
            <w:pPr>
              <w:spacing w:after="0"/>
              <w:rPr>
                <w:sz w:val="15"/>
                <w:szCs w:val="15"/>
                <w:color w:val="auto"/>
              </w:rPr>
            </w:pPr>
          </w:p>
        </w:tc>
        <w:tc>
          <w:tcPr>
            <w:tcW w:w="800" w:type="dxa"/>
            <w:vAlign w:val="bottom"/>
          </w:tcPr>
          <w:p>
            <w:pPr>
              <w:jc w:val="right"/>
              <w:ind w:right="146"/>
              <w:spacing w:after="0" w:line="172" w:lineRule="exact"/>
              <w:rPr>
                <w:sz w:val="20"/>
                <w:szCs w:val="20"/>
                <w:color w:val="auto"/>
              </w:rPr>
            </w:pPr>
            <w:r>
              <w:rPr>
                <w:rFonts w:ascii="Arial" w:cs="Arial" w:eastAsia="Arial" w:hAnsi="Arial"/>
                <w:sz w:val="15"/>
                <w:szCs w:val="15"/>
                <w:color w:val="auto"/>
                <w:w w:val="93"/>
              </w:rPr>
              <w:t>Retained</w:t>
            </w:r>
          </w:p>
        </w:tc>
        <w:tc>
          <w:tcPr>
            <w:tcW w:w="1260" w:type="dxa"/>
            <w:vAlign w:val="bottom"/>
            <w:tcBorders>
              <w:bottom w:val="single" w:sz="8" w:color="auto"/>
            </w:tcBorders>
            <w:gridSpan w:val="2"/>
          </w:tcPr>
          <w:p>
            <w:pPr>
              <w:jc w:val="right"/>
              <w:ind w:right="26"/>
              <w:spacing w:after="0" w:line="172" w:lineRule="exact"/>
              <w:rPr>
                <w:sz w:val="20"/>
                <w:szCs w:val="20"/>
                <w:color w:val="auto"/>
              </w:rPr>
            </w:pPr>
            <w:r>
              <w:rPr>
                <w:rFonts w:ascii="Arial" w:cs="Arial" w:eastAsia="Arial" w:hAnsi="Arial"/>
                <w:sz w:val="15"/>
                <w:szCs w:val="15"/>
                <w:color w:val="auto"/>
              </w:rPr>
              <w:t>Stock</w:t>
            </w: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Borders>
              <w:bottom w:val="single" w:sz="8" w:color="auto"/>
            </w:tcBorders>
          </w:tcPr>
          <w:p>
            <w:pPr>
              <w:ind w:left="320"/>
              <w:spacing w:after="0" w:line="162" w:lineRule="exact"/>
              <w:rPr>
                <w:sz w:val="20"/>
                <w:szCs w:val="20"/>
                <w:color w:val="auto"/>
              </w:rPr>
            </w:pPr>
            <w:r>
              <w:rPr>
                <w:rFonts w:ascii="Arial" w:cs="Arial" w:eastAsia="Arial" w:hAnsi="Arial"/>
                <w:sz w:val="15"/>
                <w:szCs w:val="15"/>
                <w:color w:val="auto"/>
                <w:w w:val="96"/>
              </w:rPr>
              <w:t>Shares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Amount</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26"/>
              <w:spacing w:after="0" w:line="162" w:lineRule="exact"/>
              <w:rPr>
                <w:sz w:val="20"/>
                <w:szCs w:val="20"/>
                <w:color w:val="auto"/>
              </w:rPr>
            </w:pPr>
            <w:r>
              <w:rPr>
                <w:rFonts w:ascii="Arial" w:cs="Arial" w:eastAsia="Arial" w:hAnsi="Arial"/>
                <w:sz w:val="15"/>
                <w:szCs w:val="15"/>
                <w:color w:val="auto"/>
              </w:rPr>
              <w:t>Shares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6"/>
              <w:spacing w:after="0" w:line="162" w:lineRule="exact"/>
              <w:rPr>
                <w:sz w:val="20"/>
                <w:szCs w:val="20"/>
                <w:color w:val="auto"/>
              </w:rPr>
            </w:pPr>
            <w:r>
              <w:rPr>
                <w:rFonts w:ascii="Arial" w:cs="Arial" w:eastAsia="Arial" w:hAnsi="Arial"/>
                <w:sz w:val="15"/>
                <w:szCs w:val="15"/>
                <w:color w:val="auto"/>
              </w:rPr>
              <w:t>Amount</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6"/>
              <w:spacing w:after="0" w:line="162" w:lineRule="exact"/>
              <w:rPr>
                <w:sz w:val="20"/>
                <w:szCs w:val="20"/>
                <w:color w:val="auto"/>
              </w:rPr>
            </w:pPr>
            <w:r>
              <w:rPr>
                <w:rFonts w:ascii="Arial" w:cs="Arial" w:eastAsia="Arial" w:hAnsi="Arial"/>
                <w:sz w:val="15"/>
                <w:szCs w:val="15"/>
                <w:color w:val="auto"/>
                <w:w w:val="89"/>
              </w:rPr>
              <w:t>of Par</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06"/>
              <w:spacing w:after="0" w:line="162" w:lineRule="exact"/>
              <w:rPr>
                <w:sz w:val="20"/>
                <w:szCs w:val="20"/>
                <w:color w:val="auto"/>
              </w:rPr>
            </w:pPr>
            <w:r>
              <w:rPr>
                <w:rFonts w:ascii="Arial" w:cs="Arial" w:eastAsia="Arial" w:hAnsi="Arial"/>
                <w:sz w:val="15"/>
                <w:szCs w:val="15"/>
                <w:color w:val="auto"/>
                <w:w w:val="89"/>
              </w:rPr>
              <w:t>Income</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color w:val="auto"/>
                <w:w w:val="94"/>
              </w:rPr>
              <w:t>Earnings</w:t>
            </w:r>
          </w:p>
        </w:tc>
        <w:tc>
          <w:tcPr>
            <w:tcW w:w="1020" w:type="dxa"/>
            <w:vAlign w:val="bottom"/>
            <w:tcBorders>
              <w:bottom w:val="single" w:sz="8" w:color="auto"/>
            </w:tcBorders>
          </w:tcPr>
          <w:p>
            <w:pPr>
              <w:jc w:val="right"/>
              <w:ind w:right="206"/>
              <w:spacing w:after="0" w:line="162" w:lineRule="exact"/>
              <w:rPr>
                <w:sz w:val="20"/>
                <w:szCs w:val="20"/>
                <w:color w:val="auto"/>
              </w:rPr>
            </w:pPr>
            <w:r>
              <w:rPr>
                <w:rFonts w:ascii="Arial" w:cs="Arial" w:eastAsia="Arial" w:hAnsi="Arial"/>
                <w:sz w:val="15"/>
                <w:szCs w:val="15"/>
                <w:color w:val="auto"/>
              </w:rPr>
              <w:t>Shares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6"/>
              <w:spacing w:after="0" w:line="162" w:lineRule="exact"/>
              <w:rPr>
                <w:sz w:val="20"/>
                <w:szCs w:val="20"/>
                <w:color w:val="auto"/>
              </w:rPr>
            </w:pPr>
            <w:r>
              <w:rPr>
                <w:rFonts w:ascii="Arial" w:cs="Arial" w:eastAsia="Arial" w:hAnsi="Arial"/>
                <w:sz w:val="15"/>
                <w:szCs w:val="15"/>
                <w:color w:val="auto"/>
              </w:rPr>
              <w:t>Amount</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6"/>
              <w:spacing w:after="0" w:line="162" w:lineRule="exact"/>
              <w:rPr>
                <w:sz w:val="20"/>
                <w:szCs w:val="20"/>
                <w:color w:val="auto"/>
              </w:rPr>
            </w:pPr>
            <w:r>
              <w:rPr>
                <w:rFonts w:ascii="Arial" w:cs="Arial" w:eastAsia="Arial" w:hAnsi="Arial"/>
                <w:sz w:val="15"/>
                <w:szCs w:val="15"/>
                <w:color w:val="auto"/>
              </w:rPr>
              <w:t>Total</w:t>
            </w:r>
          </w:p>
        </w:tc>
      </w:tr>
      <w:tr>
        <w:trPr>
          <w:trHeight w:val="153"/>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Balance, January</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114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1, 2016</w:t>
            </w: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566"/>
              <w:spacing w:after="0" w:line="17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46"/>
              <w:spacing w:after="0" w:line="172"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8,289,606</w:t>
            </w:r>
          </w:p>
        </w:tc>
        <w:tc>
          <w:tcPr>
            <w:tcW w:w="2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82,896</w:t>
            </w:r>
          </w:p>
        </w:tc>
        <w:tc>
          <w:tcPr>
            <w:tcW w:w="2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w w:val="90"/>
              </w:rPr>
              <w:t>32,987,082</w:t>
            </w:r>
          </w:p>
        </w:tc>
        <w:tc>
          <w:tcPr>
            <w:tcW w:w="260" w:type="dxa"/>
            <w:vAlign w:val="bottom"/>
            <w:shd w:val="clear" w:color="auto" w:fill="CCEEFF"/>
          </w:tcPr>
          <w:p>
            <w:pPr>
              <w:jc w:val="right"/>
              <w:ind w:right="6"/>
              <w:spacing w:after="0" w:line="172"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86"/>
              <w:spacing w:after="0" w:line="172" w:lineRule="exact"/>
              <w:rPr>
                <w:sz w:val="20"/>
                <w:szCs w:val="20"/>
                <w:color w:val="auto"/>
              </w:rPr>
            </w:pPr>
            <w:r>
              <w:rPr>
                <w:rFonts w:ascii="Arial" w:cs="Arial" w:eastAsia="Arial" w:hAnsi="Arial"/>
                <w:sz w:val="15"/>
                <w:szCs w:val="15"/>
                <w:color w:val="auto"/>
              </w:rPr>
              <w:t>484,220</w:t>
            </w:r>
          </w:p>
        </w:tc>
        <w:tc>
          <w:tcPr>
            <w:tcW w:w="1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w w:val="90"/>
              </w:rPr>
              <w:t>13,605,225</w:t>
            </w:r>
          </w:p>
        </w:tc>
        <w:tc>
          <w:tcPr>
            <w:tcW w:w="10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960,969</w:t>
            </w:r>
          </w:p>
        </w:tc>
        <w:tc>
          <w:tcPr>
            <w:tcW w:w="24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w w:val="93"/>
              </w:rPr>
              <w:t>(1,882,195)</w:t>
            </w:r>
          </w:p>
        </w:tc>
        <w:tc>
          <w:tcPr>
            <w:tcW w:w="2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w w:val="93"/>
              </w:rPr>
              <w:t>45,277,228</w:t>
            </w:r>
          </w:p>
        </w:tc>
      </w:tr>
      <w:tr>
        <w:trPr>
          <w:trHeight w:val="153"/>
        </w:trPr>
        <w:tc>
          <w:tcPr>
            <w:tcW w:w="20" w:type="dxa"/>
            <w:vAlign w:val="bottom"/>
          </w:tcPr>
          <w:p>
            <w:pPr>
              <w:spacing w:after="0"/>
              <w:rPr>
                <w:sz w:val="13"/>
                <w:szCs w:val="13"/>
                <w:color w:val="auto"/>
              </w:rPr>
            </w:pPr>
          </w:p>
        </w:tc>
        <w:tc>
          <w:tcPr>
            <w:tcW w:w="1940" w:type="dxa"/>
            <w:vAlign w:val="bottom"/>
            <w:gridSpan w:val="2"/>
          </w:tcPr>
          <w:p>
            <w:pPr>
              <w:spacing w:after="0" w:line="153" w:lineRule="exact"/>
              <w:rPr>
                <w:sz w:val="20"/>
                <w:szCs w:val="20"/>
                <w:color w:val="auto"/>
              </w:rPr>
            </w:pPr>
            <w:r>
              <w:rPr>
                <w:rFonts w:ascii="Arial" w:cs="Arial" w:eastAsia="Arial" w:hAnsi="Arial"/>
                <w:sz w:val="15"/>
                <w:szCs w:val="15"/>
                <w:color w:val="auto"/>
              </w:rPr>
              <w:t>Proceeds from</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1960" w:type="dxa"/>
            <w:vAlign w:val="bottom"/>
            <w:gridSpan w:val="3"/>
          </w:tcPr>
          <w:p>
            <w:pPr>
              <w:spacing w:after="0" w:line="162" w:lineRule="exact"/>
              <w:rPr>
                <w:sz w:val="20"/>
                <w:szCs w:val="20"/>
                <w:color w:val="auto"/>
              </w:rPr>
            </w:pPr>
            <w:r>
              <w:rPr>
                <w:rFonts w:ascii="Arial" w:cs="Arial" w:eastAsia="Arial" w:hAnsi="Arial"/>
                <w:sz w:val="15"/>
                <w:szCs w:val="15"/>
                <w:color w:val="auto"/>
              </w:rPr>
              <w:t>private placement,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1960" w:type="dxa"/>
            <w:vAlign w:val="bottom"/>
            <w:gridSpan w:val="3"/>
          </w:tcPr>
          <w:p>
            <w:pPr>
              <w:spacing w:after="0" w:line="172" w:lineRule="exact"/>
              <w:rPr>
                <w:sz w:val="20"/>
                <w:szCs w:val="20"/>
                <w:color w:val="auto"/>
              </w:rPr>
            </w:pPr>
            <w:r>
              <w:rPr>
                <w:rFonts w:ascii="Arial" w:cs="Arial" w:eastAsia="Arial" w:hAnsi="Arial"/>
                <w:sz w:val="15"/>
                <w:szCs w:val="15"/>
                <w:color w:val="auto"/>
              </w:rPr>
              <w:t>net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closing costs of</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114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$192,369</w:t>
            </w: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6"/>
              <w:spacing w:after="0" w:line="172"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595,238</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5,952</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4,801,679</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6"/>
              <w:spacing w:after="0" w:line="17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4,807,631</w:t>
            </w:r>
          </w:p>
        </w:tc>
      </w:tr>
      <w:tr>
        <w:trPr>
          <w:trHeight w:val="153"/>
        </w:trPr>
        <w:tc>
          <w:tcPr>
            <w:tcW w:w="20" w:type="dxa"/>
            <w:vAlign w:val="bottom"/>
          </w:tcPr>
          <w:p>
            <w:pPr>
              <w:spacing w:after="0"/>
              <w:rPr>
                <w:sz w:val="13"/>
                <w:szCs w:val="13"/>
                <w:color w:val="auto"/>
              </w:rPr>
            </w:pPr>
          </w:p>
        </w:tc>
        <w:tc>
          <w:tcPr>
            <w:tcW w:w="1940" w:type="dxa"/>
            <w:vAlign w:val="bottom"/>
            <w:gridSpan w:val="2"/>
          </w:tcPr>
          <w:p>
            <w:pPr>
              <w:spacing w:after="0" w:line="153" w:lineRule="exact"/>
              <w:rPr>
                <w:sz w:val="20"/>
                <w:szCs w:val="20"/>
                <w:color w:val="auto"/>
              </w:rPr>
            </w:pPr>
            <w:r>
              <w:rPr>
                <w:rFonts w:ascii="Arial" w:cs="Arial" w:eastAsia="Arial" w:hAnsi="Arial"/>
                <w:sz w:val="15"/>
                <w:szCs w:val="15"/>
                <w:color w:val="auto"/>
              </w:rPr>
              <w:t>Stock-based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1"/>
        </w:trPr>
        <w:tc>
          <w:tcPr>
            <w:tcW w:w="1960" w:type="dxa"/>
            <w:vAlign w:val="bottom"/>
            <w:gridSpan w:val="3"/>
          </w:tcPr>
          <w:p>
            <w:pPr>
              <w:spacing w:after="0" w:line="172" w:lineRule="exact"/>
              <w:rPr>
                <w:sz w:val="20"/>
                <w:szCs w:val="20"/>
                <w:color w:val="auto"/>
              </w:rPr>
            </w:pPr>
            <w:r>
              <w:rPr>
                <w:rFonts w:ascii="Arial" w:cs="Arial" w:eastAsia="Arial" w:hAnsi="Arial"/>
                <w:sz w:val="15"/>
                <w:szCs w:val="15"/>
                <w:color w:val="auto"/>
              </w:rPr>
              <w:t>compensation</w:t>
            </w:r>
          </w:p>
        </w:tc>
        <w:tc>
          <w:tcPr>
            <w:tcW w:w="2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820" w:type="dxa"/>
            <w:vAlign w:val="bottom"/>
          </w:tcPr>
          <w:p>
            <w:pPr>
              <w:spacing w:after="0"/>
              <w:rPr>
                <w:sz w:val="14"/>
                <w:szCs w:val="14"/>
                <w:color w:val="auto"/>
              </w:rPr>
            </w:pPr>
          </w:p>
        </w:tc>
        <w:tc>
          <w:tcPr>
            <w:tcW w:w="320" w:type="dxa"/>
            <w:vAlign w:val="bottom"/>
          </w:tcPr>
          <w:p>
            <w:pPr>
              <w:jc w:val="right"/>
              <w:ind w:right="146"/>
              <w:spacing w:after="0" w:line="172"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line="172" w:lineRule="exact"/>
              <w:rPr>
                <w:sz w:val="20"/>
                <w:szCs w:val="20"/>
                <w:color w:val="auto"/>
              </w:rPr>
            </w:pPr>
            <w:r>
              <w:rPr>
                <w:rFonts w:ascii="Arial" w:cs="Arial" w:eastAsia="Arial" w:hAnsi="Arial"/>
                <w:sz w:val="15"/>
                <w:szCs w:val="15"/>
                <w:color w:val="auto"/>
              </w:rPr>
              <w:t>89,814</w:t>
            </w:r>
          </w:p>
        </w:tc>
        <w:tc>
          <w:tcPr>
            <w:tcW w:w="260" w:type="dxa"/>
            <w:vAlign w:val="bottom"/>
          </w:tcPr>
          <w:p>
            <w:pPr>
              <w:spacing w:after="0"/>
              <w:rPr>
                <w:sz w:val="14"/>
                <w:szCs w:val="14"/>
                <w:color w:val="auto"/>
              </w:rPr>
            </w:pPr>
          </w:p>
        </w:tc>
        <w:tc>
          <w:tcPr>
            <w:tcW w:w="840" w:type="dxa"/>
            <w:vAlign w:val="bottom"/>
          </w:tcPr>
          <w:p>
            <w:pPr>
              <w:jc w:val="right"/>
              <w:ind w:right="86"/>
              <w:spacing w:after="0" w:line="17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89,814</w:t>
            </w:r>
          </w:p>
        </w:tc>
      </w:tr>
      <w:tr>
        <w:trPr>
          <w:trHeight w:val="153"/>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Exercise of stock</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rPr>
              <w:t>options</w:t>
            </w:r>
          </w:p>
        </w:tc>
        <w:tc>
          <w:tcPr>
            <w:tcW w:w="2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6"/>
              <w:spacing w:after="0" w:line="172"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2,500</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25</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12,700</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6"/>
              <w:spacing w:after="0" w:line="17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12,725</w:t>
            </w:r>
          </w:p>
        </w:tc>
      </w:tr>
      <w:tr>
        <w:trPr>
          <w:trHeight w:val="153"/>
        </w:trPr>
        <w:tc>
          <w:tcPr>
            <w:tcW w:w="20" w:type="dxa"/>
            <w:vAlign w:val="bottom"/>
          </w:tcPr>
          <w:p>
            <w:pPr>
              <w:spacing w:after="0"/>
              <w:rPr>
                <w:sz w:val="13"/>
                <w:szCs w:val="13"/>
                <w:color w:val="auto"/>
              </w:rPr>
            </w:pPr>
          </w:p>
        </w:tc>
        <w:tc>
          <w:tcPr>
            <w:tcW w:w="1940" w:type="dxa"/>
            <w:vAlign w:val="bottom"/>
            <w:gridSpan w:val="2"/>
          </w:tcPr>
          <w:p>
            <w:pPr>
              <w:spacing w:after="0" w:line="153" w:lineRule="exact"/>
              <w:rPr>
                <w:sz w:val="20"/>
                <w:szCs w:val="20"/>
                <w:color w:val="auto"/>
              </w:rPr>
            </w:pPr>
            <w:r>
              <w:rPr>
                <w:rFonts w:ascii="Arial" w:cs="Arial" w:eastAsia="Arial" w:hAnsi="Arial"/>
                <w:sz w:val="15"/>
                <w:szCs w:val="15"/>
                <w:color w:val="auto"/>
              </w:rPr>
              <w:t>Acquisition of</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1"/>
        </w:trPr>
        <w:tc>
          <w:tcPr>
            <w:tcW w:w="1960" w:type="dxa"/>
            <w:vAlign w:val="bottom"/>
            <w:gridSpan w:val="3"/>
          </w:tcPr>
          <w:p>
            <w:pPr>
              <w:spacing w:after="0" w:line="172" w:lineRule="exact"/>
              <w:rPr>
                <w:sz w:val="20"/>
                <w:szCs w:val="20"/>
                <w:color w:val="auto"/>
              </w:rPr>
            </w:pPr>
            <w:r>
              <w:rPr>
                <w:rFonts w:ascii="Arial" w:cs="Arial" w:eastAsia="Arial" w:hAnsi="Arial"/>
                <w:sz w:val="15"/>
                <w:szCs w:val="15"/>
                <w:color w:val="auto"/>
              </w:rPr>
              <w:t>treasury stock</w:t>
            </w:r>
          </w:p>
        </w:tc>
        <w:tc>
          <w:tcPr>
            <w:tcW w:w="2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820" w:type="dxa"/>
            <w:vAlign w:val="bottom"/>
          </w:tcPr>
          <w:p>
            <w:pPr>
              <w:spacing w:after="0"/>
              <w:rPr>
                <w:sz w:val="14"/>
                <w:szCs w:val="14"/>
                <w:color w:val="auto"/>
              </w:rPr>
            </w:pPr>
          </w:p>
        </w:tc>
        <w:tc>
          <w:tcPr>
            <w:tcW w:w="320" w:type="dxa"/>
            <w:vAlign w:val="bottom"/>
          </w:tcPr>
          <w:p>
            <w:pPr>
              <w:jc w:val="right"/>
              <w:ind w:right="146"/>
              <w:spacing w:after="0" w:line="172"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86"/>
              <w:spacing w:after="0" w:line="17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26"/>
              <w:spacing w:after="0" w:line="172" w:lineRule="exact"/>
              <w:rPr>
                <w:sz w:val="20"/>
                <w:szCs w:val="20"/>
                <w:color w:val="auto"/>
              </w:rPr>
            </w:pPr>
            <w:r>
              <w:rPr>
                <w:rFonts w:ascii="Arial" w:cs="Arial" w:eastAsia="Arial" w:hAnsi="Arial"/>
                <w:sz w:val="15"/>
                <w:szCs w:val="15"/>
                <w:color w:val="auto"/>
              </w:rPr>
              <w:t>13,500</w:t>
            </w:r>
          </w:p>
        </w:tc>
        <w:tc>
          <w:tcPr>
            <w:tcW w:w="24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(113,267)</w:t>
            </w:r>
          </w:p>
        </w:tc>
        <w:tc>
          <w:tcPr>
            <w:tcW w:w="20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5"/>
                <w:szCs w:val="15"/>
                <w:color w:val="auto"/>
              </w:rPr>
              <w:t>(113,267)</w:t>
            </w:r>
          </w:p>
        </w:tc>
      </w:tr>
      <w:tr>
        <w:trPr>
          <w:trHeight w:val="162"/>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Dividends</w:t>
            </w:r>
          </w:p>
        </w:tc>
        <w:tc>
          <w:tcPr>
            <w:tcW w:w="22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6"/>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3"/>
              </w:rPr>
              <w:t>(1,446,684)</w:t>
            </w:r>
          </w:p>
        </w:tc>
        <w:tc>
          <w:tcPr>
            <w:tcW w:w="102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6"/>
              </w:rPr>
              <w:t>(1,446,684)</w:t>
            </w:r>
          </w:p>
        </w:tc>
      </w:tr>
      <w:tr>
        <w:trPr>
          <w:trHeight w:val="162"/>
        </w:trPr>
        <w:tc>
          <w:tcPr>
            <w:tcW w:w="20" w:type="dxa"/>
            <w:vAlign w:val="bottom"/>
          </w:tcPr>
          <w:p>
            <w:pPr>
              <w:spacing w:after="0"/>
              <w:rPr>
                <w:sz w:val="14"/>
                <w:szCs w:val="14"/>
                <w:color w:val="auto"/>
              </w:rPr>
            </w:pPr>
          </w:p>
        </w:tc>
        <w:tc>
          <w:tcPr>
            <w:tcW w:w="1940" w:type="dxa"/>
            <w:vAlign w:val="bottom"/>
            <w:gridSpan w:val="2"/>
          </w:tcPr>
          <w:p>
            <w:pPr>
              <w:spacing w:after="0" w:line="162" w:lineRule="exact"/>
              <w:rPr>
                <w:sz w:val="20"/>
                <w:szCs w:val="20"/>
                <w:color w:val="auto"/>
              </w:rPr>
            </w:pPr>
            <w:r>
              <w:rPr>
                <w:rFonts w:ascii="Arial" w:cs="Arial" w:eastAsia="Arial" w:hAnsi="Arial"/>
                <w:sz w:val="15"/>
                <w:szCs w:val="15"/>
                <w:color w:val="auto"/>
              </w:rPr>
              <w:t>Net income</w:t>
            </w:r>
          </w:p>
        </w:tc>
        <w:tc>
          <w:tcPr>
            <w:tcW w:w="2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spacing w:after="0"/>
              <w:rPr>
                <w:sz w:val="14"/>
                <w:szCs w:val="14"/>
                <w:color w:val="auto"/>
              </w:rPr>
            </w:pPr>
          </w:p>
        </w:tc>
        <w:tc>
          <w:tcPr>
            <w:tcW w:w="32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86"/>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6,843,919</w:t>
            </w:r>
          </w:p>
        </w:tc>
        <w:tc>
          <w:tcPr>
            <w:tcW w:w="10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2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6,843,919</w:t>
            </w:r>
          </w:p>
        </w:tc>
      </w:tr>
      <w:tr>
        <w:trPr>
          <w:trHeight w:val="153"/>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Change in</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unrealized gains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rPr>
              <w:t>on available-</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1940" w:type="dxa"/>
            <w:vAlign w:val="bottom"/>
            <w:gridSpan w:val="2"/>
          </w:tcPr>
          <w:p>
            <w:pPr>
              <w:spacing w:after="0" w:line="153" w:lineRule="exact"/>
              <w:rPr>
                <w:sz w:val="20"/>
                <w:szCs w:val="20"/>
                <w:color w:val="auto"/>
              </w:rPr>
            </w:pPr>
            <w:r>
              <w:rPr>
                <w:rFonts w:ascii="Arial" w:cs="Arial" w:eastAsia="Arial" w:hAnsi="Arial"/>
                <w:sz w:val="15"/>
                <w:szCs w:val="15"/>
                <w:color w:val="auto"/>
              </w:rPr>
              <w:t>for-sale securities,</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8"/>
        </w:trPr>
        <w:tc>
          <w:tcPr>
            <w:tcW w:w="1160" w:type="dxa"/>
            <w:vAlign w:val="bottom"/>
            <w:gridSpan w:val="2"/>
          </w:tcPr>
          <w:p>
            <w:pPr>
              <w:spacing w:after="0" w:line="172" w:lineRule="exact"/>
              <w:rPr>
                <w:sz w:val="20"/>
                <w:szCs w:val="20"/>
                <w:color w:val="auto"/>
              </w:rPr>
            </w:pPr>
            <w:r>
              <w:rPr>
                <w:rFonts w:ascii="Arial" w:cs="Arial" w:eastAsia="Arial" w:hAnsi="Arial"/>
                <w:sz w:val="15"/>
                <w:szCs w:val="15"/>
                <w:color w:val="auto"/>
              </w:rPr>
              <w:t>net of tax</w:t>
            </w: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46"/>
              <w:spacing w:after="0" w:line="17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6"/>
              <w:spacing w:after="0" w:line="172" w:lineRule="exact"/>
              <w:rPr>
                <w:sz w:val="20"/>
                <w:szCs w:val="20"/>
                <w:color w:val="auto"/>
              </w:rPr>
            </w:pPr>
            <w:r>
              <w:rPr>
                <w:rFonts w:ascii="Arial" w:cs="Arial" w:eastAsia="Arial" w:hAnsi="Arial"/>
                <w:sz w:val="15"/>
                <w:szCs w:val="15"/>
                <w:color w:val="auto"/>
                <w:w w:val="98"/>
              </w:rPr>
              <w:t>1,196,845</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
              <w:spacing w:after="0" w:line="172" w:lineRule="exact"/>
              <w:rPr>
                <w:sz w:val="20"/>
                <w:szCs w:val="20"/>
                <w:color w:val="auto"/>
              </w:rPr>
            </w:pPr>
            <w:r>
              <w:rPr>
                <w:rFonts w:ascii="Arial" w:cs="Arial" w:eastAsia="Arial" w:hAnsi="Arial"/>
                <w:sz w:val="15"/>
                <w:szCs w:val="15"/>
                <w:color w:val="auto"/>
              </w:rPr>
              <w:t>1,196,845</w:t>
            </w:r>
          </w:p>
        </w:tc>
      </w:tr>
      <w:tr>
        <w:trPr>
          <w:trHeight w:val="153"/>
        </w:trPr>
        <w:tc>
          <w:tcPr>
            <w:tcW w:w="20" w:type="dxa"/>
            <w:vAlign w:val="bottom"/>
          </w:tcPr>
          <w:p>
            <w:pPr>
              <w:spacing w:after="0"/>
              <w:rPr>
                <w:sz w:val="13"/>
                <w:szCs w:val="13"/>
                <w:color w:val="auto"/>
              </w:rPr>
            </w:pPr>
          </w:p>
        </w:tc>
        <w:tc>
          <w:tcPr>
            <w:tcW w:w="194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Balance,</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September 30,</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5"/>
                <w:szCs w:val="15"/>
                <w:color w:val="auto"/>
              </w:rPr>
              <w:t>2016</w:t>
            </w:r>
          </w:p>
        </w:tc>
        <w:tc>
          <w:tcPr>
            <w:tcW w:w="8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566"/>
              <w:spacing w:after="0" w:line="172"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CCEEFF"/>
          </w:tcPr>
          <w:p>
            <w:pPr>
              <w:jc w:val="right"/>
              <w:ind w:right="146"/>
              <w:spacing w:after="0" w:line="17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8,887,344</w:t>
            </w:r>
          </w:p>
        </w:tc>
        <w:tc>
          <w:tcPr>
            <w:tcW w:w="22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88,873</w:t>
            </w:r>
          </w:p>
        </w:tc>
        <w:tc>
          <w:tcPr>
            <w:tcW w:w="22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w w:val="90"/>
              </w:rPr>
              <w:t>37,891,275</w:t>
            </w:r>
          </w:p>
        </w:tc>
        <w:tc>
          <w:tcPr>
            <w:tcW w:w="260" w:type="dxa"/>
            <w:vAlign w:val="bottom"/>
            <w:tcBorders>
              <w:bottom w:val="single" w:sz="8" w:color="auto"/>
            </w:tcBorders>
            <w:shd w:val="clear" w:color="auto" w:fill="CCEEFF"/>
          </w:tcPr>
          <w:p>
            <w:pPr>
              <w:jc w:val="right"/>
              <w:ind w:right="6"/>
              <w:spacing w:after="0" w:line="172"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ind w:right="86"/>
              <w:spacing w:after="0" w:line="172" w:lineRule="exact"/>
              <w:rPr>
                <w:sz w:val="20"/>
                <w:szCs w:val="20"/>
                <w:color w:val="auto"/>
              </w:rPr>
            </w:pPr>
            <w:r>
              <w:rPr>
                <w:rFonts w:ascii="Arial" w:cs="Arial" w:eastAsia="Arial" w:hAnsi="Arial"/>
                <w:sz w:val="15"/>
                <w:szCs w:val="15"/>
                <w:color w:val="auto"/>
                <w:w w:val="98"/>
              </w:rPr>
              <w:t>1,681,065</w:t>
            </w:r>
          </w:p>
        </w:tc>
        <w:tc>
          <w:tcPr>
            <w:tcW w:w="16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w w:val="90"/>
              </w:rPr>
              <w:t>19,002,460</w:t>
            </w:r>
          </w:p>
        </w:tc>
        <w:tc>
          <w:tcPr>
            <w:tcW w:w="1020" w:type="dxa"/>
            <w:vAlign w:val="bottom"/>
            <w:tcBorders>
              <w:bottom w:val="single" w:sz="8" w:color="auto"/>
            </w:tcBorders>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rPr>
              <w:t>974,469</w:t>
            </w:r>
          </w:p>
        </w:tc>
        <w:tc>
          <w:tcPr>
            <w:tcW w:w="24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w w:val="93"/>
              </w:rPr>
              <w:t>(1,995,462)</w:t>
            </w:r>
          </w:p>
        </w:tc>
        <w:tc>
          <w:tcPr>
            <w:tcW w:w="20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26"/>
              <w:spacing w:after="0" w:line="172" w:lineRule="exact"/>
              <w:rPr>
                <w:sz w:val="20"/>
                <w:szCs w:val="20"/>
                <w:color w:val="auto"/>
              </w:rPr>
            </w:pPr>
            <w:r>
              <w:rPr>
                <w:rFonts w:ascii="Arial" w:cs="Arial" w:eastAsia="Arial" w:hAnsi="Arial"/>
                <w:sz w:val="15"/>
                <w:szCs w:val="15"/>
                <w:color w:val="auto"/>
                <w:w w:val="93"/>
              </w:rPr>
              <w:t>56,668,211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Nine months ended September 30,</w:t>
            </w: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5"/>
                <w:szCs w:val="15"/>
                <w:b w:val="1"/>
                <w:bCs w:val="1"/>
                <w:color w:val="auto"/>
              </w:rPr>
              <w:t>2016</w:t>
            </w: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5"/>
                <w:szCs w:val="15"/>
                <w:b w:val="1"/>
                <w:bCs w:val="1"/>
                <w:color w:val="auto"/>
              </w:rPr>
              <w:t>2015</w:t>
            </w:r>
          </w:p>
        </w:tc>
      </w:tr>
      <w:tr>
        <w:trPr>
          <w:trHeight w:val="216"/>
        </w:trPr>
        <w:tc>
          <w:tcPr>
            <w:tcW w:w="8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6,843,919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5,107,335</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Net realized (gains) losses on investments</w:t>
            </w:r>
          </w:p>
        </w:tc>
        <w:tc>
          <w:tcPr>
            <w:tcW w:w="30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(604,903)</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105,718</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835,388</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749,658</w:t>
            </w:r>
          </w:p>
        </w:tc>
      </w:tr>
      <w:tr>
        <w:trPr>
          <w:trHeight w:val="216"/>
        </w:trPr>
        <w:tc>
          <w:tcPr>
            <w:tcW w:w="8700" w:type="dxa"/>
            <w:vAlign w:val="bottom"/>
          </w:tcPr>
          <w:p>
            <w:pPr>
              <w:ind w:left="200"/>
              <w:spacing w:after="0"/>
              <w:rPr>
                <w:sz w:val="20"/>
                <w:szCs w:val="20"/>
                <w:color w:val="auto"/>
              </w:rPr>
            </w:pPr>
            <w:r>
              <w:rPr>
                <w:rFonts w:ascii="Arial" w:cs="Arial" w:eastAsia="Arial" w:hAnsi="Arial"/>
                <w:sz w:val="18"/>
                <w:szCs w:val="18"/>
                <w:color w:val="auto"/>
              </w:rPr>
              <w:t>Amortization of bond premium, net</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310,838</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257,996</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89,814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129,546</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Excess tax benefit from exercise of stock options</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(223,976)</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expense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(172,835)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(279,793)</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(Increase) decrease in operating assets: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 net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(894,774)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(1,885,547)</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Receivables - reinsurance contracts</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(983,807)</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Reinsurance receivables, net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57,259</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4,403,717</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Deferred policy acquisition costs</w:t>
            </w:r>
          </w:p>
        </w:tc>
        <w:tc>
          <w:tcPr>
            <w:tcW w:w="30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(1,197,101)</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(1,470,726)</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(308,505)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(16,634)</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Increase (decrease) in operating liabilities: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(74,177)</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(1,013,191)</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Unearned premiums</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4,873,607</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6,983,289</w:t>
            </w:r>
          </w:p>
        </w:tc>
      </w:tr>
      <w:tr>
        <w:trPr>
          <w:trHeight w:val="216"/>
        </w:trPr>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 premiums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846,905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549,204</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Reinsurance balances payable</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2,307,504</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(754,150)</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ceding commission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217,786</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113,367</w:t>
            </w:r>
          </w:p>
        </w:tc>
      </w:tr>
      <w:tr>
        <w:trPr>
          <w:trHeight w:val="223"/>
        </w:trPr>
        <w:tc>
          <w:tcPr>
            <w:tcW w:w="8700" w:type="dxa"/>
            <w:vAlign w:val="bottom"/>
          </w:tcPr>
          <w:p>
            <w:pPr>
              <w:ind w:left="200"/>
              <w:spacing w:after="0"/>
              <w:rPr>
                <w:sz w:val="20"/>
                <w:szCs w:val="20"/>
                <w:color w:val="auto"/>
              </w:rPr>
            </w:pPr>
            <w:r>
              <w:rPr>
                <w:rFonts w:ascii="Arial" w:cs="Arial" w:eastAsia="Arial" w:hAnsi="Arial"/>
                <w:sz w:val="18"/>
                <w:szCs w:val="18"/>
                <w:color w:val="auto"/>
              </w:rPr>
              <w:t>Accounts payable, accrued expenses and other liabilities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343,707</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952,160</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cash flows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13,474,432</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12,724,166</w:t>
            </w:r>
          </w:p>
        </w:tc>
      </w:tr>
      <w:tr>
        <w:trPr>
          <w:trHeight w:val="216"/>
        </w:trPr>
        <w:tc>
          <w:tcPr>
            <w:tcW w:w="8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Cash flows from investing activities</w:t>
            </w: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Purchase - fixed-maturity securities available-for-sale</w:t>
            </w:r>
          </w:p>
        </w:tc>
        <w:tc>
          <w:tcPr>
            <w:tcW w:w="30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w w:val="94"/>
              </w:rPr>
              <w:t>(33,295,669)</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4"/>
              </w:rPr>
              <w:t>(13,187,405)</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Purchase - equity securities available-for-sale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(6,728,540)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(3,552,291)</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Sale or maturity - fixed-maturity securities available-for-sale</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w w:val="99"/>
              </w:rPr>
              <w:t>16,374,028</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1,680,633</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Sale - equity securities available-for-sale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6,065,744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1,642,971</w:t>
            </w:r>
          </w:p>
        </w:tc>
      </w:tr>
      <w:tr>
        <w:trPr>
          <w:trHeight w:val="216"/>
        </w:trPr>
        <w:tc>
          <w:tcPr>
            <w:tcW w:w="8700" w:type="dxa"/>
            <w:vAlign w:val="bottom"/>
          </w:tcPr>
          <w:p>
            <w:pPr>
              <w:ind w:left="40"/>
              <w:spacing w:after="0"/>
              <w:rPr>
                <w:sz w:val="20"/>
                <w:szCs w:val="20"/>
                <w:color w:val="auto"/>
              </w:rPr>
            </w:pPr>
            <w:r>
              <w:rPr>
                <w:rFonts w:ascii="Arial" w:cs="Arial" w:eastAsia="Arial" w:hAnsi="Arial"/>
                <w:sz w:val="18"/>
                <w:szCs w:val="18"/>
                <w:color w:val="auto"/>
              </w:rPr>
              <w:t>Acquisition of fixed assets</w:t>
            </w:r>
          </w:p>
        </w:tc>
        <w:tc>
          <w:tcPr>
            <w:tcW w:w="30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(521,533)</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(1,166,834)</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250,448</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6,203</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b w:val="1"/>
                <w:bCs w:val="1"/>
                <w:color w:val="auto"/>
              </w:rPr>
              <w:t>Net cash flows used in investing activitie</w:t>
            </w:r>
            <w:r>
              <w:rPr>
                <w:rFonts w:ascii="Arial" w:cs="Arial" w:eastAsia="Arial" w:hAnsi="Arial"/>
                <w:sz w:val="18"/>
                <w:szCs w:val="18"/>
                <w:color w:val="auto"/>
              </w:rPr>
              <w: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4"/>
              </w:rPr>
              <w:t>(17,855,522)</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(14,576,723)</w:t>
            </w:r>
          </w:p>
        </w:tc>
      </w:tr>
      <w:tr>
        <w:trPr>
          <w:trHeight w:val="216"/>
        </w:trPr>
        <w:tc>
          <w:tcPr>
            <w:tcW w:w="8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proceeds from issuance of common stock</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4,807,631</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12,725</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Withholding taxes paid on net exercise of stock options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(243,662)</w:t>
            </w: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Excess tax benefit from exercise of stock options</w:t>
            </w:r>
          </w:p>
        </w:tc>
        <w:tc>
          <w:tcPr>
            <w:tcW w:w="30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223,976</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Purchase of treasury stock</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(113,267)</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(204,060)</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color w:val="auto"/>
              </w:rPr>
              <w:t>Dividends paid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(1,446,684)</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(1,098,946)</w:t>
            </w: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cash flows provided by (used in) financing activitie</w:t>
            </w:r>
            <w:r>
              <w:rPr>
                <w:rFonts w:ascii="Arial" w:cs="Arial" w:eastAsia="Arial" w:hAnsi="Arial"/>
                <w:sz w:val="18"/>
                <w:szCs w:val="18"/>
                <w:color w:val="auto"/>
              </w:rPr>
              <w: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3,260,405</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(1,322,692)</w:t>
            </w:r>
          </w:p>
        </w:tc>
      </w:tr>
      <w:tr>
        <w:trPr>
          <w:trHeight w:val="216"/>
        </w:trPr>
        <w:tc>
          <w:tcPr>
            <w:tcW w:w="8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Decrease in cash and cash equivalents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(1,120,685)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(3,175,249)</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13,551,372</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9,906,878</w:t>
            </w:r>
          </w:p>
        </w:tc>
      </w:tr>
      <w:tr>
        <w:trPr>
          <w:trHeight w:val="257"/>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12,430,687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6,731,629</w:t>
            </w:r>
          </w:p>
        </w:tc>
      </w:tr>
      <w:tr>
        <w:trPr>
          <w:trHeight w:val="210"/>
        </w:trPr>
        <w:tc>
          <w:tcPr>
            <w:tcW w:w="8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Cash paid for income taxes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3,799,671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1,457,000</w:t>
            </w:r>
          </w:p>
        </w:tc>
      </w:tr>
      <w:tr>
        <w:trPr>
          <w:trHeight w:val="216"/>
        </w:trPr>
        <w:tc>
          <w:tcPr>
            <w:tcW w:w="8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Value of shares deducted from exercise of stock options for payment of withholding taxes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243,662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Kingstone Companies, Inc. (referred to herein as "Kingstone" or the “Company”), through its wholly owned subsidiary, Kingstone Insurance Company (“KICO”), underwrites property and casualty insurance to small businesses and individuals exclusively through independent agents and brokers. KICO is a licensed insurance company in the States of New York, New Jersey, Connecticut, Pennsylvania, Rhode Island and Texas; however, KICO writes substantially all of its business in New York. Through March 31, 2015, Kingstone, through its wholly owned subsidiary, Payments Inc., a licensed premium finance company in the State of New York, received fees for placing contracts with a third party licensed premium finance company (see Note 11 – Premium Finance Placement Fees).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accompanying unaudited condensed consolidated financial statements included in this report have been prepared in accordance with accounting principles generally accepted in the United States (“GAAP”) for interim financial information and the instructions to Securities and Exchange Commission (“SEC”) Form 10-Q and Article 8-03 of SEC Regulation S-X. The principles for condensed interim financial information do not require the inclusion of all the information and footnotes required by generally accepted accounting principles for complete financial statements. Therefore, these condensed financial statements should be read in conjunction with the consolidated financial statements as of and for the year ended December 31, 2015 and notes thereto included in the Company’s Annual Report on Form 10-K filed with the SEC on March 24, 2016.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statement of the Company’s financial position and results of operations. The results of operations for the nine months ended September 30, 2016 may not be indicative of the results that may be expected for the year ending December 31,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Policies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5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estimates and assumptions, which include the reserves for losses and loss adjustment expenses, are subject to considerable estimation error due to the inherent uncertainty in projecting ultimate claim amounts that will be reported and settled over a period of several years. In addition, estimates and assumptions associated with receivables under reinsurance contracts related to contingent ceding commission revenue require considerable judgment by management. On an on-going basis, management reevaluates its assumptions and the methods of calculating its estimates. Actual results may differ significantly from the estimates and assumptions used in preparing the consolidated financial statements.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consist of Kingstone and its wholly owned subsidiaries; (1) KICO and its wholly owned subsidiaries, CMIC Properties, Inc. (“Properties”) and 15 Joys Lane, LLC (“15 Joys Lane”), which together own the land and building from which KICO operates, and (2) Payments Inc. All significant inter-company account balances and transactions have been eliminated in consolidation.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 Revenue from Contracts with Customers (Topic 606). The core principle of the new guidance is that an entity should recognize revenue to reflect the transfer of goods and services to customers in an amount equal to the consideration the entity receives or expects to receive. ASU 2014-09, as amended by ASU 2015-14, ASU 2016-08 and ASU 2016-10, is effective for annual reporting periods beginning after December 15, 2017, including interim periods within that reporting period. Early adoption is permitted for annual reporting periods beginning after December 15, 2016. The Company will apply the guidance using a modified retrospective approach. The Company does not expect these amendments to have a material effect on its consolidated financial statements.</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2015, FASB issued ASU 2015-09, Financial Services – Insurance (Topic 944): Disclosures About Short-Duration Contracts. The updated accounting guidance requires expanded disclosures for insurance entities that issue short-duration contracts. The expanded disclosures are designed to provide additional insight into an insurance entity’s ability to underwrite and anticipate costs associated with insurance claims. The disclosures include information about incurred and paid claims development by accident year, on a net basis after reinsurance, for the number of years claims incurred typically remain outstanding, not to exceed ten years. Each period presented in the disclosure about claims development that precedes the current reporting period is considered required supplementary information. The expanded disclosures also include information about significant changes in methodologies and assumptions, a reconciliation of incurred and paid claims development to the carrying amount of the liability for unpaid claims and claim adjustment expenses, the total amount of incurred but not reported liabilities plus expected development, claims frequency information including the methodology used to determine claim frequency and any changes to that methodology, and claim duration. The guidance is effective for annual periods beginning after December 15, 2015, and interim periods beginning after December 15, 2016, and is to be applied retrospectively. The new guidance affects disclosures only and will have no impact on the Company’s results of operations or financial position.</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2016, FASB issued ASU 2016-01 – Financial Instruments – Overall (Subtopic 825-10): Recognition and Measurement of Financial Assets and Financial Liabilities.” The updated accounting guidance requires changes to the reporting model for financial instruments. The primary change for the Company is expected to be the requirement for equity investments (except those accounted for under the equity method of accounting or those that result in consolidation of the investee) to be measured at fair value with changes in fair value recognized in net income. The updated guidance is effective for fiscal years beginning after December 15, 2017, including interim periods within those fiscal years. The Company is currently evaluating the effect the updated guidance will have on its consolidated financial statements.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2016, FASB issued ASU 2016-02 – Leases (Topic 842). Under this ASU, lessees will recognize a right-of-use asset and corresponding liability on the balance sheet for all leases, except for leases covering a period of fewer than 12 months. The liability is to be measured as the present value of the future minimum lease payments taking into account renewal options if applicable plus initial incremental direct costs such as commissions. The minimum payments are discounted using the rate implicit in the lease or, if not known, the lessee’s incremental borrowing rate. The lessee’s income statement treatment for leases will vary depending on the nature of what is being leased. A financing type lease is present when, among other matters, the asset is being leased for a substantial portion of its economic life or has an end-of-term title transfer or a bargain purchase option as in today’s practice. The payment of the liability set up for such leases will be apportioned between interest and principal; the right-of use asset will be generally amortized on a straight-line basis. If the lease does not qualify as a financing type lease, it will be accounted for on the income statement as rent on a straight-line basis. The guidance will be effective for the Company for reporting periods beginning after December 15, 2018. The Company will apply the guidance using a modified retrospective approach. Early application is permitted. The Company is evaluating whether the adoption of ASU 2016-02 will have a significant impact on its consolidated results of operations, financial position or cash flows.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9" w:name="page10"/>
    <w:bookmarkEnd w:id="9"/>
    <w:p>
      <w:pPr>
        <w:jc w:val="both"/>
        <w:spacing w:after="0" w:line="288" w:lineRule="auto"/>
        <w:rPr>
          <w:sz w:val="20"/>
          <w:szCs w:val="20"/>
          <w:color w:val="auto"/>
        </w:rPr>
      </w:pPr>
      <w:r>
        <w:rPr>
          <w:rFonts w:ascii="Arial" w:cs="Arial" w:eastAsia="Arial" w:hAnsi="Arial"/>
          <w:sz w:val="16"/>
          <w:szCs w:val="16"/>
          <w:color w:val="auto"/>
        </w:rPr>
        <w:t>In January 2016, FASB issued ASU 2016-09 – Compensation - Stock Compensation (Topic 718): Improvements to Employee Share-Based Payment Accounting. The amendments are intended to improve the accounting for employee share-based payments. These amendments to current accounting guidance will require all income tax effects of awards to be recognized in the income statement when the awards vest or are settled rather than through additional paid in capital in the equity section of the balance sheet. The amendments also permit an employer to repurchase an employee’s shares at the maximum statutory tax rate in the employee’s applicable jurisdiction for tax withholding purposes without triggering liability accounting. Finally, the amendments permit entities to make a one-time accounting policy election to account for forfeitures as they occur. Specific adoption methods depend on the issue being adopted and range from prospective to retrospective adoption. The amendments are effective for public companies for annual periods beginning after December 15, 2016, and interim periods within those annual periods. Early adoption is permitted, however all amendments must be adopted in the same period. The Company is evaluating whether the adoption of ASU 2016-09 will have a significant impact on its consolidated results of operations, financial position or cash flows.</w:t>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2016, FASB issued ASU 2016-13 - Financial Instruments - Credit Losses (Topic 326): Measurement of Credit Losses on Financial Instruments.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on January 1, 2020. The Company is currently evaluating the effect the updated guidance will have on its consolidated financial statements.</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2016, FASB issued ASU 2016-15 - Statement of Cash Flows (Topic 230): Classification of Certain Cash Receipts and Cash Payments. The revised ASU provides accounting guidance for eight specific cash flow issues. FASB issued the standard to clarify areas where GAAP has been either unclear or lacking in specific guidance. ASU 2016-15 will be effective for the Company for reporting periods beginning after December 15, 2018. Early adoption is permitted, including adoption in an interim period. The Company is currently evaluating the effect the updated guidance will have on its consolidated statement of cash flows.</w:t>
      </w:r>
    </w:p>
    <w:p>
      <w:pPr>
        <w:spacing w:after="0" w:line="22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 Investments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Available-for-Sale Securities</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amortized cost and fair value of investments in available-for-sale fixed-maturity securities and equity securities as of September 30, 2016 and December 31, 2015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675"/>
              <w:spacing w:after="0"/>
              <w:rPr>
                <w:sz w:val="20"/>
                <w:szCs w:val="20"/>
                <w:color w:val="auto"/>
              </w:rPr>
            </w:pPr>
            <w:r>
              <w:rPr>
                <w:rFonts w:ascii="Arial" w:cs="Arial" w:eastAsia="Arial" w:hAnsi="Arial"/>
                <w:sz w:val="15"/>
                <w:szCs w:val="15"/>
                <w:b w:val="1"/>
                <w:bCs w:val="1"/>
                <w:color w:val="auto"/>
              </w:rPr>
              <w:t>September 30, 2016</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center"/>
              <w:ind w:right="177"/>
              <w:spacing w:after="0"/>
              <w:rPr>
                <w:sz w:val="20"/>
                <w:szCs w:val="20"/>
                <w:color w:val="auto"/>
              </w:rPr>
            </w:pPr>
            <w:r>
              <w:rPr>
                <w:rFonts w:ascii="Arial" w:cs="Arial" w:eastAsia="Arial" w:hAnsi="Arial"/>
                <w:sz w:val="15"/>
                <w:szCs w:val="15"/>
                <w:b w:val="1"/>
                <w:bCs w:val="1"/>
                <w:color w:val="auto"/>
                <w:w w:val="90"/>
              </w:rPr>
              <w:t>Net</w:t>
            </w:r>
          </w:p>
        </w:tc>
        <w:tc>
          <w:tcPr>
            <w:tcW w:w="0" w:type="dxa"/>
            <w:vAlign w:val="bottom"/>
          </w:tcPr>
          <w:p>
            <w:pPr>
              <w:spacing w:after="0"/>
              <w:rPr>
                <w:sz w:val="1"/>
                <w:szCs w:val="1"/>
                <w:color w:val="auto"/>
              </w:rPr>
            </w:pPr>
          </w:p>
        </w:tc>
      </w:tr>
      <w:tr>
        <w:trPr>
          <w:trHeight w:val="206"/>
        </w:trPr>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center"/>
              <w:ind w:right="176"/>
              <w:spacing w:after="0"/>
              <w:rPr>
                <w:sz w:val="20"/>
                <w:szCs w:val="20"/>
                <w:color w:val="auto"/>
              </w:rPr>
            </w:pPr>
            <w:r>
              <w:rPr>
                <w:rFonts w:ascii="Arial" w:cs="Arial" w:eastAsia="Arial" w:hAnsi="Arial"/>
                <w:sz w:val="15"/>
                <w:szCs w:val="15"/>
                <w:b w:val="1"/>
                <w:bCs w:val="1"/>
                <w:color w:val="auto"/>
                <w:w w:val="87"/>
              </w:rPr>
              <w:t>Cost or</w:t>
            </w:r>
          </w:p>
        </w:tc>
        <w:tc>
          <w:tcPr>
            <w:tcW w:w="300" w:type="dxa"/>
            <w:vAlign w:val="bottom"/>
          </w:tcPr>
          <w:p>
            <w:pPr>
              <w:spacing w:after="0"/>
              <w:rPr>
                <w:sz w:val="17"/>
                <w:szCs w:val="17"/>
                <w:color w:val="auto"/>
              </w:rPr>
            </w:pPr>
          </w:p>
        </w:tc>
        <w:tc>
          <w:tcPr>
            <w:tcW w:w="1080" w:type="dxa"/>
            <w:vAlign w:val="bottom"/>
          </w:tcPr>
          <w:p>
            <w:pPr>
              <w:jc w:val="center"/>
              <w:ind w:right="176"/>
              <w:spacing w:after="0"/>
              <w:rPr>
                <w:sz w:val="20"/>
                <w:szCs w:val="20"/>
                <w:color w:val="auto"/>
              </w:rPr>
            </w:pPr>
            <w:r>
              <w:rPr>
                <w:rFonts w:ascii="Arial" w:cs="Arial" w:eastAsia="Arial" w:hAnsi="Arial"/>
                <w:sz w:val="15"/>
                <w:szCs w:val="15"/>
                <w:b w:val="1"/>
                <w:bCs w:val="1"/>
                <w:color w:val="auto"/>
                <w:w w:val="87"/>
              </w:rPr>
              <w:t>Gross</w:t>
            </w: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5"/>
                <w:szCs w:val="15"/>
                <w:b w:val="1"/>
                <w:bCs w:val="1"/>
                <w:color w:val="auto"/>
              </w:rPr>
              <w:t>Gross Unrealized Losses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center"/>
              <w:ind w:right="157"/>
              <w:spacing w:after="0"/>
              <w:rPr>
                <w:sz w:val="20"/>
                <w:szCs w:val="20"/>
                <w:color w:val="auto"/>
              </w:rPr>
            </w:pPr>
            <w:r>
              <w:rPr>
                <w:rFonts w:ascii="Arial" w:cs="Arial" w:eastAsia="Arial" w:hAnsi="Arial"/>
                <w:sz w:val="15"/>
                <w:szCs w:val="15"/>
                <w:b w:val="1"/>
                <w:bCs w:val="1"/>
                <w:color w:val="auto"/>
                <w:w w:val="89"/>
              </w:rPr>
              <w:t>Unrealized</w:t>
            </w:r>
          </w:p>
        </w:tc>
        <w:tc>
          <w:tcPr>
            <w:tcW w:w="0" w:type="dxa"/>
            <w:vAlign w:val="bottom"/>
          </w:tcPr>
          <w:p>
            <w:pPr>
              <w:spacing w:after="0"/>
              <w:rPr>
                <w:sz w:val="1"/>
                <w:szCs w:val="1"/>
                <w:color w:val="auto"/>
              </w:rPr>
            </w:pPr>
          </w:p>
        </w:tc>
      </w:tr>
      <w:tr>
        <w:trPr>
          <w:trHeight w:val="233"/>
        </w:trPr>
        <w:tc>
          <w:tcPr>
            <w:tcW w:w="32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Categor</w:t>
            </w:r>
            <w:r>
              <w:rPr>
                <w:rFonts w:ascii="Arial" w:cs="Arial" w:eastAsia="Arial" w:hAnsi="Arial"/>
                <w:sz w:val="18"/>
                <w:szCs w:val="18"/>
                <w:color w:val="auto"/>
              </w:rPr>
              <w:t>y</w:t>
            </w:r>
          </w:p>
        </w:tc>
        <w:tc>
          <w:tcPr>
            <w:tcW w:w="300" w:type="dxa"/>
            <w:vAlign w:val="bottom"/>
          </w:tcPr>
          <w:p>
            <w:pPr>
              <w:spacing w:after="0"/>
              <w:rPr>
                <w:sz w:val="20"/>
                <w:szCs w:val="20"/>
                <w:color w:val="auto"/>
              </w:rPr>
            </w:pPr>
          </w:p>
        </w:tc>
        <w:tc>
          <w:tcPr>
            <w:tcW w:w="1080" w:type="dxa"/>
            <w:vAlign w:val="bottom"/>
          </w:tcPr>
          <w:p>
            <w:pPr>
              <w:jc w:val="center"/>
              <w:ind w:right="156"/>
              <w:spacing w:after="0"/>
              <w:rPr>
                <w:sz w:val="20"/>
                <w:szCs w:val="20"/>
                <w:color w:val="auto"/>
              </w:rPr>
            </w:pPr>
            <w:r>
              <w:rPr>
                <w:rFonts w:ascii="Arial" w:cs="Arial" w:eastAsia="Arial" w:hAnsi="Arial"/>
                <w:sz w:val="15"/>
                <w:szCs w:val="15"/>
                <w:b w:val="1"/>
                <w:bCs w:val="1"/>
                <w:color w:val="auto"/>
                <w:w w:val="92"/>
              </w:rPr>
              <w:t>Amortized</w:t>
            </w:r>
          </w:p>
        </w:tc>
        <w:tc>
          <w:tcPr>
            <w:tcW w:w="300" w:type="dxa"/>
            <w:vAlign w:val="bottom"/>
          </w:tcPr>
          <w:p>
            <w:pPr>
              <w:spacing w:after="0"/>
              <w:rPr>
                <w:sz w:val="20"/>
                <w:szCs w:val="20"/>
                <w:color w:val="auto"/>
              </w:rPr>
            </w:pPr>
          </w:p>
        </w:tc>
        <w:tc>
          <w:tcPr>
            <w:tcW w:w="1080" w:type="dxa"/>
            <w:vAlign w:val="bottom"/>
          </w:tcPr>
          <w:p>
            <w:pPr>
              <w:jc w:val="center"/>
              <w:ind w:right="176"/>
              <w:spacing w:after="0"/>
              <w:rPr>
                <w:sz w:val="20"/>
                <w:szCs w:val="20"/>
                <w:color w:val="auto"/>
              </w:rPr>
            </w:pPr>
            <w:r>
              <w:rPr>
                <w:rFonts w:ascii="Arial" w:cs="Arial" w:eastAsia="Arial" w:hAnsi="Arial"/>
                <w:sz w:val="15"/>
                <w:szCs w:val="15"/>
                <w:b w:val="1"/>
                <w:bCs w:val="1"/>
                <w:color w:val="auto"/>
                <w:w w:val="92"/>
              </w:rPr>
              <w:t>Unrealized</w:t>
            </w:r>
          </w:p>
        </w:tc>
        <w:tc>
          <w:tcPr>
            <w:tcW w:w="260" w:type="dxa"/>
            <w:vAlign w:val="bottom"/>
          </w:tcPr>
          <w:p>
            <w:pPr>
              <w:spacing w:after="0"/>
              <w:rPr>
                <w:sz w:val="20"/>
                <w:szCs w:val="20"/>
                <w:color w:val="auto"/>
              </w:rPr>
            </w:pPr>
          </w:p>
        </w:tc>
        <w:tc>
          <w:tcPr>
            <w:tcW w:w="1140" w:type="dxa"/>
            <w:vAlign w:val="bottom"/>
          </w:tcPr>
          <w:p>
            <w:pPr>
              <w:jc w:val="right"/>
              <w:ind w:right="217"/>
              <w:spacing w:after="0"/>
              <w:rPr>
                <w:sz w:val="20"/>
                <w:szCs w:val="20"/>
                <w:color w:val="auto"/>
              </w:rPr>
            </w:pPr>
            <w:r>
              <w:rPr>
                <w:rFonts w:ascii="Arial" w:cs="Arial" w:eastAsia="Arial" w:hAnsi="Arial"/>
                <w:sz w:val="15"/>
                <w:szCs w:val="15"/>
                <w:b w:val="1"/>
                <w:bCs w:val="1"/>
                <w:color w:val="auto"/>
                <w:w w:val="90"/>
              </w:rPr>
              <w:t>Less than 12</w:t>
            </w:r>
          </w:p>
        </w:tc>
        <w:tc>
          <w:tcPr>
            <w:tcW w:w="220" w:type="dxa"/>
            <w:vAlign w:val="bottom"/>
          </w:tcPr>
          <w:p>
            <w:pPr>
              <w:spacing w:after="0"/>
              <w:rPr>
                <w:sz w:val="20"/>
                <w:szCs w:val="20"/>
                <w:color w:val="auto"/>
              </w:rPr>
            </w:pPr>
          </w:p>
        </w:tc>
        <w:tc>
          <w:tcPr>
            <w:tcW w:w="1120" w:type="dxa"/>
            <w:vAlign w:val="bottom"/>
          </w:tcPr>
          <w:p>
            <w:pPr>
              <w:jc w:val="right"/>
              <w:ind w:right="155"/>
              <w:spacing w:after="0"/>
              <w:rPr>
                <w:sz w:val="20"/>
                <w:szCs w:val="20"/>
                <w:color w:val="auto"/>
              </w:rPr>
            </w:pPr>
            <w:r>
              <w:rPr>
                <w:rFonts w:ascii="Arial" w:cs="Arial" w:eastAsia="Arial" w:hAnsi="Arial"/>
                <w:sz w:val="15"/>
                <w:szCs w:val="15"/>
                <w:b w:val="1"/>
                <w:bCs w:val="1"/>
                <w:color w:val="auto"/>
                <w:w w:val="92"/>
              </w:rPr>
              <w:t>More than 12</w:t>
            </w:r>
          </w:p>
        </w:tc>
        <w:tc>
          <w:tcPr>
            <w:tcW w:w="320" w:type="dxa"/>
            <w:vAlign w:val="bottom"/>
          </w:tcPr>
          <w:p>
            <w:pPr>
              <w:spacing w:after="0"/>
              <w:rPr>
                <w:sz w:val="20"/>
                <w:szCs w:val="20"/>
                <w:color w:val="auto"/>
              </w:rPr>
            </w:pPr>
          </w:p>
        </w:tc>
        <w:tc>
          <w:tcPr>
            <w:tcW w:w="1040" w:type="dxa"/>
            <w:vAlign w:val="bottom"/>
          </w:tcPr>
          <w:p>
            <w:pPr>
              <w:jc w:val="right"/>
              <w:ind w:right="455"/>
              <w:spacing w:after="0"/>
              <w:rPr>
                <w:sz w:val="20"/>
                <w:szCs w:val="20"/>
                <w:color w:val="auto"/>
              </w:rPr>
            </w:pPr>
            <w:r>
              <w:rPr>
                <w:rFonts w:ascii="Arial" w:cs="Arial" w:eastAsia="Arial" w:hAnsi="Arial"/>
                <w:sz w:val="15"/>
                <w:szCs w:val="15"/>
                <w:b w:val="1"/>
                <w:bCs w:val="1"/>
                <w:color w:val="auto"/>
              </w:rPr>
              <w:t>Fair</w:t>
            </w:r>
          </w:p>
        </w:tc>
        <w:tc>
          <w:tcPr>
            <w:tcW w:w="280" w:type="dxa"/>
            <w:vAlign w:val="bottom"/>
          </w:tcPr>
          <w:p>
            <w:pPr>
              <w:spacing w:after="0"/>
              <w:rPr>
                <w:sz w:val="20"/>
                <w:szCs w:val="20"/>
                <w:color w:val="auto"/>
              </w:rPr>
            </w:pPr>
          </w:p>
        </w:tc>
        <w:tc>
          <w:tcPr>
            <w:tcW w:w="1080" w:type="dxa"/>
            <w:vAlign w:val="bottom"/>
          </w:tcPr>
          <w:p>
            <w:pPr>
              <w:jc w:val="center"/>
              <w:ind w:right="157"/>
              <w:spacing w:after="0"/>
              <w:rPr>
                <w:sz w:val="20"/>
                <w:szCs w:val="20"/>
                <w:color w:val="auto"/>
              </w:rPr>
            </w:pPr>
            <w:r>
              <w:rPr>
                <w:rFonts w:ascii="Arial" w:cs="Arial" w:eastAsia="Arial" w:hAnsi="Arial"/>
                <w:sz w:val="15"/>
                <w:szCs w:val="15"/>
                <w:b w:val="1"/>
                <w:bCs w:val="1"/>
                <w:color w:val="auto"/>
                <w:w w:val="87"/>
              </w:rPr>
              <w:t>Gains/</w:t>
            </w:r>
          </w:p>
        </w:tc>
        <w:tc>
          <w:tcPr>
            <w:tcW w:w="0" w:type="dxa"/>
            <w:vAlign w:val="bottom"/>
          </w:tcPr>
          <w:p>
            <w:pPr>
              <w:spacing w:after="0"/>
              <w:rPr>
                <w:sz w:val="1"/>
                <w:szCs w:val="1"/>
                <w:color w:val="auto"/>
              </w:rPr>
            </w:pPr>
          </w:p>
        </w:tc>
      </w:tr>
      <w:tr>
        <w:trPr>
          <w:trHeight w:val="206"/>
        </w:trPr>
        <w:tc>
          <w:tcPr>
            <w:tcW w:w="32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56"/>
              <w:spacing w:after="0"/>
              <w:rPr>
                <w:sz w:val="20"/>
                <w:szCs w:val="20"/>
                <w:color w:val="auto"/>
              </w:rPr>
            </w:pPr>
            <w:r>
              <w:rPr>
                <w:rFonts w:ascii="Arial" w:cs="Arial" w:eastAsia="Arial" w:hAnsi="Arial"/>
                <w:sz w:val="15"/>
                <w:szCs w:val="15"/>
                <w:b w:val="1"/>
                <w:bCs w:val="1"/>
                <w:color w:val="auto"/>
                <w:w w:val="83"/>
              </w:rPr>
              <w:t>Cost</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76"/>
              <w:spacing w:after="0"/>
              <w:rPr>
                <w:sz w:val="20"/>
                <w:szCs w:val="20"/>
                <w:color w:val="auto"/>
              </w:rPr>
            </w:pPr>
            <w:r>
              <w:rPr>
                <w:rFonts w:ascii="Arial" w:cs="Arial" w:eastAsia="Arial" w:hAnsi="Arial"/>
                <w:sz w:val="15"/>
                <w:szCs w:val="15"/>
                <w:b w:val="1"/>
                <w:bCs w:val="1"/>
                <w:color w:val="auto"/>
                <w:w w:val="91"/>
              </w:rPr>
              <w:t>Gains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Months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Months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Value</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57"/>
              <w:spacing w:after="0"/>
              <w:rPr>
                <w:sz w:val="20"/>
                <w:szCs w:val="20"/>
                <w:color w:val="auto"/>
              </w:rPr>
            </w:pPr>
            <w:r>
              <w:rPr>
                <w:rFonts w:ascii="Arial" w:cs="Arial" w:eastAsia="Arial" w:hAnsi="Arial"/>
                <w:sz w:val="15"/>
                <w:szCs w:val="15"/>
                <w:b w:val="1"/>
                <w:bCs w:val="1"/>
                <w:color w:val="auto"/>
                <w:w w:val="84"/>
              </w:rPr>
              <w:t>(Losses</w:t>
            </w:r>
            <w:r>
              <w:rPr>
                <w:rFonts w:ascii="Arial" w:cs="Arial" w:eastAsia="Arial" w:hAnsi="Arial"/>
                <w:sz w:val="15"/>
                <w:szCs w:val="15"/>
                <w:color w:val="auto"/>
                <w:w w:val="84"/>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Fixed-Maturity Securities: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Political subdivisions of States,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Territories and Possessions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8,094,036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465,453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(4,564)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8,554,925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460,889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 bonds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Industrial and miscellaneous</w:t>
            </w: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51,884,984</w:t>
            </w: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1,613,713</w:t>
            </w:r>
          </w:p>
        </w:tc>
        <w:tc>
          <w:tcPr>
            <w:tcW w:w="26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(45,063)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(47,332)</w:t>
            </w:r>
          </w:p>
        </w:tc>
        <w:tc>
          <w:tcPr>
            <w:tcW w:w="32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w w:val="97"/>
              </w:rPr>
              <w:t>53,406,302</w:t>
            </w: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1,521,318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Residential mortgage backed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18,938,428</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243,487</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(54,967)</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(9,222)</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7"/>
              </w:rPr>
              <w:t>19,117,726</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179,298</w:t>
            </w:r>
          </w:p>
        </w:tc>
        <w:tc>
          <w:tcPr>
            <w:tcW w:w="0" w:type="dxa"/>
            <w:vAlign w:val="bottom"/>
          </w:tcPr>
          <w:p>
            <w:pPr>
              <w:spacing w:after="0"/>
              <w:rPr>
                <w:sz w:val="1"/>
                <w:szCs w:val="1"/>
                <w:color w:val="auto"/>
              </w:rPr>
            </w:pPr>
          </w:p>
        </w:tc>
      </w:tr>
      <w:tr>
        <w:trPr>
          <w:trHeight w:val="223"/>
        </w:trPr>
        <w:tc>
          <w:tcPr>
            <w:tcW w:w="3200" w:type="dxa"/>
            <w:vAlign w:val="bottom"/>
          </w:tcPr>
          <w:p>
            <w:pPr>
              <w:ind w:left="40"/>
              <w:spacing w:after="0"/>
              <w:rPr>
                <w:sz w:val="20"/>
                <w:szCs w:val="20"/>
                <w:color w:val="auto"/>
              </w:rPr>
            </w:pPr>
            <w:r>
              <w:rPr>
                <w:rFonts w:ascii="Arial" w:cs="Arial" w:eastAsia="Arial" w:hAnsi="Arial"/>
                <w:sz w:val="18"/>
                <w:szCs w:val="18"/>
                <w:color w:val="auto"/>
              </w:rPr>
              <w:t>Total fixed-maturity securities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78,917,448</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2,322,653</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(104,594)</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(56,554)</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97"/>
              </w:rPr>
              <w:t>81,078,953</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2,161,505</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b w:val="1"/>
                <w:bCs w:val="1"/>
                <w:color w:val="auto"/>
              </w:rPr>
              <w:t>Equity Securities: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Preferred stocks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6,107,947</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90,696</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(35,823)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6,106,749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23"/>
        </w:trPr>
        <w:tc>
          <w:tcPr>
            <w:tcW w:w="3200" w:type="dxa"/>
            <w:vAlign w:val="bottom"/>
          </w:tcPr>
          <w:p>
            <w:pPr>
              <w:ind w:left="60"/>
              <w:spacing w:after="0"/>
              <w:rPr>
                <w:sz w:val="20"/>
                <w:szCs w:val="20"/>
                <w:color w:val="auto"/>
              </w:rPr>
            </w:pPr>
            <w:r>
              <w:rPr>
                <w:rFonts w:ascii="Arial" w:cs="Arial" w:eastAsia="Arial" w:hAnsi="Arial"/>
                <w:sz w:val="18"/>
                <w:szCs w:val="18"/>
                <w:color w:val="auto"/>
              </w:rPr>
              <w:t>Common stocks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3,870,190</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500,681</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(113,918)</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4,256,953</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386,763</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9,978,137</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591,377</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(149,741)</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(56,071)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7"/>
              </w:rPr>
              <w:t>10,363,702</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385,565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88,895,585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2,914,030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(254,335)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(112,625)</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7"/>
              </w:rPr>
              <w:t>91,442,655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2,547,070</w:t>
            </w:r>
          </w:p>
        </w:tc>
        <w:tc>
          <w:tcPr>
            <w:tcW w:w="0" w:type="dxa"/>
            <w:vAlign w:val="bottom"/>
          </w:tcPr>
          <w:p>
            <w:pPr>
              <w:spacing w:after="0"/>
              <w:rPr>
                <w:sz w:val="1"/>
                <w:szCs w:val="1"/>
                <w:color w:val="auto"/>
              </w:rPr>
            </w:pPr>
          </w:p>
        </w:tc>
      </w:tr>
      <w:tr>
        <w:trPr>
          <w:trHeight w:val="614"/>
        </w:trPr>
        <w:tc>
          <w:tcPr>
            <w:tcW w:w="3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5"/>
                <w:szCs w:val="15"/>
                <w:b w:val="1"/>
                <w:bCs w:val="1"/>
                <w:color w:val="auto"/>
              </w:rPr>
              <w:t>December 31, 2015</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49"/>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177"/>
              <w:spacing w:after="0" w:line="149" w:lineRule="exact"/>
              <w:rPr>
                <w:sz w:val="20"/>
                <w:szCs w:val="20"/>
                <w:color w:val="auto"/>
              </w:rPr>
            </w:pPr>
            <w:r>
              <w:rPr>
                <w:rFonts w:ascii="Arial" w:cs="Arial" w:eastAsia="Arial" w:hAnsi="Arial"/>
                <w:sz w:val="15"/>
                <w:szCs w:val="15"/>
                <w:b w:val="1"/>
                <w:bCs w:val="1"/>
                <w:color w:val="auto"/>
                <w:w w:val="90"/>
              </w:rPr>
              <w:t>Net</w:t>
            </w:r>
          </w:p>
        </w:tc>
      </w:tr>
      <w:tr>
        <w:trPr>
          <w:trHeight w:val="182"/>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76"/>
              <w:spacing w:after="0"/>
              <w:rPr>
                <w:sz w:val="20"/>
                <w:szCs w:val="20"/>
                <w:color w:val="auto"/>
              </w:rPr>
            </w:pPr>
            <w:r>
              <w:rPr>
                <w:rFonts w:ascii="Arial" w:cs="Arial" w:eastAsia="Arial" w:hAnsi="Arial"/>
                <w:sz w:val="15"/>
                <w:szCs w:val="15"/>
                <w:b w:val="1"/>
                <w:bCs w:val="1"/>
                <w:color w:val="auto"/>
                <w:w w:val="87"/>
              </w:rPr>
              <w:t>Cost or</w:t>
            </w:r>
          </w:p>
        </w:tc>
        <w:tc>
          <w:tcPr>
            <w:tcW w:w="300" w:type="dxa"/>
            <w:vAlign w:val="bottom"/>
          </w:tcPr>
          <w:p>
            <w:pPr>
              <w:spacing w:after="0"/>
              <w:rPr>
                <w:sz w:val="15"/>
                <w:szCs w:val="15"/>
                <w:color w:val="auto"/>
              </w:rPr>
            </w:pPr>
          </w:p>
        </w:tc>
        <w:tc>
          <w:tcPr>
            <w:tcW w:w="1080" w:type="dxa"/>
            <w:vAlign w:val="bottom"/>
          </w:tcPr>
          <w:p>
            <w:pPr>
              <w:jc w:val="center"/>
              <w:ind w:right="176"/>
              <w:spacing w:after="0"/>
              <w:rPr>
                <w:sz w:val="20"/>
                <w:szCs w:val="20"/>
                <w:color w:val="auto"/>
              </w:rPr>
            </w:pPr>
            <w:r>
              <w:rPr>
                <w:rFonts w:ascii="Arial" w:cs="Arial" w:eastAsia="Arial" w:hAnsi="Arial"/>
                <w:sz w:val="15"/>
                <w:szCs w:val="15"/>
                <w:b w:val="1"/>
                <w:bCs w:val="1"/>
                <w:color w:val="auto"/>
                <w:w w:val="87"/>
              </w:rPr>
              <w:t>Gross</w:t>
            </w:r>
          </w:p>
        </w:tc>
        <w:tc>
          <w:tcPr>
            <w:tcW w:w="2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5"/>
                <w:szCs w:val="15"/>
                <w:b w:val="1"/>
                <w:bCs w:val="1"/>
                <w:color w:val="auto"/>
              </w:rPr>
              <w:t>Gross Unrealized Losses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center"/>
              <w:ind w:right="157"/>
              <w:spacing w:after="0"/>
              <w:rPr>
                <w:sz w:val="20"/>
                <w:szCs w:val="20"/>
                <w:color w:val="auto"/>
              </w:rPr>
            </w:pPr>
            <w:r>
              <w:rPr>
                <w:rFonts w:ascii="Arial" w:cs="Arial" w:eastAsia="Arial" w:hAnsi="Arial"/>
                <w:sz w:val="15"/>
                <w:szCs w:val="15"/>
                <w:b w:val="1"/>
                <w:bCs w:val="1"/>
                <w:color w:val="auto"/>
                <w:w w:val="89"/>
              </w:rPr>
              <w:t>Unrealized</w:t>
            </w:r>
          </w:p>
        </w:tc>
      </w:tr>
      <w:tr>
        <w:trPr>
          <w:trHeight w:val="149"/>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56"/>
              <w:spacing w:after="0" w:line="149" w:lineRule="exact"/>
              <w:rPr>
                <w:sz w:val="20"/>
                <w:szCs w:val="20"/>
                <w:color w:val="auto"/>
              </w:rPr>
            </w:pPr>
            <w:r>
              <w:rPr>
                <w:rFonts w:ascii="Arial" w:cs="Arial" w:eastAsia="Arial" w:hAnsi="Arial"/>
                <w:sz w:val="15"/>
                <w:szCs w:val="15"/>
                <w:b w:val="1"/>
                <w:bCs w:val="1"/>
                <w:color w:val="auto"/>
                <w:w w:val="92"/>
              </w:rPr>
              <w:t>Amortized</w:t>
            </w:r>
          </w:p>
        </w:tc>
        <w:tc>
          <w:tcPr>
            <w:tcW w:w="300" w:type="dxa"/>
            <w:vAlign w:val="bottom"/>
          </w:tcPr>
          <w:p>
            <w:pPr>
              <w:spacing w:after="0"/>
              <w:rPr>
                <w:sz w:val="12"/>
                <w:szCs w:val="12"/>
                <w:color w:val="auto"/>
              </w:rPr>
            </w:pPr>
          </w:p>
        </w:tc>
        <w:tc>
          <w:tcPr>
            <w:tcW w:w="1080" w:type="dxa"/>
            <w:vAlign w:val="bottom"/>
          </w:tcPr>
          <w:p>
            <w:pPr>
              <w:jc w:val="center"/>
              <w:ind w:right="176"/>
              <w:spacing w:after="0" w:line="149" w:lineRule="exact"/>
              <w:rPr>
                <w:sz w:val="20"/>
                <w:szCs w:val="20"/>
                <w:color w:val="auto"/>
              </w:rPr>
            </w:pPr>
            <w:r>
              <w:rPr>
                <w:rFonts w:ascii="Arial" w:cs="Arial" w:eastAsia="Arial" w:hAnsi="Arial"/>
                <w:sz w:val="15"/>
                <w:szCs w:val="15"/>
                <w:b w:val="1"/>
                <w:bCs w:val="1"/>
                <w:color w:val="auto"/>
                <w:w w:val="92"/>
              </w:rPr>
              <w:t>Unrealized</w:t>
            </w:r>
          </w:p>
        </w:tc>
        <w:tc>
          <w:tcPr>
            <w:tcW w:w="260" w:type="dxa"/>
            <w:vAlign w:val="bottom"/>
          </w:tcPr>
          <w:p>
            <w:pPr>
              <w:spacing w:after="0"/>
              <w:rPr>
                <w:sz w:val="12"/>
                <w:szCs w:val="12"/>
                <w:color w:val="auto"/>
              </w:rPr>
            </w:pPr>
          </w:p>
        </w:tc>
        <w:tc>
          <w:tcPr>
            <w:tcW w:w="1140" w:type="dxa"/>
            <w:vAlign w:val="bottom"/>
          </w:tcPr>
          <w:p>
            <w:pPr>
              <w:jc w:val="right"/>
              <w:ind w:right="217"/>
              <w:spacing w:after="0" w:line="149" w:lineRule="exact"/>
              <w:rPr>
                <w:sz w:val="20"/>
                <w:szCs w:val="20"/>
                <w:color w:val="auto"/>
              </w:rPr>
            </w:pPr>
            <w:r>
              <w:rPr>
                <w:rFonts w:ascii="Arial" w:cs="Arial" w:eastAsia="Arial" w:hAnsi="Arial"/>
                <w:sz w:val="15"/>
                <w:szCs w:val="15"/>
                <w:b w:val="1"/>
                <w:bCs w:val="1"/>
                <w:color w:val="auto"/>
                <w:w w:val="90"/>
              </w:rPr>
              <w:t>Less than 12</w:t>
            </w:r>
          </w:p>
        </w:tc>
        <w:tc>
          <w:tcPr>
            <w:tcW w:w="220" w:type="dxa"/>
            <w:vAlign w:val="bottom"/>
          </w:tcPr>
          <w:p>
            <w:pPr>
              <w:spacing w:after="0"/>
              <w:rPr>
                <w:sz w:val="12"/>
                <w:szCs w:val="12"/>
                <w:color w:val="auto"/>
              </w:rPr>
            </w:pPr>
          </w:p>
        </w:tc>
        <w:tc>
          <w:tcPr>
            <w:tcW w:w="1120" w:type="dxa"/>
            <w:vAlign w:val="bottom"/>
          </w:tcPr>
          <w:p>
            <w:pPr>
              <w:jc w:val="right"/>
              <w:ind w:right="155"/>
              <w:spacing w:after="0" w:line="149" w:lineRule="exact"/>
              <w:rPr>
                <w:sz w:val="20"/>
                <w:szCs w:val="20"/>
                <w:color w:val="auto"/>
              </w:rPr>
            </w:pPr>
            <w:r>
              <w:rPr>
                <w:rFonts w:ascii="Arial" w:cs="Arial" w:eastAsia="Arial" w:hAnsi="Arial"/>
                <w:sz w:val="15"/>
                <w:szCs w:val="15"/>
                <w:b w:val="1"/>
                <w:bCs w:val="1"/>
                <w:color w:val="auto"/>
                <w:w w:val="92"/>
              </w:rPr>
              <w:t>More than 12</w:t>
            </w:r>
          </w:p>
        </w:tc>
        <w:tc>
          <w:tcPr>
            <w:tcW w:w="320" w:type="dxa"/>
            <w:vAlign w:val="bottom"/>
          </w:tcPr>
          <w:p>
            <w:pPr>
              <w:spacing w:after="0"/>
              <w:rPr>
                <w:sz w:val="12"/>
                <w:szCs w:val="12"/>
                <w:color w:val="auto"/>
              </w:rPr>
            </w:pPr>
          </w:p>
        </w:tc>
        <w:tc>
          <w:tcPr>
            <w:tcW w:w="1040" w:type="dxa"/>
            <w:vAlign w:val="bottom"/>
          </w:tcPr>
          <w:p>
            <w:pPr>
              <w:jc w:val="right"/>
              <w:ind w:right="455"/>
              <w:spacing w:after="0" w:line="149" w:lineRule="exact"/>
              <w:rPr>
                <w:sz w:val="20"/>
                <w:szCs w:val="20"/>
                <w:color w:val="auto"/>
              </w:rPr>
            </w:pPr>
            <w:r>
              <w:rPr>
                <w:rFonts w:ascii="Arial" w:cs="Arial" w:eastAsia="Arial" w:hAnsi="Arial"/>
                <w:sz w:val="15"/>
                <w:szCs w:val="15"/>
                <w:b w:val="1"/>
                <w:bCs w:val="1"/>
                <w:color w:val="auto"/>
              </w:rPr>
              <w:t>Fair</w:t>
            </w:r>
          </w:p>
        </w:tc>
        <w:tc>
          <w:tcPr>
            <w:tcW w:w="280" w:type="dxa"/>
            <w:vAlign w:val="bottom"/>
          </w:tcPr>
          <w:p>
            <w:pPr>
              <w:spacing w:after="0"/>
              <w:rPr>
                <w:sz w:val="12"/>
                <w:szCs w:val="12"/>
                <w:color w:val="auto"/>
              </w:rPr>
            </w:pPr>
          </w:p>
        </w:tc>
        <w:tc>
          <w:tcPr>
            <w:tcW w:w="1080" w:type="dxa"/>
            <w:vAlign w:val="bottom"/>
          </w:tcPr>
          <w:p>
            <w:pPr>
              <w:jc w:val="center"/>
              <w:ind w:right="157"/>
              <w:spacing w:after="0" w:line="149" w:lineRule="exact"/>
              <w:rPr>
                <w:sz w:val="20"/>
                <w:szCs w:val="20"/>
                <w:color w:val="auto"/>
              </w:rPr>
            </w:pPr>
            <w:r>
              <w:rPr>
                <w:rFonts w:ascii="Arial" w:cs="Arial" w:eastAsia="Arial" w:hAnsi="Arial"/>
                <w:sz w:val="15"/>
                <w:szCs w:val="15"/>
                <w:b w:val="1"/>
                <w:bCs w:val="1"/>
                <w:color w:val="auto"/>
                <w:w w:val="87"/>
              </w:rPr>
              <w:t>Gains/</w:t>
            </w:r>
          </w:p>
        </w:tc>
      </w:tr>
      <w:tr>
        <w:trPr>
          <w:trHeight w:val="182"/>
        </w:trPr>
        <w:tc>
          <w:tcPr>
            <w:tcW w:w="328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6"/>
              <w:spacing w:after="0"/>
              <w:rPr>
                <w:sz w:val="20"/>
                <w:szCs w:val="20"/>
                <w:color w:val="auto"/>
              </w:rPr>
            </w:pPr>
            <w:r>
              <w:rPr>
                <w:rFonts w:ascii="Arial" w:cs="Arial" w:eastAsia="Arial" w:hAnsi="Arial"/>
                <w:sz w:val="15"/>
                <w:szCs w:val="15"/>
                <w:b w:val="1"/>
                <w:bCs w:val="1"/>
                <w:color w:val="auto"/>
                <w:w w:val="83"/>
              </w:rPr>
              <w:t>Cost</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76"/>
              <w:spacing w:after="0"/>
              <w:rPr>
                <w:sz w:val="20"/>
                <w:szCs w:val="20"/>
                <w:color w:val="auto"/>
              </w:rPr>
            </w:pPr>
            <w:r>
              <w:rPr>
                <w:rFonts w:ascii="Arial" w:cs="Arial" w:eastAsia="Arial" w:hAnsi="Arial"/>
                <w:sz w:val="15"/>
                <w:szCs w:val="15"/>
                <w:b w:val="1"/>
                <w:bCs w:val="1"/>
                <w:color w:val="auto"/>
                <w:w w:val="91"/>
              </w:rPr>
              <w:t>Gains</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Months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Months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Value</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7"/>
              <w:spacing w:after="0"/>
              <w:rPr>
                <w:sz w:val="20"/>
                <w:szCs w:val="20"/>
                <w:color w:val="auto"/>
              </w:rPr>
            </w:pPr>
            <w:r>
              <w:rPr>
                <w:rFonts w:ascii="Arial" w:cs="Arial" w:eastAsia="Arial" w:hAnsi="Arial"/>
                <w:sz w:val="15"/>
                <w:szCs w:val="15"/>
                <w:b w:val="1"/>
                <w:bCs w:val="1"/>
                <w:color w:val="auto"/>
                <w:w w:val="84"/>
              </w:rPr>
              <w:t>(Losses</w:t>
            </w:r>
            <w:r>
              <w:rPr>
                <w:rFonts w:ascii="Arial" w:cs="Arial" w:eastAsia="Arial" w:hAnsi="Arial"/>
                <w:sz w:val="15"/>
                <w:szCs w:val="15"/>
                <w:color w:val="auto"/>
                <w:w w:val="84"/>
              </w:rPr>
              <w:t>)</w:t>
            </w: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Fixed-Maturity Securities: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60"/>
              <w:spacing w:after="0"/>
              <w:rPr>
                <w:sz w:val="20"/>
                <w:szCs w:val="20"/>
                <w:color w:val="auto"/>
              </w:rPr>
            </w:pPr>
            <w:r>
              <w:rPr>
                <w:rFonts w:ascii="Arial" w:cs="Arial" w:eastAsia="Arial" w:hAnsi="Arial"/>
                <w:sz w:val="18"/>
                <w:szCs w:val="18"/>
                <w:color w:val="auto"/>
              </w:rPr>
              <w:t>Political subdivisions of States,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Territories and Possessions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12,139,793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431,194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(15,889)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7"/>
              </w:rPr>
              <w:t>12,555,098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415,305</w:t>
            </w: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Corporate and other bonds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60"/>
              <w:spacing w:after="0"/>
              <w:rPr>
                <w:sz w:val="20"/>
                <w:szCs w:val="20"/>
                <w:color w:val="auto"/>
              </w:rPr>
            </w:pPr>
            <w:r>
              <w:rPr>
                <w:rFonts w:ascii="Arial" w:cs="Arial" w:eastAsia="Arial" w:hAnsi="Arial"/>
                <w:sz w:val="18"/>
                <w:szCs w:val="18"/>
                <w:color w:val="auto"/>
              </w:rPr>
              <w:t>Industrial and miscellaneous</w:t>
            </w:r>
          </w:p>
        </w:tc>
        <w:tc>
          <w:tcPr>
            <w:tcW w:w="22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45,078,044</w:t>
            </w: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490,444</w:t>
            </w:r>
          </w:p>
        </w:tc>
        <w:tc>
          <w:tcPr>
            <w:tcW w:w="26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(512,427)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(99,593)</w:t>
            </w:r>
          </w:p>
        </w:tc>
        <w:tc>
          <w:tcPr>
            <w:tcW w:w="32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w w:val="97"/>
              </w:rPr>
              <w:t>44,956,468</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(121,576)</w:t>
            </w:r>
          </w:p>
        </w:tc>
      </w:tr>
      <w:tr>
        <w:trPr>
          <w:trHeight w:val="216"/>
        </w:trPr>
        <w:tc>
          <w:tcPr>
            <w:tcW w:w="3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60"/>
              <w:spacing w:after="0"/>
              <w:rPr>
                <w:sz w:val="20"/>
                <w:szCs w:val="20"/>
                <w:color w:val="auto"/>
              </w:rPr>
            </w:pPr>
            <w:r>
              <w:rPr>
                <w:rFonts w:ascii="Arial" w:cs="Arial" w:eastAsia="Arial" w:hAnsi="Arial"/>
                <w:sz w:val="18"/>
                <w:szCs w:val="18"/>
                <w:color w:val="auto"/>
              </w:rPr>
              <w:t>Residential mortgage backed</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3"/>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securities</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5,003,292</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48,375</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(61,169)</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4,990,498</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(12,794)</w:t>
            </w:r>
          </w:p>
        </w:tc>
      </w:tr>
      <w:tr>
        <w:trPr>
          <w:trHeight w:val="223"/>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Total fixed-maturity securities</w:t>
            </w:r>
          </w:p>
        </w:tc>
        <w:tc>
          <w:tcPr>
            <w:tcW w:w="220" w:type="dxa"/>
            <w:vAlign w:val="bottom"/>
          </w:tcPr>
          <w:p>
            <w:pPr>
              <w:spacing w:after="0"/>
              <w:rPr>
                <w:sz w:val="19"/>
                <w:szCs w:val="19"/>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62,221,129</w:t>
            </w:r>
          </w:p>
        </w:tc>
        <w:tc>
          <w:tcPr>
            <w:tcW w:w="300" w:type="dxa"/>
            <w:vAlign w:val="bottom"/>
          </w:tcPr>
          <w:p>
            <w:pPr>
              <w:spacing w:after="0"/>
              <w:rPr>
                <w:sz w:val="19"/>
                <w:szCs w:val="19"/>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970,013</w:t>
            </w:r>
          </w:p>
        </w:tc>
        <w:tc>
          <w:tcPr>
            <w:tcW w:w="26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(589,485)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(99,593)</w:t>
            </w:r>
          </w:p>
        </w:tc>
        <w:tc>
          <w:tcPr>
            <w:tcW w:w="320" w:type="dxa"/>
            <w:vAlign w:val="bottom"/>
          </w:tcPr>
          <w:p>
            <w:pPr>
              <w:spacing w:after="0"/>
              <w:rPr>
                <w:sz w:val="19"/>
                <w:szCs w:val="19"/>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w w:val="97"/>
              </w:rPr>
              <w:t>62,502,064</w:t>
            </w:r>
          </w:p>
        </w:tc>
        <w:tc>
          <w:tcPr>
            <w:tcW w:w="280" w:type="dxa"/>
            <w:vAlign w:val="bottom"/>
          </w:tcPr>
          <w:p>
            <w:pPr>
              <w:spacing w:after="0"/>
              <w:rPr>
                <w:sz w:val="19"/>
                <w:szCs w:val="19"/>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280,935</w:t>
            </w:r>
          </w:p>
        </w:tc>
      </w:tr>
      <w:tr>
        <w:trPr>
          <w:trHeight w:val="216"/>
        </w:trPr>
        <w:tc>
          <w:tcPr>
            <w:tcW w:w="3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16"/>
        </w:trPr>
        <w:tc>
          <w:tcPr>
            <w:tcW w:w="3280" w:type="dxa"/>
            <w:vAlign w:val="bottom"/>
            <w:gridSpan w:val="2"/>
          </w:tcPr>
          <w:p>
            <w:pPr>
              <w:ind w:left="60"/>
              <w:spacing w:after="0"/>
              <w:rPr>
                <w:sz w:val="20"/>
                <w:szCs w:val="20"/>
                <w:color w:val="auto"/>
              </w:rPr>
            </w:pPr>
            <w:r>
              <w:rPr>
                <w:rFonts w:ascii="Arial" w:cs="Arial" w:eastAsia="Arial" w:hAnsi="Arial"/>
                <w:sz w:val="18"/>
                <w:szCs w:val="18"/>
                <w:b w:val="1"/>
                <w:bCs w:val="1"/>
                <w:color w:val="auto"/>
              </w:rPr>
              <w:t>Equity Securities: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Preferred stocks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2,874,173</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70,799</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2,915,650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41,477</w:t>
            </w:r>
          </w:p>
        </w:tc>
      </w:tr>
      <w:tr>
        <w:trPr>
          <w:trHeight w:val="223"/>
        </w:trPr>
        <w:tc>
          <w:tcPr>
            <w:tcW w:w="3200" w:type="dxa"/>
            <w:vAlign w:val="bottom"/>
          </w:tcPr>
          <w:p>
            <w:pPr>
              <w:ind w:left="60"/>
              <w:spacing w:after="0"/>
              <w:rPr>
                <w:sz w:val="20"/>
                <w:szCs w:val="20"/>
                <w:color w:val="auto"/>
              </w:rPr>
            </w:pPr>
            <w:r>
              <w:rPr>
                <w:rFonts w:ascii="Arial" w:cs="Arial" w:eastAsia="Arial" w:hAnsi="Arial"/>
                <w:sz w:val="18"/>
                <w:szCs w:val="18"/>
                <w:color w:val="auto"/>
              </w:rPr>
              <w:t>Common stocks</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5,877,364</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514,977</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(103,721)</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6,288,620</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411,256</w:t>
            </w:r>
          </w:p>
        </w:tc>
      </w:tr>
      <w:tr>
        <w:trPr>
          <w:trHeight w:val="223"/>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equity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8,751,537</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585,776</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(103,721)</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(29,322)</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9,204,270</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452,733</w:t>
            </w:r>
          </w:p>
        </w:tc>
      </w:tr>
      <w:tr>
        <w:trPr>
          <w:trHeight w:val="216"/>
        </w:trPr>
        <w:tc>
          <w:tcPr>
            <w:tcW w:w="32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70,972,666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1,555,789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(693,206)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(128,915)</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7"/>
              </w:rPr>
              <w:t>71,706,334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733,668</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amortized cost and fair value of the Company’s investments in available-for-sale fixed-maturity securities by contractual maturity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December 31, 2015 is shown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5"/>
                <w:szCs w:val="15"/>
                <w:b w:val="1"/>
                <w:bCs w:val="1"/>
                <w:color w:val="auto"/>
              </w:rPr>
              <w:t>September 30, 2016</w:t>
            </w:r>
          </w:p>
        </w:tc>
        <w:tc>
          <w:tcPr>
            <w:tcW w:w="2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5"/>
                <w:szCs w:val="15"/>
                <w:b w:val="1"/>
                <w:bCs w:val="1"/>
                <w:color w:val="auto"/>
              </w:rPr>
              <w:t>December 31, 2015</w:t>
            </w:r>
          </w:p>
        </w:tc>
      </w:tr>
      <w:tr>
        <w:trPr>
          <w:trHeight w:val="149"/>
        </w:trPr>
        <w:tc>
          <w:tcPr>
            <w:tcW w:w="5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57"/>
              <w:spacing w:after="0" w:line="149" w:lineRule="exact"/>
              <w:rPr>
                <w:sz w:val="20"/>
                <w:szCs w:val="20"/>
                <w:color w:val="auto"/>
              </w:rPr>
            </w:pPr>
            <w:r>
              <w:rPr>
                <w:rFonts w:ascii="Arial" w:cs="Arial" w:eastAsia="Arial" w:hAnsi="Arial"/>
                <w:sz w:val="15"/>
                <w:szCs w:val="15"/>
                <w:b w:val="1"/>
                <w:bCs w:val="1"/>
                <w:color w:val="auto"/>
                <w:w w:val="98"/>
              </w:rPr>
              <w:t>Amortized</w:t>
            </w: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57"/>
              <w:spacing w:after="0" w:line="149" w:lineRule="exact"/>
              <w:rPr>
                <w:sz w:val="20"/>
                <w:szCs w:val="20"/>
                <w:color w:val="auto"/>
              </w:rPr>
            </w:pPr>
            <w:r>
              <w:rPr>
                <w:rFonts w:ascii="Arial" w:cs="Arial" w:eastAsia="Arial" w:hAnsi="Arial"/>
                <w:sz w:val="15"/>
                <w:szCs w:val="15"/>
                <w:b w:val="1"/>
                <w:bCs w:val="1"/>
                <w:color w:val="auto"/>
                <w:w w:val="98"/>
              </w:rPr>
              <w:t>Amortized</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8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Remaining Time to Maturit</w:t>
            </w:r>
            <w:r>
              <w:rPr>
                <w:rFonts w:ascii="Arial" w:cs="Arial" w:eastAsia="Arial" w:hAnsi="Arial"/>
                <w:sz w:val="15"/>
                <w:szCs w:val="15"/>
                <w:color w:val="auto"/>
              </w:rPr>
              <w:t>y</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Cost</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5"/>
                <w:szCs w:val="15"/>
                <w:b w:val="1"/>
                <w:bCs w:val="1"/>
                <w:color w:val="auto"/>
                <w:w w:val="97"/>
              </w:rPr>
              <w:t>Fair Value</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Cost</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4"/>
              <w:spacing w:after="0"/>
              <w:rPr>
                <w:sz w:val="20"/>
                <w:szCs w:val="20"/>
                <w:color w:val="auto"/>
              </w:rPr>
            </w:pPr>
            <w:r>
              <w:rPr>
                <w:rFonts w:ascii="Arial" w:cs="Arial" w:eastAsia="Arial" w:hAnsi="Arial"/>
                <w:sz w:val="15"/>
                <w:szCs w:val="15"/>
                <w:b w:val="1"/>
                <w:bCs w:val="1"/>
                <w:color w:val="auto"/>
              </w:rPr>
              <w:t>Fair Value</w:t>
            </w:r>
          </w:p>
        </w:tc>
      </w:tr>
      <w:tr>
        <w:trPr>
          <w:trHeight w:val="216"/>
        </w:trPr>
        <w:tc>
          <w:tcPr>
            <w:tcW w:w="5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Less than one year</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1,553,198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1,574,389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827,246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837,918</w:t>
            </w: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One to five years</w:t>
            </w: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27,294,171</w:t>
            </w:r>
          </w:p>
        </w:tc>
        <w:tc>
          <w:tcPr>
            <w:tcW w:w="30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28,183,978</w:t>
            </w: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17,146,349</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17,393,571</w:t>
            </w: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Five to ten years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30,249,462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31,282,681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37,877,726</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37,884,450</w:t>
            </w: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More than 10 years</w:t>
            </w: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882,189</w:t>
            </w:r>
          </w:p>
        </w:tc>
        <w:tc>
          <w:tcPr>
            <w:tcW w:w="30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920,179</w:t>
            </w: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1,366,516</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1,395,627</w:t>
            </w:r>
          </w:p>
        </w:tc>
      </w:tr>
      <w:tr>
        <w:trPr>
          <w:trHeight w:val="223"/>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Residential mortgage backed securities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18,938,428</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19,117,726</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5,003,292</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4,990,498</w:t>
            </w:r>
          </w:p>
        </w:tc>
      </w:tr>
      <w:tr>
        <w:trPr>
          <w:trHeight w:val="216"/>
        </w:trPr>
        <w:tc>
          <w:tcPr>
            <w:tcW w:w="596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78,917,448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81,078,953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62,221,129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62,502,064</w:t>
            </w:r>
          </w:p>
        </w:tc>
      </w:tr>
      <w:tr>
        <w:trPr>
          <w:trHeight w:val="21"/>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Held-to-Maturity Securities</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amortized cost and fair value of investments in held-to-maturity fixed-maturity securities as of September 30, 2016 and December 31, 2015 are summarized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5"/>
                <w:szCs w:val="15"/>
                <w:b w:val="1"/>
                <w:bCs w:val="1"/>
                <w:color w:val="auto"/>
              </w:rPr>
              <w:t>September 30, 2016</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49"/>
        </w:trPr>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179"/>
              <w:spacing w:after="0" w:line="149" w:lineRule="exact"/>
              <w:rPr>
                <w:sz w:val="20"/>
                <w:szCs w:val="20"/>
                <w:color w:val="auto"/>
              </w:rPr>
            </w:pPr>
            <w:r>
              <w:rPr>
                <w:rFonts w:ascii="Arial" w:cs="Arial" w:eastAsia="Arial" w:hAnsi="Arial"/>
                <w:sz w:val="15"/>
                <w:szCs w:val="15"/>
                <w:b w:val="1"/>
                <w:bCs w:val="1"/>
                <w:color w:val="auto"/>
                <w:w w:val="90"/>
              </w:rPr>
              <w:t>Net</w:t>
            </w:r>
          </w:p>
        </w:tc>
      </w:tr>
      <w:tr>
        <w:trPr>
          <w:trHeight w:val="182"/>
        </w:trPr>
        <w:tc>
          <w:tcPr>
            <w:tcW w:w="3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87"/>
              </w:rPr>
              <w:t>Cost or</w:t>
            </w:r>
          </w:p>
        </w:tc>
        <w:tc>
          <w:tcPr>
            <w:tcW w:w="300" w:type="dxa"/>
            <w:vAlign w:val="bottom"/>
          </w:tcPr>
          <w:p>
            <w:pPr>
              <w:spacing w:after="0"/>
              <w:rPr>
                <w:sz w:val="15"/>
                <w:szCs w:val="15"/>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87"/>
              </w:rPr>
              <w:t>Gross</w:t>
            </w:r>
          </w:p>
        </w:tc>
        <w:tc>
          <w:tcPr>
            <w:tcW w:w="2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5"/>
                <w:szCs w:val="15"/>
                <w:b w:val="1"/>
                <w:bCs w:val="1"/>
                <w:color w:val="auto"/>
              </w:rPr>
              <w:t>Gross Unrealized Losses</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center"/>
              <w:ind w:right="159"/>
              <w:spacing w:after="0"/>
              <w:rPr>
                <w:sz w:val="20"/>
                <w:szCs w:val="20"/>
                <w:color w:val="auto"/>
              </w:rPr>
            </w:pPr>
            <w:r>
              <w:rPr>
                <w:rFonts w:ascii="Arial" w:cs="Arial" w:eastAsia="Arial" w:hAnsi="Arial"/>
                <w:sz w:val="15"/>
                <w:szCs w:val="15"/>
                <w:b w:val="1"/>
                <w:bCs w:val="1"/>
                <w:color w:val="auto"/>
                <w:w w:val="89"/>
              </w:rPr>
              <w:t>Unrealized</w:t>
            </w:r>
          </w:p>
        </w:tc>
      </w:tr>
      <w:tr>
        <w:trPr>
          <w:trHeight w:val="149"/>
        </w:trPr>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ind w:right="158"/>
              <w:spacing w:after="0" w:line="149" w:lineRule="exact"/>
              <w:rPr>
                <w:sz w:val="20"/>
                <w:szCs w:val="20"/>
                <w:color w:val="auto"/>
              </w:rPr>
            </w:pPr>
            <w:r>
              <w:rPr>
                <w:rFonts w:ascii="Arial" w:cs="Arial" w:eastAsia="Arial" w:hAnsi="Arial"/>
                <w:sz w:val="15"/>
                <w:szCs w:val="15"/>
                <w:b w:val="1"/>
                <w:bCs w:val="1"/>
                <w:color w:val="auto"/>
                <w:w w:val="92"/>
              </w:rPr>
              <w:t>Amortized</w:t>
            </w:r>
          </w:p>
        </w:tc>
        <w:tc>
          <w:tcPr>
            <w:tcW w:w="300" w:type="dxa"/>
            <w:vAlign w:val="bottom"/>
          </w:tcPr>
          <w:p>
            <w:pPr>
              <w:spacing w:after="0"/>
              <w:rPr>
                <w:sz w:val="12"/>
                <w:szCs w:val="12"/>
                <w:color w:val="auto"/>
              </w:rPr>
            </w:pPr>
          </w:p>
        </w:tc>
        <w:tc>
          <w:tcPr>
            <w:tcW w:w="1080" w:type="dxa"/>
            <w:vAlign w:val="bottom"/>
          </w:tcPr>
          <w:p>
            <w:pPr>
              <w:jc w:val="center"/>
              <w:ind w:right="178"/>
              <w:spacing w:after="0" w:line="149" w:lineRule="exact"/>
              <w:rPr>
                <w:sz w:val="20"/>
                <w:szCs w:val="20"/>
                <w:color w:val="auto"/>
              </w:rPr>
            </w:pPr>
            <w:r>
              <w:rPr>
                <w:rFonts w:ascii="Arial" w:cs="Arial" w:eastAsia="Arial" w:hAnsi="Arial"/>
                <w:sz w:val="15"/>
                <w:szCs w:val="15"/>
                <w:b w:val="1"/>
                <w:bCs w:val="1"/>
                <w:color w:val="auto"/>
                <w:w w:val="92"/>
              </w:rPr>
              <w:t>Unrealized</w:t>
            </w:r>
          </w:p>
        </w:tc>
        <w:tc>
          <w:tcPr>
            <w:tcW w:w="260" w:type="dxa"/>
            <w:vAlign w:val="bottom"/>
          </w:tcPr>
          <w:p>
            <w:pPr>
              <w:spacing w:after="0"/>
              <w:rPr>
                <w:sz w:val="12"/>
                <w:szCs w:val="12"/>
                <w:color w:val="auto"/>
              </w:rPr>
            </w:pPr>
          </w:p>
        </w:tc>
        <w:tc>
          <w:tcPr>
            <w:tcW w:w="1140" w:type="dxa"/>
            <w:vAlign w:val="bottom"/>
          </w:tcPr>
          <w:p>
            <w:pPr>
              <w:jc w:val="center"/>
              <w:ind w:right="179"/>
              <w:spacing w:after="0" w:line="149" w:lineRule="exact"/>
              <w:rPr>
                <w:sz w:val="20"/>
                <w:szCs w:val="20"/>
                <w:color w:val="auto"/>
              </w:rPr>
            </w:pPr>
            <w:r>
              <w:rPr>
                <w:rFonts w:ascii="Arial" w:cs="Arial" w:eastAsia="Arial" w:hAnsi="Arial"/>
                <w:sz w:val="15"/>
                <w:szCs w:val="15"/>
                <w:b w:val="1"/>
                <w:bCs w:val="1"/>
                <w:color w:val="auto"/>
                <w:w w:val="87"/>
              </w:rPr>
              <w:t>Less than 12</w:t>
            </w:r>
          </w:p>
        </w:tc>
        <w:tc>
          <w:tcPr>
            <w:tcW w:w="220" w:type="dxa"/>
            <w:vAlign w:val="bottom"/>
          </w:tcPr>
          <w:p>
            <w:pPr>
              <w:spacing w:after="0"/>
              <w:rPr>
                <w:sz w:val="12"/>
                <w:szCs w:val="12"/>
                <w:color w:val="auto"/>
              </w:rPr>
            </w:pPr>
          </w:p>
        </w:tc>
        <w:tc>
          <w:tcPr>
            <w:tcW w:w="1120" w:type="dxa"/>
            <w:vAlign w:val="bottom"/>
          </w:tcPr>
          <w:p>
            <w:pPr>
              <w:jc w:val="center"/>
              <w:ind w:right="137"/>
              <w:spacing w:after="0" w:line="149" w:lineRule="exact"/>
              <w:rPr>
                <w:sz w:val="20"/>
                <w:szCs w:val="20"/>
                <w:color w:val="auto"/>
              </w:rPr>
            </w:pPr>
            <w:r>
              <w:rPr>
                <w:rFonts w:ascii="Arial" w:cs="Arial" w:eastAsia="Arial" w:hAnsi="Arial"/>
                <w:sz w:val="15"/>
                <w:szCs w:val="15"/>
                <w:b w:val="1"/>
                <w:bCs w:val="1"/>
                <w:color w:val="auto"/>
                <w:w w:val="92"/>
              </w:rPr>
              <w:t>More than 12</w:t>
            </w:r>
          </w:p>
        </w:tc>
        <w:tc>
          <w:tcPr>
            <w:tcW w:w="360" w:type="dxa"/>
            <w:vAlign w:val="bottom"/>
          </w:tcPr>
          <w:p>
            <w:pPr>
              <w:spacing w:after="0"/>
              <w:rPr>
                <w:sz w:val="12"/>
                <w:szCs w:val="12"/>
                <w:color w:val="auto"/>
              </w:rPr>
            </w:pPr>
          </w:p>
        </w:tc>
        <w:tc>
          <w:tcPr>
            <w:tcW w:w="1000" w:type="dxa"/>
            <w:vAlign w:val="bottom"/>
          </w:tcPr>
          <w:p>
            <w:pPr>
              <w:jc w:val="center"/>
              <w:ind w:right="257"/>
              <w:spacing w:after="0" w:line="149" w:lineRule="exact"/>
              <w:rPr>
                <w:sz w:val="20"/>
                <w:szCs w:val="20"/>
                <w:color w:val="auto"/>
              </w:rPr>
            </w:pPr>
            <w:r>
              <w:rPr>
                <w:rFonts w:ascii="Arial" w:cs="Arial" w:eastAsia="Arial" w:hAnsi="Arial"/>
                <w:sz w:val="15"/>
                <w:szCs w:val="15"/>
                <w:b w:val="1"/>
                <w:bCs w:val="1"/>
                <w:color w:val="auto"/>
                <w:w w:val="94"/>
              </w:rPr>
              <w:t>Fair</w:t>
            </w:r>
          </w:p>
        </w:tc>
        <w:tc>
          <w:tcPr>
            <w:tcW w:w="280" w:type="dxa"/>
            <w:vAlign w:val="bottom"/>
          </w:tcPr>
          <w:p>
            <w:pPr>
              <w:spacing w:after="0"/>
              <w:rPr>
                <w:sz w:val="12"/>
                <w:szCs w:val="12"/>
                <w:color w:val="auto"/>
              </w:rPr>
            </w:pPr>
          </w:p>
        </w:tc>
        <w:tc>
          <w:tcPr>
            <w:tcW w:w="1080" w:type="dxa"/>
            <w:vAlign w:val="bottom"/>
          </w:tcPr>
          <w:p>
            <w:pPr>
              <w:jc w:val="center"/>
              <w:ind w:right="159"/>
              <w:spacing w:after="0" w:line="149" w:lineRule="exact"/>
              <w:rPr>
                <w:sz w:val="20"/>
                <w:szCs w:val="20"/>
                <w:color w:val="auto"/>
              </w:rPr>
            </w:pPr>
            <w:r>
              <w:rPr>
                <w:rFonts w:ascii="Arial" w:cs="Arial" w:eastAsia="Arial" w:hAnsi="Arial"/>
                <w:sz w:val="15"/>
                <w:szCs w:val="15"/>
                <w:b w:val="1"/>
                <w:bCs w:val="1"/>
                <w:color w:val="auto"/>
                <w:w w:val="87"/>
              </w:rPr>
              <w:t>Gains/</w:t>
            </w:r>
          </w:p>
        </w:tc>
      </w:tr>
      <w:tr>
        <w:trPr>
          <w:trHeight w:val="18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5"/>
                <w:szCs w:val="15"/>
                <w:b w:val="1"/>
                <w:bCs w:val="1"/>
                <w:color w:val="auto"/>
                <w:w w:val="83"/>
              </w:rPr>
              <w:t>Cost</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78"/>
              <w:spacing w:after="0"/>
              <w:rPr>
                <w:sz w:val="20"/>
                <w:szCs w:val="20"/>
                <w:color w:val="auto"/>
              </w:rPr>
            </w:pPr>
            <w:r>
              <w:rPr>
                <w:rFonts w:ascii="Arial" w:cs="Arial" w:eastAsia="Arial" w:hAnsi="Arial"/>
                <w:sz w:val="15"/>
                <w:szCs w:val="15"/>
                <w:b w:val="1"/>
                <w:bCs w:val="1"/>
                <w:color w:val="auto"/>
                <w:w w:val="91"/>
              </w:rPr>
              <w:t>Gains</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9"/>
              <w:spacing w:after="0"/>
              <w:rPr>
                <w:sz w:val="20"/>
                <w:szCs w:val="20"/>
                <w:color w:val="auto"/>
              </w:rPr>
            </w:pPr>
            <w:r>
              <w:rPr>
                <w:rFonts w:ascii="Arial" w:cs="Arial" w:eastAsia="Arial" w:hAnsi="Arial"/>
                <w:sz w:val="15"/>
                <w:szCs w:val="15"/>
                <w:b w:val="1"/>
                <w:bCs w:val="1"/>
                <w:color w:val="auto"/>
                <w:w w:val="89"/>
              </w:rPr>
              <w:t>Months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5"/>
                <w:szCs w:val="15"/>
                <w:b w:val="1"/>
                <w:bCs w:val="1"/>
                <w:color w:val="auto"/>
                <w:w w:val="93"/>
              </w:rPr>
              <w:t>Months</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37"/>
              <w:spacing w:after="0"/>
              <w:rPr>
                <w:sz w:val="20"/>
                <w:szCs w:val="20"/>
                <w:color w:val="auto"/>
              </w:rPr>
            </w:pPr>
            <w:r>
              <w:rPr>
                <w:rFonts w:ascii="Arial" w:cs="Arial" w:eastAsia="Arial" w:hAnsi="Arial"/>
                <w:sz w:val="15"/>
                <w:szCs w:val="15"/>
                <w:b w:val="1"/>
                <w:bCs w:val="1"/>
                <w:color w:val="auto"/>
                <w:w w:val="89"/>
              </w:rPr>
              <w:t>Value</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9"/>
              <w:spacing w:after="0"/>
              <w:rPr>
                <w:sz w:val="20"/>
                <w:szCs w:val="20"/>
                <w:color w:val="auto"/>
              </w:rPr>
            </w:pPr>
            <w:r>
              <w:rPr>
                <w:rFonts w:ascii="Arial" w:cs="Arial" w:eastAsia="Arial" w:hAnsi="Arial"/>
                <w:sz w:val="15"/>
                <w:szCs w:val="15"/>
                <w:b w:val="1"/>
                <w:bCs w:val="1"/>
                <w:color w:val="auto"/>
                <w:w w:val="84"/>
              </w:rPr>
              <w:t>(Losses</w:t>
            </w:r>
            <w:r>
              <w:rPr>
                <w:rFonts w:ascii="Arial" w:cs="Arial" w:eastAsia="Arial" w:hAnsi="Arial"/>
                <w:sz w:val="15"/>
                <w:szCs w:val="15"/>
                <w:color w:val="auto"/>
                <w:w w:val="84"/>
              </w:rPr>
              <w:t>)</w:t>
            </w: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 Treasury securities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606,417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147,622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754,039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147,622</w:t>
            </w: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Territories and Possessions</w:t>
            </w:r>
          </w:p>
        </w:tc>
        <w:tc>
          <w:tcPr>
            <w:tcW w:w="300" w:type="dxa"/>
            <w:vAlign w:val="bottom"/>
          </w:tcPr>
          <w:p>
            <w:pPr>
              <w:spacing w:after="0"/>
              <w:rPr>
                <w:sz w:val="18"/>
                <w:szCs w:val="18"/>
                <w:color w:val="auto"/>
              </w:rPr>
            </w:pP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1,349,988</w:t>
            </w:r>
          </w:p>
        </w:tc>
        <w:tc>
          <w:tcPr>
            <w:tcW w:w="300" w:type="dxa"/>
            <w:vAlign w:val="bottom"/>
          </w:tcPr>
          <w:p>
            <w:pPr>
              <w:spacing w:after="0"/>
              <w:rPr>
                <w:sz w:val="18"/>
                <w:szCs w:val="18"/>
                <w:color w:val="auto"/>
              </w:rPr>
            </w:pP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101,599</w:t>
            </w:r>
          </w:p>
        </w:tc>
        <w:tc>
          <w:tcPr>
            <w:tcW w:w="26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tcPr>
          <w:p>
            <w:pPr>
              <w:jc w:val="right"/>
              <w:ind w:right="57"/>
              <w:spacing w:after="0"/>
              <w:rPr>
                <w:sz w:val="20"/>
                <w:szCs w:val="20"/>
                <w:color w:val="auto"/>
              </w:rPr>
            </w:pPr>
            <w:r>
              <w:rPr>
                <w:rFonts w:ascii="Arial" w:cs="Arial" w:eastAsia="Arial" w:hAnsi="Arial"/>
                <w:sz w:val="18"/>
                <w:szCs w:val="18"/>
                <w:color w:val="auto"/>
              </w:rPr>
              <w:t>1,451,587</w:t>
            </w:r>
          </w:p>
        </w:tc>
        <w:tc>
          <w:tcPr>
            <w:tcW w:w="28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8"/>
                <w:szCs w:val="18"/>
                <w:color w:val="auto"/>
              </w:rPr>
              <w:t>101,599</w:t>
            </w: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Corporate and other bonds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3"/>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3,138,050</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170,747</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(31,688)</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3,277,109</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139,059</w:t>
            </w: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5,094,455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419,968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(31,688)</w:t>
            </w:r>
          </w:p>
        </w:tc>
        <w:tc>
          <w:tcPr>
            <w:tcW w:w="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5,482,735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388,280</w:t>
            </w:r>
          </w:p>
        </w:tc>
      </w:tr>
      <w:tr>
        <w:trPr>
          <w:trHeight w:val="379"/>
        </w:trPr>
        <w:tc>
          <w:tcPr>
            <w:tcW w:w="3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697"/>
              <w:spacing w:after="0"/>
              <w:rPr>
                <w:sz w:val="20"/>
                <w:szCs w:val="20"/>
                <w:color w:val="auto"/>
              </w:rPr>
            </w:pPr>
            <w:r>
              <w:rPr>
                <w:rFonts w:ascii="Arial" w:cs="Arial" w:eastAsia="Arial" w:hAnsi="Arial"/>
                <w:sz w:val="15"/>
                <w:szCs w:val="15"/>
                <w:b w:val="1"/>
                <w:bCs w:val="1"/>
                <w:color w:val="auto"/>
              </w:rPr>
              <w:t>December 31, 2015</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49"/>
        </w:trPr>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179"/>
              <w:spacing w:after="0" w:line="149" w:lineRule="exact"/>
              <w:rPr>
                <w:sz w:val="20"/>
                <w:szCs w:val="20"/>
                <w:color w:val="auto"/>
              </w:rPr>
            </w:pPr>
            <w:r>
              <w:rPr>
                <w:rFonts w:ascii="Arial" w:cs="Arial" w:eastAsia="Arial" w:hAnsi="Arial"/>
                <w:sz w:val="15"/>
                <w:szCs w:val="15"/>
                <w:b w:val="1"/>
                <w:bCs w:val="1"/>
                <w:color w:val="auto"/>
                <w:w w:val="90"/>
              </w:rPr>
              <w:t>Net</w:t>
            </w:r>
          </w:p>
        </w:tc>
      </w:tr>
      <w:tr>
        <w:trPr>
          <w:trHeight w:val="182"/>
        </w:trPr>
        <w:tc>
          <w:tcPr>
            <w:tcW w:w="3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87"/>
              </w:rPr>
              <w:t>Cost or</w:t>
            </w:r>
          </w:p>
        </w:tc>
        <w:tc>
          <w:tcPr>
            <w:tcW w:w="300" w:type="dxa"/>
            <w:vAlign w:val="bottom"/>
          </w:tcPr>
          <w:p>
            <w:pPr>
              <w:spacing w:after="0"/>
              <w:rPr>
                <w:sz w:val="15"/>
                <w:szCs w:val="15"/>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87"/>
              </w:rPr>
              <w:t>Gross</w:t>
            </w:r>
          </w:p>
        </w:tc>
        <w:tc>
          <w:tcPr>
            <w:tcW w:w="2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5"/>
                <w:szCs w:val="15"/>
                <w:b w:val="1"/>
                <w:bCs w:val="1"/>
                <w:color w:val="auto"/>
              </w:rPr>
              <w:t>Gross Unrealized Losses</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center"/>
              <w:ind w:right="159"/>
              <w:spacing w:after="0"/>
              <w:rPr>
                <w:sz w:val="20"/>
                <w:szCs w:val="20"/>
                <w:color w:val="auto"/>
              </w:rPr>
            </w:pPr>
            <w:r>
              <w:rPr>
                <w:rFonts w:ascii="Arial" w:cs="Arial" w:eastAsia="Arial" w:hAnsi="Arial"/>
                <w:sz w:val="15"/>
                <w:szCs w:val="15"/>
                <w:b w:val="1"/>
                <w:bCs w:val="1"/>
                <w:color w:val="auto"/>
                <w:w w:val="89"/>
              </w:rPr>
              <w:t>Unrealized</w:t>
            </w:r>
          </w:p>
        </w:tc>
      </w:tr>
      <w:tr>
        <w:trPr>
          <w:trHeight w:val="149"/>
        </w:trPr>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ind w:right="158"/>
              <w:spacing w:after="0" w:line="149" w:lineRule="exact"/>
              <w:rPr>
                <w:sz w:val="20"/>
                <w:szCs w:val="20"/>
                <w:color w:val="auto"/>
              </w:rPr>
            </w:pPr>
            <w:r>
              <w:rPr>
                <w:rFonts w:ascii="Arial" w:cs="Arial" w:eastAsia="Arial" w:hAnsi="Arial"/>
                <w:sz w:val="15"/>
                <w:szCs w:val="15"/>
                <w:b w:val="1"/>
                <w:bCs w:val="1"/>
                <w:color w:val="auto"/>
                <w:w w:val="92"/>
              </w:rPr>
              <w:t>Amortized</w:t>
            </w:r>
          </w:p>
        </w:tc>
        <w:tc>
          <w:tcPr>
            <w:tcW w:w="300" w:type="dxa"/>
            <w:vAlign w:val="bottom"/>
          </w:tcPr>
          <w:p>
            <w:pPr>
              <w:spacing w:after="0"/>
              <w:rPr>
                <w:sz w:val="12"/>
                <w:szCs w:val="12"/>
                <w:color w:val="auto"/>
              </w:rPr>
            </w:pPr>
          </w:p>
        </w:tc>
        <w:tc>
          <w:tcPr>
            <w:tcW w:w="1080" w:type="dxa"/>
            <w:vAlign w:val="bottom"/>
          </w:tcPr>
          <w:p>
            <w:pPr>
              <w:jc w:val="center"/>
              <w:ind w:right="178"/>
              <w:spacing w:after="0" w:line="149" w:lineRule="exact"/>
              <w:rPr>
                <w:sz w:val="20"/>
                <w:szCs w:val="20"/>
                <w:color w:val="auto"/>
              </w:rPr>
            </w:pPr>
            <w:r>
              <w:rPr>
                <w:rFonts w:ascii="Arial" w:cs="Arial" w:eastAsia="Arial" w:hAnsi="Arial"/>
                <w:sz w:val="15"/>
                <w:szCs w:val="15"/>
                <w:b w:val="1"/>
                <w:bCs w:val="1"/>
                <w:color w:val="auto"/>
                <w:w w:val="92"/>
              </w:rPr>
              <w:t>Unrealized</w:t>
            </w:r>
          </w:p>
        </w:tc>
        <w:tc>
          <w:tcPr>
            <w:tcW w:w="260" w:type="dxa"/>
            <w:vAlign w:val="bottom"/>
          </w:tcPr>
          <w:p>
            <w:pPr>
              <w:spacing w:after="0"/>
              <w:rPr>
                <w:sz w:val="12"/>
                <w:szCs w:val="12"/>
                <w:color w:val="auto"/>
              </w:rPr>
            </w:pPr>
          </w:p>
        </w:tc>
        <w:tc>
          <w:tcPr>
            <w:tcW w:w="1140" w:type="dxa"/>
            <w:vAlign w:val="bottom"/>
          </w:tcPr>
          <w:p>
            <w:pPr>
              <w:jc w:val="center"/>
              <w:ind w:right="179"/>
              <w:spacing w:after="0" w:line="149" w:lineRule="exact"/>
              <w:rPr>
                <w:sz w:val="20"/>
                <w:szCs w:val="20"/>
                <w:color w:val="auto"/>
              </w:rPr>
            </w:pPr>
            <w:r>
              <w:rPr>
                <w:rFonts w:ascii="Arial" w:cs="Arial" w:eastAsia="Arial" w:hAnsi="Arial"/>
                <w:sz w:val="15"/>
                <w:szCs w:val="15"/>
                <w:b w:val="1"/>
                <w:bCs w:val="1"/>
                <w:color w:val="auto"/>
                <w:w w:val="87"/>
              </w:rPr>
              <w:t>Less than 12</w:t>
            </w:r>
          </w:p>
        </w:tc>
        <w:tc>
          <w:tcPr>
            <w:tcW w:w="220" w:type="dxa"/>
            <w:vAlign w:val="bottom"/>
          </w:tcPr>
          <w:p>
            <w:pPr>
              <w:spacing w:after="0"/>
              <w:rPr>
                <w:sz w:val="12"/>
                <w:szCs w:val="12"/>
                <w:color w:val="auto"/>
              </w:rPr>
            </w:pPr>
          </w:p>
        </w:tc>
        <w:tc>
          <w:tcPr>
            <w:tcW w:w="1120" w:type="dxa"/>
            <w:vAlign w:val="bottom"/>
          </w:tcPr>
          <w:p>
            <w:pPr>
              <w:jc w:val="center"/>
              <w:ind w:right="137"/>
              <w:spacing w:after="0" w:line="149" w:lineRule="exact"/>
              <w:rPr>
                <w:sz w:val="20"/>
                <w:szCs w:val="20"/>
                <w:color w:val="auto"/>
              </w:rPr>
            </w:pPr>
            <w:r>
              <w:rPr>
                <w:rFonts w:ascii="Arial" w:cs="Arial" w:eastAsia="Arial" w:hAnsi="Arial"/>
                <w:sz w:val="15"/>
                <w:szCs w:val="15"/>
                <w:b w:val="1"/>
                <w:bCs w:val="1"/>
                <w:color w:val="auto"/>
                <w:w w:val="92"/>
              </w:rPr>
              <w:t>More than 12</w:t>
            </w:r>
          </w:p>
        </w:tc>
        <w:tc>
          <w:tcPr>
            <w:tcW w:w="360" w:type="dxa"/>
            <w:vAlign w:val="bottom"/>
          </w:tcPr>
          <w:p>
            <w:pPr>
              <w:spacing w:after="0"/>
              <w:rPr>
                <w:sz w:val="12"/>
                <w:szCs w:val="12"/>
                <w:color w:val="auto"/>
              </w:rPr>
            </w:pPr>
          </w:p>
        </w:tc>
        <w:tc>
          <w:tcPr>
            <w:tcW w:w="1000" w:type="dxa"/>
            <w:vAlign w:val="bottom"/>
          </w:tcPr>
          <w:p>
            <w:pPr>
              <w:jc w:val="center"/>
              <w:ind w:right="257"/>
              <w:spacing w:after="0" w:line="149" w:lineRule="exact"/>
              <w:rPr>
                <w:sz w:val="20"/>
                <w:szCs w:val="20"/>
                <w:color w:val="auto"/>
              </w:rPr>
            </w:pPr>
            <w:r>
              <w:rPr>
                <w:rFonts w:ascii="Arial" w:cs="Arial" w:eastAsia="Arial" w:hAnsi="Arial"/>
                <w:sz w:val="15"/>
                <w:szCs w:val="15"/>
                <w:b w:val="1"/>
                <w:bCs w:val="1"/>
                <w:color w:val="auto"/>
                <w:w w:val="94"/>
              </w:rPr>
              <w:t>Fair</w:t>
            </w:r>
          </w:p>
        </w:tc>
        <w:tc>
          <w:tcPr>
            <w:tcW w:w="280" w:type="dxa"/>
            <w:vAlign w:val="bottom"/>
          </w:tcPr>
          <w:p>
            <w:pPr>
              <w:spacing w:after="0"/>
              <w:rPr>
                <w:sz w:val="12"/>
                <w:szCs w:val="12"/>
                <w:color w:val="auto"/>
              </w:rPr>
            </w:pPr>
          </w:p>
        </w:tc>
        <w:tc>
          <w:tcPr>
            <w:tcW w:w="1080" w:type="dxa"/>
            <w:vAlign w:val="bottom"/>
          </w:tcPr>
          <w:p>
            <w:pPr>
              <w:jc w:val="center"/>
              <w:ind w:right="159"/>
              <w:spacing w:after="0" w:line="149" w:lineRule="exact"/>
              <w:rPr>
                <w:sz w:val="20"/>
                <w:szCs w:val="20"/>
                <w:color w:val="auto"/>
              </w:rPr>
            </w:pPr>
            <w:r>
              <w:rPr>
                <w:rFonts w:ascii="Arial" w:cs="Arial" w:eastAsia="Arial" w:hAnsi="Arial"/>
                <w:sz w:val="15"/>
                <w:szCs w:val="15"/>
                <w:b w:val="1"/>
                <w:bCs w:val="1"/>
                <w:color w:val="auto"/>
                <w:w w:val="87"/>
              </w:rPr>
              <w:t>Gains/</w:t>
            </w:r>
          </w:p>
        </w:tc>
      </w:tr>
      <w:tr>
        <w:trPr>
          <w:trHeight w:val="18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5"/>
                <w:szCs w:val="15"/>
                <w:b w:val="1"/>
                <w:bCs w:val="1"/>
                <w:color w:val="auto"/>
                <w:w w:val="83"/>
              </w:rPr>
              <w:t>Cost</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78"/>
              <w:spacing w:after="0"/>
              <w:rPr>
                <w:sz w:val="20"/>
                <w:szCs w:val="20"/>
                <w:color w:val="auto"/>
              </w:rPr>
            </w:pPr>
            <w:r>
              <w:rPr>
                <w:rFonts w:ascii="Arial" w:cs="Arial" w:eastAsia="Arial" w:hAnsi="Arial"/>
                <w:sz w:val="15"/>
                <w:szCs w:val="15"/>
                <w:b w:val="1"/>
                <w:bCs w:val="1"/>
                <w:color w:val="auto"/>
                <w:w w:val="91"/>
              </w:rPr>
              <w:t>Gains</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9"/>
              <w:spacing w:after="0"/>
              <w:rPr>
                <w:sz w:val="20"/>
                <w:szCs w:val="20"/>
                <w:color w:val="auto"/>
              </w:rPr>
            </w:pPr>
            <w:r>
              <w:rPr>
                <w:rFonts w:ascii="Arial" w:cs="Arial" w:eastAsia="Arial" w:hAnsi="Arial"/>
                <w:sz w:val="15"/>
                <w:szCs w:val="15"/>
                <w:b w:val="1"/>
                <w:bCs w:val="1"/>
                <w:color w:val="auto"/>
                <w:w w:val="89"/>
              </w:rPr>
              <w:t>Months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5"/>
                <w:szCs w:val="15"/>
                <w:b w:val="1"/>
                <w:bCs w:val="1"/>
                <w:color w:val="auto"/>
                <w:w w:val="93"/>
              </w:rPr>
              <w:t>Months</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37"/>
              <w:spacing w:after="0"/>
              <w:rPr>
                <w:sz w:val="20"/>
                <w:szCs w:val="20"/>
                <w:color w:val="auto"/>
              </w:rPr>
            </w:pPr>
            <w:r>
              <w:rPr>
                <w:rFonts w:ascii="Arial" w:cs="Arial" w:eastAsia="Arial" w:hAnsi="Arial"/>
                <w:sz w:val="15"/>
                <w:szCs w:val="15"/>
                <w:b w:val="1"/>
                <w:bCs w:val="1"/>
                <w:color w:val="auto"/>
                <w:w w:val="89"/>
              </w:rPr>
              <w:t>Value</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9"/>
              <w:spacing w:after="0"/>
              <w:rPr>
                <w:sz w:val="20"/>
                <w:szCs w:val="20"/>
                <w:color w:val="auto"/>
              </w:rPr>
            </w:pPr>
            <w:r>
              <w:rPr>
                <w:rFonts w:ascii="Arial" w:cs="Arial" w:eastAsia="Arial" w:hAnsi="Arial"/>
                <w:sz w:val="15"/>
                <w:szCs w:val="15"/>
                <w:b w:val="1"/>
                <w:bCs w:val="1"/>
                <w:color w:val="auto"/>
                <w:w w:val="84"/>
              </w:rPr>
              <w:t>(Losses</w:t>
            </w:r>
            <w:r>
              <w:rPr>
                <w:rFonts w:ascii="Arial" w:cs="Arial" w:eastAsia="Arial" w:hAnsi="Arial"/>
                <w:sz w:val="15"/>
                <w:szCs w:val="15"/>
                <w:color w:val="auto"/>
                <w:w w:val="84"/>
              </w:rPr>
              <w:t>)</w:t>
            </w: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 Treasury securities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606,389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147,650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754,039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147,650</w:t>
            </w: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Territories and Possessions</w:t>
            </w:r>
          </w:p>
        </w:tc>
        <w:tc>
          <w:tcPr>
            <w:tcW w:w="300" w:type="dxa"/>
            <w:vAlign w:val="bottom"/>
          </w:tcPr>
          <w:p>
            <w:pPr>
              <w:spacing w:after="0"/>
              <w:rPr>
                <w:sz w:val="18"/>
                <w:szCs w:val="18"/>
                <w:color w:val="auto"/>
              </w:rPr>
            </w:pP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1,417,679</w:t>
            </w:r>
          </w:p>
        </w:tc>
        <w:tc>
          <w:tcPr>
            <w:tcW w:w="300" w:type="dxa"/>
            <w:vAlign w:val="bottom"/>
          </w:tcPr>
          <w:p>
            <w:pPr>
              <w:spacing w:after="0"/>
              <w:rPr>
                <w:sz w:val="18"/>
                <w:szCs w:val="18"/>
                <w:color w:val="auto"/>
              </w:rPr>
            </w:pP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70,284</w:t>
            </w:r>
          </w:p>
        </w:tc>
        <w:tc>
          <w:tcPr>
            <w:tcW w:w="26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(54,189)</w:t>
            </w:r>
          </w:p>
        </w:tc>
        <w:tc>
          <w:tcPr>
            <w:tcW w:w="360" w:type="dxa"/>
            <w:vAlign w:val="bottom"/>
          </w:tcPr>
          <w:p>
            <w:pPr>
              <w:spacing w:after="0"/>
              <w:rPr>
                <w:sz w:val="18"/>
                <w:szCs w:val="18"/>
                <w:color w:val="auto"/>
              </w:rPr>
            </w:pPr>
          </w:p>
        </w:tc>
        <w:tc>
          <w:tcPr>
            <w:tcW w:w="1000" w:type="dxa"/>
            <w:vAlign w:val="bottom"/>
          </w:tcPr>
          <w:p>
            <w:pPr>
              <w:jc w:val="right"/>
              <w:ind w:right="57"/>
              <w:spacing w:after="0"/>
              <w:rPr>
                <w:sz w:val="20"/>
                <w:szCs w:val="20"/>
                <w:color w:val="auto"/>
              </w:rPr>
            </w:pPr>
            <w:r>
              <w:rPr>
                <w:rFonts w:ascii="Arial" w:cs="Arial" w:eastAsia="Arial" w:hAnsi="Arial"/>
                <w:sz w:val="18"/>
                <w:szCs w:val="18"/>
                <w:color w:val="auto"/>
              </w:rPr>
              <w:t>1,433,774</w:t>
            </w:r>
          </w:p>
        </w:tc>
        <w:tc>
          <w:tcPr>
            <w:tcW w:w="28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8"/>
                <w:szCs w:val="18"/>
                <w:color w:val="auto"/>
              </w:rPr>
              <w:t>16,095</w:t>
            </w: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Corporate and other bonds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3"/>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3,114,804</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82,265</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(17,980)</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(125,807)</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3,053,282</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(61,522)</w:t>
            </w: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5,138,872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300,199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(17,980)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(179,996)</w:t>
            </w:r>
          </w:p>
        </w:tc>
        <w:tc>
          <w:tcPr>
            <w:tcW w:w="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5,241,095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102,223</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Held-to-maturity U.S. Treasury securities are held in trust pursuant to the New York State Department of Financial Services’ minimum funds requirement.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3" w:name="page14"/>
    <w:bookmarkEnd w:id="13"/>
    <w:p>
      <w:pPr>
        <w:ind w:right="280"/>
        <w:spacing w:after="0" w:line="268" w:lineRule="auto"/>
        <w:rPr>
          <w:sz w:val="20"/>
          <w:szCs w:val="20"/>
          <w:color w:val="auto"/>
        </w:rPr>
      </w:pPr>
      <w:r>
        <w:rPr>
          <w:rFonts w:ascii="Arial" w:cs="Arial" w:eastAsia="Arial" w:hAnsi="Arial"/>
          <w:sz w:val="18"/>
          <w:szCs w:val="18"/>
          <w:color w:val="auto"/>
        </w:rPr>
        <w:t>A summary of the amortized cost and fair value of the Company’s investments in held-to-maturity securities by contractual maturity as of September 30, 2016 and December 31, 2015 is shown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2720" w:type="dxa"/>
            <w:vAlign w:val="bottom"/>
            <w:tcBorders>
              <w:bottom w:val="single" w:sz="8" w:color="auto"/>
            </w:tcBorders>
            <w:gridSpan w:val="2"/>
          </w:tcPr>
          <w:p>
            <w:pPr>
              <w:ind w:left="660"/>
              <w:spacing w:after="0"/>
              <w:rPr>
                <w:sz w:val="20"/>
                <w:szCs w:val="20"/>
                <w:color w:val="auto"/>
              </w:rPr>
            </w:pPr>
            <w:r>
              <w:rPr>
                <w:rFonts w:ascii="Arial" w:cs="Arial" w:eastAsia="Arial" w:hAnsi="Arial"/>
                <w:sz w:val="15"/>
                <w:szCs w:val="15"/>
                <w:b w:val="1"/>
                <w:bCs w:val="1"/>
                <w:color w:val="auto"/>
              </w:rPr>
              <w:t>September 30, 2016</w:t>
            </w:r>
          </w:p>
        </w:tc>
        <w:tc>
          <w:tcPr>
            <w:tcW w:w="2740" w:type="dxa"/>
            <w:vAlign w:val="bottom"/>
            <w:tcBorders>
              <w:bottom w:val="single" w:sz="8" w:color="auto"/>
            </w:tcBorders>
            <w:gridSpan w:val="2"/>
          </w:tcPr>
          <w:p>
            <w:pPr>
              <w:ind w:left="700"/>
              <w:spacing w:after="0"/>
              <w:rPr>
                <w:sz w:val="20"/>
                <w:szCs w:val="20"/>
                <w:color w:val="auto"/>
              </w:rPr>
            </w:pPr>
            <w:r>
              <w:rPr>
                <w:rFonts w:ascii="Arial" w:cs="Arial" w:eastAsia="Arial" w:hAnsi="Arial"/>
                <w:sz w:val="15"/>
                <w:szCs w:val="15"/>
                <w:b w:val="1"/>
                <w:bCs w:val="1"/>
                <w:color w:val="auto"/>
              </w:rPr>
              <w:t>December 31, 2015</w:t>
            </w:r>
          </w:p>
        </w:tc>
      </w:tr>
      <w:tr>
        <w:trPr>
          <w:trHeight w:val="149"/>
        </w:trPr>
        <w:tc>
          <w:tcPr>
            <w:tcW w:w="59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2"/>
              </w:rPr>
              <w:t>Amortized</w:t>
            </w:r>
          </w:p>
        </w:tc>
        <w:tc>
          <w:tcPr>
            <w:tcW w:w="13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2"/>
              </w:rPr>
              <w:t>Amortized</w:t>
            </w:r>
          </w:p>
        </w:tc>
        <w:tc>
          <w:tcPr>
            <w:tcW w:w="1360" w:type="dxa"/>
            <w:vAlign w:val="bottom"/>
          </w:tcPr>
          <w:p>
            <w:pPr>
              <w:spacing w:after="0"/>
              <w:rPr>
                <w:sz w:val="12"/>
                <w:szCs w:val="12"/>
                <w:color w:val="auto"/>
              </w:rPr>
            </w:pPr>
          </w:p>
        </w:tc>
      </w:tr>
      <w:tr>
        <w:trPr>
          <w:trHeight w:val="18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Remaining Time to Maturit</w:t>
            </w:r>
            <w:r>
              <w:rPr>
                <w:rFonts w:ascii="Arial" w:cs="Arial" w:eastAsia="Arial" w:hAnsi="Arial"/>
                <w:sz w:val="15"/>
                <w:szCs w:val="15"/>
                <w:color w:val="auto"/>
              </w:rPr>
              <w:t>y</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Cost</w:t>
            </w: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Fair Value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Cost</w:t>
            </w: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Fair Value</w:t>
            </w:r>
          </w:p>
        </w:tc>
      </w:tr>
    </w:tbl>
    <w:p>
      <w:pPr>
        <w:spacing w:after="0" w:line="200" w:lineRule="exact"/>
        <w:rPr>
          <w:sz w:val="20"/>
          <w:szCs w:val="20"/>
          <w:color w:val="auto"/>
        </w:rPr>
      </w:pPr>
    </w:p>
    <w:p>
      <w:pPr>
        <w:sectPr>
          <w:pgSz w:w="11900" w:h="16838" w:orient="portrait"/>
          <w:cols w:equalWidth="0" w:num="1">
            <w:col w:w="11420"/>
          </w:cols>
          <w:pgMar w:left="240" w:top="536" w:right="239" w:bottom="1440" w:gutter="0" w:footer="0" w:header="0"/>
        </w:sectPr>
      </w:pPr>
    </w:p>
    <w:p>
      <w:pPr>
        <w:spacing w:after="0" w:line="8" w:lineRule="exact"/>
        <w:rPr>
          <w:sz w:val="20"/>
          <w:szCs w:val="20"/>
          <w:color w:val="auto"/>
        </w:rPr>
      </w:pPr>
    </w:p>
    <w:p>
      <w:pPr>
        <w:ind w:left="60"/>
        <w:spacing w:after="0"/>
        <w:rPr>
          <w:sz w:val="20"/>
          <w:szCs w:val="20"/>
          <w:color w:val="auto"/>
        </w:rPr>
      </w:pPr>
      <w:r>
        <w:rPr>
          <w:rFonts w:ascii="Arial" w:cs="Arial" w:eastAsia="Arial" w:hAnsi="Arial"/>
          <w:sz w:val="15"/>
          <w:szCs w:val="15"/>
          <w:color w:val="auto"/>
        </w:rPr>
        <w:t>Less than one year</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6"/>
          <w:szCs w:val="16"/>
          <w:color w:val="auto"/>
        </w:rPr>
        <w:t>One to five years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Five to ten years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5"/>
          <w:szCs w:val="15"/>
          <w:color w:val="auto"/>
        </w:rPr>
        <w:t>More than 10 years</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650,000</w:t>
            </w:r>
          </w:p>
        </w:tc>
        <w:tc>
          <w:tcPr>
            <w:tcW w:w="38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658,165</w:t>
            </w:r>
          </w:p>
        </w:tc>
        <w:tc>
          <w:tcPr>
            <w:tcW w:w="3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500,000</w:t>
            </w:r>
          </w:p>
        </w:tc>
        <w:tc>
          <w:tcPr>
            <w:tcW w:w="3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496,245</w:t>
            </w:r>
          </w:p>
        </w:tc>
      </w:tr>
      <w:tr>
        <w:trPr>
          <w:trHeight w:val="216"/>
        </w:trPr>
        <w:tc>
          <w:tcPr>
            <w:tcW w:w="3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3,838,038</w:t>
            </w:r>
          </w:p>
        </w:tc>
        <w:tc>
          <w:tcPr>
            <w:tcW w:w="38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4,070,530</w:t>
            </w:r>
          </w:p>
        </w:tc>
        <w:tc>
          <w:tcPr>
            <w:tcW w:w="3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4,032,483</w:t>
            </w:r>
          </w:p>
        </w:tc>
        <w:tc>
          <w:tcPr>
            <w:tcW w:w="3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3,990,811</w:t>
            </w:r>
          </w:p>
        </w:tc>
      </w:tr>
      <w:tr>
        <w:trPr>
          <w:trHeight w:val="231"/>
        </w:trPr>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606,417</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754,040</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606,389</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754,039</w:t>
            </w:r>
          </w:p>
        </w:tc>
      </w:tr>
      <w:tr>
        <w:trPr>
          <w:trHeight w:val="216"/>
        </w:trPr>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5,094,455</w:t>
            </w: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5,482,735</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5,138,872</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5,241,095</w:t>
            </w: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-736600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-462280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-170815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460"/>
          </w:cols>
          <w:pgMar w:left="240" w:top="536" w:right="2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Major categories of the Company’s net investment income are summarized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60" w:type="dxa"/>
            <w:vAlign w:val="bottom"/>
            <w:gridSpan w:val="3"/>
          </w:tcPr>
          <w:p>
            <w:pPr>
              <w:jc w:val="right"/>
              <w:ind w:right="634"/>
              <w:spacing w:after="0"/>
              <w:rPr>
                <w:sz w:val="20"/>
                <w:szCs w:val="20"/>
                <w:color w:val="auto"/>
              </w:rPr>
            </w:pPr>
            <w:r>
              <w:rPr>
                <w:rFonts w:ascii="Arial" w:cs="Arial" w:eastAsia="Arial" w:hAnsi="Arial"/>
                <w:sz w:val="15"/>
                <w:szCs w:val="15"/>
                <w:b w:val="1"/>
                <w:bCs w:val="1"/>
                <w:color w:val="auto"/>
              </w:rPr>
              <w:t>Three months ended</w:t>
            </w:r>
          </w:p>
        </w:tc>
        <w:tc>
          <w:tcPr>
            <w:tcW w:w="360" w:type="dxa"/>
            <w:vAlign w:val="bottom"/>
          </w:tcPr>
          <w:p>
            <w:pPr>
              <w:spacing w:after="0"/>
              <w:rPr>
                <w:sz w:val="16"/>
                <w:szCs w:val="16"/>
                <w:color w:val="auto"/>
              </w:rPr>
            </w:pPr>
          </w:p>
        </w:tc>
        <w:tc>
          <w:tcPr>
            <w:tcW w:w="2360" w:type="dxa"/>
            <w:vAlign w:val="bottom"/>
            <w:gridSpan w:val="3"/>
          </w:tcPr>
          <w:p>
            <w:pPr>
              <w:jc w:val="right"/>
              <w:ind w:right="654"/>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206"/>
        </w:trPr>
        <w:tc>
          <w:tcPr>
            <w:tcW w:w="59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9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Income:</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5"/>
                <w:szCs w:val="15"/>
                <w:b w:val="1"/>
                <w:bCs w:val="1"/>
                <w:color w:val="auto"/>
              </w:rPr>
              <w:t>2016</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2015</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5"/>
                <w:szCs w:val="15"/>
                <w:b w:val="1"/>
                <w:bCs w:val="1"/>
                <w:color w:val="auto"/>
              </w:rPr>
              <w:t>2016</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2015</w:t>
            </w:r>
          </w:p>
        </w:tc>
        <w:tc>
          <w:tcPr>
            <w:tcW w:w="0" w:type="dxa"/>
            <w:vAlign w:val="bottom"/>
          </w:tcPr>
          <w:p>
            <w:pPr>
              <w:spacing w:after="0"/>
              <w:rPr>
                <w:sz w:val="1"/>
                <w:szCs w:val="1"/>
                <w:color w:val="auto"/>
              </w:rPr>
            </w:pPr>
          </w:p>
        </w:tc>
      </w:tr>
      <w:tr>
        <w:trPr>
          <w:trHeight w:val="215"/>
        </w:trPr>
        <w:tc>
          <w:tcPr>
            <w:tcW w:w="59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Fixed-maturity securities</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602,337</w:t>
            </w:r>
          </w:p>
        </w:tc>
        <w:tc>
          <w:tcPr>
            <w:tcW w:w="5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595,529</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1,952,589</w:t>
            </w:r>
          </w:p>
        </w:tc>
        <w:tc>
          <w:tcPr>
            <w:tcW w:w="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2"/>
              </w:rPr>
              <w:t>1,671,821</w:t>
            </w:r>
          </w:p>
        </w:tc>
        <w:tc>
          <w:tcPr>
            <w:tcW w:w="0" w:type="dxa"/>
            <w:vAlign w:val="bottom"/>
          </w:tcPr>
          <w:p>
            <w:pPr>
              <w:spacing w:after="0"/>
              <w:rPr>
                <w:sz w:val="1"/>
                <w:szCs w:val="1"/>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Equity securities</w:t>
            </w:r>
          </w:p>
        </w:tc>
        <w:tc>
          <w:tcPr>
            <w:tcW w:w="3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135,809</w:t>
            </w:r>
          </w:p>
        </w:tc>
        <w:tc>
          <w:tcPr>
            <w:tcW w:w="50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125,379</w:t>
            </w:r>
          </w:p>
        </w:tc>
        <w:tc>
          <w:tcPr>
            <w:tcW w:w="360" w:type="dxa"/>
            <w:vAlign w:val="bottom"/>
          </w:tcPr>
          <w:p>
            <w:pPr>
              <w:spacing w:after="0"/>
              <w:rPr>
                <w:sz w:val="18"/>
                <w:szCs w:val="18"/>
                <w:color w:val="auto"/>
              </w:rPr>
            </w:pPr>
          </w:p>
        </w:tc>
        <w:tc>
          <w:tcPr>
            <w:tcW w:w="1000" w:type="dxa"/>
            <w:vAlign w:val="bottom"/>
          </w:tcPr>
          <w:p>
            <w:pPr>
              <w:jc w:val="right"/>
              <w:ind w:right="57"/>
              <w:spacing w:after="0"/>
              <w:rPr>
                <w:sz w:val="20"/>
                <w:szCs w:val="20"/>
                <w:color w:val="auto"/>
              </w:rPr>
            </w:pPr>
            <w:r>
              <w:rPr>
                <w:rFonts w:ascii="Arial" w:cs="Arial" w:eastAsia="Arial" w:hAnsi="Arial"/>
                <w:sz w:val="18"/>
                <w:szCs w:val="18"/>
                <w:color w:val="auto"/>
              </w:rPr>
              <w:t>416,412</w:t>
            </w:r>
          </w:p>
        </w:tc>
        <w:tc>
          <w:tcPr>
            <w:tcW w:w="460" w:type="dxa"/>
            <w:vAlign w:val="bottom"/>
          </w:tcPr>
          <w:p>
            <w:pPr>
              <w:spacing w:after="0"/>
              <w:rPr>
                <w:sz w:val="18"/>
                <w:szCs w:val="18"/>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378,084</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5,674</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250</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14,852</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596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743,820</w:t>
            </w:r>
          </w:p>
        </w:tc>
        <w:tc>
          <w:tcPr>
            <w:tcW w:w="50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721,158</w:t>
            </w:r>
          </w:p>
        </w:tc>
        <w:tc>
          <w:tcPr>
            <w:tcW w:w="360" w:type="dxa"/>
            <w:vAlign w:val="bottom"/>
          </w:tcPr>
          <w:p>
            <w:pPr>
              <w:spacing w:after="0"/>
              <w:rPr>
                <w:sz w:val="18"/>
                <w:szCs w:val="18"/>
                <w:color w:val="auto"/>
              </w:rPr>
            </w:pPr>
          </w:p>
        </w:tc>
        <w:tc>
          <w:tcPr>
            <w:tcW w:w="1000" w:type="dxa"/>
            <w:vAlign w:val="bottom"/>
          </w:tcPr>
          <w:p>
            <w:pPr>
              <w:jc w:val="right"/>
              <w:ind w:right="57"/>
              <w:spacing w:after="0"/>
              <w:rPr>
                <w:sz w:val="20"/>
                <w:szCs w:val="20"/>
                <w:color w:val="auto"/>
              </w:rPr>
            </w:pPr>
            <w:r>
              <w:rPr>
                <w:rFonts w:ascii="Arial" w:cs="Arial" w:eastAsia="Arial" w:hAnsi="Arial"/>
                <w:sz w:val="18"/>
                <w:szCs w:val="18"/>
                <w:color w:val="auto"/>
              </w:rPr>
              <w:t>2,383,853</w:t>
            </w:r>
          </w:p>
        </w:tc>
        <w:tc>
          <w:tcPr>
            <w:tcW w:w="460" w:type="dxa"/>
            <w:vAlign w:val="bottom"/>
          </w:tcPr>
          <w:p>
            <w:pPr>
              <w:spacing w:after="0"/>
              <w:rPr>
                <w:sz w:val="18"/>
                <w:szCs w:val="18"/>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w w:val="92"/>
              </w:rPr>
              <w:t>2,050,370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Expenses: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60"/>
              <w:spacing w:after="0"/>
              <w:rPr>
                <w:sz w:val="20"/>
                <w:szCs w:val="20"/>
                <w:color w:val="auto"/>
              </w:rPr>
            </w:pPr>
            <w:r>
              <w:rPr>
                <w:rFonts w:ascii="Arial" w:cs="Arial" w:eastAsia="Arial" w:hAnsi="Arial"/>
                <w:sz w:val="18"/>
                <w:szCs w:val="18"/>
                <w:color w:val="auto"/>
              </w:rPr>
              <w:t>Investment expenses</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34,748</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71,717</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97,654</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200,301</w:t>
            </w: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709,072</w:t>
            </w:r>
          </w:p>
        </w:tc>
        <w:tc>
          <w:tcPr>
            <w:tcW w:w="5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649,441</w:t>
            </w:r>
          </w:p>
        </w:tc>
        <w:tc>
          <w:tcPr>
            <w:tcW w:w="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2,286,199</w:t>
            </w:r>
          </w:p>
        </w:tc>
        <w:tc>
          <w:tcPr>
            <w:tcW w:w="4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2"/>
              </w:rPr>
              <w:t>1,850,069</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Proceeds from the sale and maturity of fixed-maturity securities available-for-sale were $16,374,028 and $1,680,633 for the nine months ended September 30, 2016 and 2015, respectively.</w:t>
      </w:r>
    </w:p>
    <w:p>
      <w:pPr>
        <w:spacing w:after="0" w:line="213"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Proceeds from the sale of equity securities available-for-sale were $6,065,744 and $1,642,971 for the nine months ended September 30, 2016 and 2015, respectively.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The Company’s net realized gains (losses) on investments are summarized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gridSpan w:val="3"/>
          </w:tcPr>
          <w:p>
            <w:pPr>
              <w:jc w:val="right"/>
              <w:ind w:right="654"/>
              <w:spacing w:after="0"/>
              <w:rPr>
                <w:sz w:val="20"/>
                <w:szCs w:val="20"/>
                <w:color w:val="auto"/>
              </w:rPr>
            </w:pPr>
            <w:r>
              <w:rPr>
                <w:rFonts w:ascii="Arial" w:cs="Arial" w:eastAsia="Arial" w:hAnsi="Arial"/>
                <w:sz w:val="15"/>
                <w:szCs w:val="15"/>
                <w:b w:val="1"/>
                <w:bCs w:val="1"/>
                <w:color w:val="auto"/>
              </w:rPr>
              <w:t>Three months ended</w:t>
            </w:r>
          </w:p>
        </w:tc>
        <w:tc>
          <w:tcPr>
            <w:tcW w:w="360" w:type="dxa"/>
            <w:vAlign w:val="bottom"/>
          </w:tcPr>
          <w:p>
            <w:pPr>
              <w:spacing w:after="0"/>
              <w:rPr>
                <w:sz w:val="16"/>
                <w:szCs w:val="16"/>
                <w:color w:val="auto"/>
              </w:rPr>
            </w:pPr>
          </w:p>
        </w:tc>
        <w:tc>
          <w:tcPr>
            <w:tcW w:w="2340" w:type="dxa"/>
            <w:vAlign w:val="bottom"/>
            <w:gridSpan w:val="3"/>
          </w:tcPr>
          <w:p>
            <w:pPr>
              <w:jc w:val="right"/>
              <w:ind w:right="654"/>
              <w:spacing w:after="0"/>
              <w:rPr>
                <w:sz w:val="20"/>
                <w:szCs w:val="20"/>
                <w:color w:val="auto"/>
              </w:rPr>
            </w:pPr>
            <w:r>
              <w:rPr>
                <w:rFonts w:ascii="Arial" w:cs="Arial" w:eastAsia="Arial" w:hAnsi="Arial"/>
                <w:sz w:val="15"/>
                <w:szCs w:val="15"/>
                <w:b w:val="1"/>
                <w:bCs w:val="1"/>
                <w:color w:val="auto"/>
              </w:rPr>
              <w:t>Nine months ended</w:t>
            </w:r>
          </w:p>
        </w:tc>
      </w:tr>
      <w:tr>
        <w:trPr>
          <w:trHeight w:val="206"/>
        </w:trPr>
        <w:tc>
          <w:tcPr>
            <w:tcW w:w="59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223"/>
        </w:trPr>
        <w:tc>
          <w:tcPr>
            <w:tcW w:w="59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2016</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5"/>
                <w:szCs w:val="15"/>
                <w:b w:val="1"/>
                <w:bCs w:val="1"/>
                <w:color w:val="auto"/>
                <w:w w:val="95"/>
              </w:rPr>
              <w:t>2015</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2016</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w w:val="95"/>
              </w:rPr>
              <w:t>2015</w:t>
            </w:r>
          </w:p>
        </w:tc>
      </w:tr>
      <w:tr>
        <w:trPr>
          <w:trHeight w:val="216"/>
        </w:trPr>
        <w:tc>
          <w:tcPr>
            <w:tcW w:w="5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Fixed-maturity securities: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Gross realized gains</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6"/>
              <w:spacing w:after="0"/>
              <w:rPr>
                <w:sz w:val="20"/>
                <w:szCs w:val="20"/>
                <w:color w:val="auto"/>
              </w:rPr>
            </w:pPr>
            <w:r>
              <w:rPr>
                <w:rFonts w:ascii="Arial" w:cs="Arial" w:eastAsia="Arial" w:hAnsi="Arial"/>
                <w:sz w:val="18"/>
                <w:szCs w:val="18"/>
                <w:color w:val="auto"/>
              </w:rPr>
              <w:t>21,173</w:t>
            </w:r>
          </w:p>
        </w:tc>
        <w:tc>
          <w:tcPr>
            <w:tcW w:w="4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20</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333,066</w:t>
            </w:r>
          </w:p>
        </w:tc>
        <w:tc>
          <w:tcPr>
            <w:tcW w:w="4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20</w:t>
            </w:r>
          </w:p>
        </w:tc>
      </w:tr>
      <w:tr>
        <w:trPr>
          <w:trHeight w:val="223"/>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Gross realized losses</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(51,085)</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(25,886)</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(222,056)</w:t>
            </w: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(112,097)</w:t>
            </w:r>
          </w:p>
        </w:tc>
      </w:tr>
      <w:tr>
        <w:trPr>
          <w:trHeight w:val="223"/>
        </w:trPr>
        <w:tc>
          <w:tcPr>
            <w:tcW w:w="59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(29,912)</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(25,866)</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111,010</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(112,077)</w:t>
            </w:r>
          </w:p>
        </w:tc>
      </w:tr>
      <w:tr>
        <w:trPr>
          <w:trHeight w:val="216"/>
        </w:trPr>
        <w:tc>
          <w:tcPr>
            <w:tcW w:w="5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b w:val="1"/>
                <w:bCs w:val="1"/>
                <w:color w:val="auto"/>
              </w:rPr>
              <w:t>Equity securities: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Gross realized gains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270,947</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12,549</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586,564</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48,970</w:t>
            </w:r>
          </w:p>
        </w:tc>
      </w:tr>
      <w:tr>
        <w:trPr>
          <w:trHeight w:val="223"/>
        </w:trPr>
        <w:tc>
          <w:tcPr>
            <w:tcW w:w="5960" w:type="dxa"/>
            <w:vAlign w:val="bottom"/>
          </w:tcPr>
          <w:p>
            <w:pPr>
              <w:ind w:left="60"/>
              <w:spacing w:after="0"/>
              <w:rPr>
                <w:sz w:val="20"/>
                <w:szCs w:val="20"/>
                <w:color w:val="auto"/>
              </w:rPr>
            </w:pPr>
            <w:r>
              <w:rPr>
                <w:rFonts w:ascii="Arial" w:cs="Arial" w:eastAsia="Arial" w:hAnsi="Arial"/>
                <w:sz w:val="18"/>
                <w:szCs w:val="18"/>
                <w:color w:val="auto"/>
              </w:rPr>
              <w:t>Gross realized losses</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(27,170)</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(22,760)</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(42,611)</w:t>
            </w:r>
          </w:p>
        </w:tc>
      </w:tr>
      <w:tr>
        <w:trPr>
          <w:trHeight w:val="223"/>
        </w:trPr>
        <w:tc>
          <w:tcPr>
            <w:tcW w:w="59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270,947</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(14,621)</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563,804</w:t>
            </w: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6,359</w:t>
            </w:r>
          </w:p>
        </w:tc>
      </w:tr>
      <w:tr>
        <w:trPr>
          <w:trHeight w:val="216"/>
        </w:trPr>
        <w:tc>
          <w:tcPr>
            <w:tcW w:w="5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Other-than-temporary impairment losses: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3"/>
        </w:trPr>
        <w:tc>
          <w:tcPr>
            <w:tcW w:w="5960" w:type="dxa"/>
            <w:vAlign w:val="bottom"/>
          </w:tcPr>
          <w:p>
            <w:pPr>
              <w:ind w:left="60"/>
              <w:spacing w:after="0"/>
              <w:rPr>
                <w:sz w:val="20"/>
                <w:szCs w:val="20"/>
                <w:color w:val="auto"/>
              </w:rPr>
            </w:pPr>
            <w:r>
              <w:rPr>
                <w:rFonts w:ascii="Arial" w:cs="Arial" w:eastAsia="Arial" w:hAnsi="Arial"/>
                <w:sz w:val="18"/>
                <w:szCs w:val="18"/>
                <w:color w:val="auto"/>
              </w:rPr>
              <w:t>Fixed-maturity securities</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(69,911)</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(69,911)</w:t>
            </w: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realized gains (losses)</w:t>
            </w:r>
          </w:p>
        </w:tc>
        <w:tc>
          <w:tcPr>
            <w:tcW w:w="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241,035</w:t>
            </w:r>
          </w:p>
        </w:tc>
        <w:tc>
          <w:tcPr>
            <w:tcW w:w="4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(40,487)</w:t>
            </w:r>
          </w:p>
        </w:tc>
        <w:tc>
          <w:tcPr>
            <w:tcW w:w="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604,903</w:t>
            </w:r>
          </w:p>
        </w:tc>
        <w:tc>
          <w:tcPr>
            <w:tcW w:w="4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(105,718)</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Review</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Impairment of investment securities results in a charge to operations when a market decline below cost is deemed to be other-than-temporary. The Company regularly reviews its fixed-maturity securities and equity securities portfolios to evaluate the necessity of recording impairment losses for other-than-temporary declines in the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other comprehensive income. The credit loss component recognized in earnings is identified as the amount of principal cash flows not expected to be received over the remaining term of the security as projected based on cash flow projections. For held-to-maturity debt securities, the amount of OTTI recorded in other comprehensive income for the noncredit portion of a previous OTTI is amortized prospectively over the remaining life of the security on the basis of timing of future estimated cash flows of the security.</w:t>
      </w:r>
    </w:p>
    <w:p>
      <w:pPr>
        <w:spacing w:after="0" w:line="20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OTTI losses are recorded in the condensed consolidated statements of income and comprehensive income as net realized losses on investments and result in a permanent reduction of the cost basis of the underlying investment. The determination of OTTI is a subjective process and different judgments and assumptions could affect the timing of loss realization. At September 30, 2016 and December 31, 2015, there were 37 and 57 securities, respectively, that accounted for the gross unrealized loss. As of September 30, 2016 the Company’s held-to-maturity debt securities included an investment in one bond issued by the Commonwealth of Puerto Rico (“PR”). In July 2016, PR defaulted on its interest payment to bondholders. Due to the credit deterioration of PR, the Company recorded a credit loss component of OTTI on this investment as of June 30, 2016. For the nine months ended September 30, 2016, the full amount of the write-down was recognized as a credit component of OTTI in the amount of $69,911 and is included as a reduction to net realized gains in the condensed consolidated statements of income and comprehensive income. The Company determined that none of the other unrealized losses were deemed to be OTTI for its portfolio of fixed-maturity investments and equity securities for the nine months ended September 30, 2016 and 2015.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fair value to the Company’s cost basis.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5" w:name="page16"/>
    <w:bookmarkEnd w:id="15"/>
    <w:p>
      <w:pPr>
        <w:ind w:right="440"/>
        <w:spacing w:after="0" w:line="268" w:lineRule="auto"/>
        <w:rPr>
          <w:sz w:val="20"/>
          <w:szCs w:val="20"/>
          <w:color w:val="auto"/>
        </w:rPr>
      </w:pPr>
      <w:r>
        <w:rPr>
          <w:rFonts w:ascii="Arial" w:cs="Arial" w:eastAsia="Arial" w:hAnsi="Arial"/>
          <w:sz w:val="18"/>
          <w:szCs w:val="18"/>
          <w:color w:val="auto"/>
        </w:rPr>
        <w:t>The Company held securities with unrealized losses representing declines that were considered temporary at September 30, 2016 and December 31, 2015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646"/>
              <w:spacing w:after="0"/>
              <w:rPr>
                <w:sz w:val="20"/>
                <w:szCs w:val="20"/>
                <w:color w:val="auto"/>
              </w:rPr>
            </w:pPr>
            <w:r>
              <w:rPr>
                <w:rFonts w:ascii="Arial" w:cs="Arial" w:eastAsia="Arial" w:hAnsi="Arial"/>
                <w:sz w:val="15"/>
                <w:szCs w:val="15"/>
                <w:b w:val="1"/>
                <w:bCs w:val="1"/>
                <w:color w:val="auto"/>
                <w:w w:val="99"/>
              </w:rPr>
              <w:t>September 30, 2016</w:t>
            </w: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69"/>
        </w:trPr>
        <w:tc>
          <w:tcPr>
            <w:tcW w:w="2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46"/>
              <w:spacing w:after="0" w:line="162" w:lineRule="exact"/>
              <w:rPr>
                <w:sz w:val="20"/>
                <w:szCs w:val="20"/>
                <w:color w:val="auto"/>
              </w:rPr>
            </w:pPr>
            <w:r>
              <w:rPr>
                <w:rFonts w:ascii="Arial" w:cs="Arial" w:eastAsia="Arial" w:hAnsi="Arial"/>
                <w:sz w:val="15"/>
                <w:szCs w:val="15"/>
                <w:b w:val="1"/>
                <w:bCs w:val="1"/>
                <w:color w:val="auto"/>
                <w:w w:val="87"/>
              </w:rPr>
              <w:t>Less than 12 months</w:t>
            </w: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66"/>
              <w:spacing w:after="0" w:line="162" w:lineRule="exact"/>
              <w:rPr>
                <w:sz w:val="20"/>
                <w:szCs w:val="20"/>
                <w:color w:val="auto"/>
              </w:rPr>
            </w:pPr>
            <w:r>
              <w:rPr>
                <w:rFonts w:ascii="Arial" w:cs="Arial" w:eastAsia="Arial" w:hAnsi="Arial"/>
                <w:sz w:val="15"/>
                <w:szCs w:val="15"/>
                <w:b w:val="1"/>
                <w:bCs w:val="1"/>
                <w:color w:val="auto"/>
                <w:w w:val="90"/>
              </w:rPr>
              <w:t>12 months or more</w:t>
            </w: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auto"/>
            </w:tcBorders>
          </w:tcPr>
          <w:p>
            <w:pPr>
              <w:spacing w:after="0"/>
              <w:rPr>
                <w:sz w:val="14"/>
                <w:szCs w:val="14"/>
                <w:color w:val="auto"/>
              </w:rPr>
            </w:pPr>
          </w:p>
        </w:tc>
      </w:tr>
      <w:tr>
        <w:trPr>
          <w:trHeight w:val="149"/>
        </w:trPr>
        <w:tc>
          <w:tcPr>
            <w:tcW w:w="2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jc w:val="center"/>
              <w:ind w:right="86"/>
              <w:spacing w:after="0" w:line="149" w:lineRule="exact"/>
              <w:rPr>
                <w:sz w:val="20"/>
                <w:szCs w:val="20"/>
                <w:color w:val="auto"/>
              </w:rPr>
            </w:pPr>
            <w:r>
              <w:rPr>
                <w:rFonts w:ascii="Arial" w:cs="Arial" w:eastAsia="Arial" w:hAnsi="Arial"/>
                <w:sz w:val="15"/>
                <w:szCs w:val="15"/>
                <w:b w:val="1"/>
                <w:bCs w:val="1"/>
                <w:color w:val="auto"/>
                <w:w w:val="89"/>
              </w:rPr>
              <w:t>No. of</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jc w:val="center"/>
              <w:ind w:right="46"/>
              <w:spacing w:after="0" w:line="149" w:lineRule="exact"/>
              <w:rPr>
                <w:sz w:val="20"/>
                <w:szCs w:val="20"/>
                <w:color w:val="auto"/>
              </w:rPr>
            </w:pPr>
            <w:r>
              <w:rPr>
                <w:rFonts w:ascii="Arial" w:cs="Arial" w:eastAsia="Arial" w:hAnsi="Arial"/>
                <w:sz w:val="15"/>
                <w:szCs w:val="15"/>
                <w:b w:val="1"/>
                <w:bCs w:val="1"/>
                <w:color w:val="auto"/>
                <w:w w:val="89"/>
              </w:rPr>
              <w:t>No. of</w:t>
            </w:r>
          </w:p>
        </w:tc>
        <w:tc>
          <w:tcPr>
            <w:tcW w:w="220" w:type="dxa"/>
            <w:vAlign w:val="bottom"/>
          </w:tcPr>
          <w:p>
            <w:pPr>
              <w:spacing w:after="0"/>
              <w:rPr>
                <w:sz w:val="12"/>
                <w:szCs w:val="12"/>
                <w:color w:val="auto"/>
              </w:rPr>
            </w:pPr>
          </w:p>
        </w:tc>
        <w:tc>
          <w:tcPr>
            <w:tcW w:w="900" w:type="dxa"/>
            <w:vAlign w:val="bottom"/>
          </w:tcPr>
          <w:p>
            <w:pPr>
              <w:jc w:val="center"/>
              <w:ind w:right="126"/>
              <w:spacing w:after="0" w:line="149" w:lineRule="exact"/>
              <w:rPr>
                <w:sz w:val="20"/>
                <w:szCs w:val="20"/>
                <w:color w:val="auto"/>
              </w:rPr>
            </w:pPr>
            <w:r>
              <w:rPr>
                <w:rFonts w:ascii="Arial" w:cs="Arial" w:eastAsia="Arial" w:hAnsi="Arial"/>
                <w:sz w:val="15"/>
                <w:szCs w:val="15"/>
                <w:b w:val="1"/>
                <w:bCs w:val="1"/>
                <w:color w:val="auto"/>
                <w:w w:val="88"/>
              </w:rPr>
              <w:t>Aggregate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246"/>
              <w:spacing w:after="0" w:line="162" w:lineRule="exact"/>
              <w:rPr>
                <w:sz w:val="20"/>
                <w:szCs w:val="20"/>
                <w:color w:val="auto"/>
              </w:rPr>
            </w:pPr>
            <w:r>
              <w:rPr>
                <w:rFonts w:ascii="Arial" w:cs="Arial" w:eastAsia="Arial" w:hAnsi="Arial"/>
                <w:sz w:val="15"/>
                <w:szCs w:val="15"/>
                <w:b w:val="1"/>
                <w:bCs w:val="1"/>
                <w:color w:val="auto"/>
              </w:rPr>
              <w:t>Fair</w:t>
            </w:r>
          </w:p>
        </w:tc>
        <w:tc>
          <w:tcPr>
            <w:tcW w:w="320" w:type="dxa"/>
            <w:vAlign w:val="bottom"/>
          </w:tcPr>
          <w:p>
            <w:pPr>
              <w:spacing w:after="0"/>
              <w:rPr>
                <w:sz w:val="14"/>
                <w:szCs w:val="14"/>
                <w:color w:val="auto"/>
              </w:rPr>
            </w:pPr>
          </w:p>
        </w:tc>
        <w:tc>
          <w:tcPr>
            <w:tcW w:w="1120" w:type="dxa"/>
            <w:vAlign w:val="bottom"/>
          </w:tcPr>
          <w:p>
            <w:pPr>
              <w:jc w:val="right"/>
              <w:ind w:right="346"/>
              <w:spacing w:after="0" w:line="162" w:lineRule="exact"/>
              <w:rPr>
                <w:sz w:val="20"/>
                <w:szCs w:val="20"/>
                <w:color w:val="auto"/>
              </w:rPr>
            </w:pPr>
            <w:r>
              <w:rPr>
                <w:rFonts w:ascii="Arial" w:cs="Arial" w:eastAsia="Arial" w:hAnsi="Arial"/>
                <w:sz w:val="15"/>
                <w:szCs w:val="15"/>
                <w:b w:val="1"/>
                <w:bCs w:val="1"/>
                <w:color w:val="auto"/>
                <w:w w:val="89"/>
              </w:rPr>
              <w:t>Unrealized</w:t>
            </w:r>
          </w:p>
        </w:tc>
        <w:tc>
          <w:tcPr>
            <w:tcW w:w="940" w:type="dxa"/>
            <w:vAlign w:val="bottom"/>
          </w:tcPr>
          <w:p>
            <w:pPr>
              <w:jc w:val="center"/>
              <w:ind w:right="86"/>
              <w:spacing w:after="0" w:line="162" w:lineRule="exact"/>
              <w:rPr>
                <w:sz w:val="20"/>
                <w:szCs w:val="20"/>
                <w:color w:val="auto"/>
              </w:rPr>
            </w:pPr>
            <w:r>
              <w:rPr>
                <w:rFonts w:ascii="Arial" w:cs="Arial" w:eastAsia="Arial" w:hAnsi="Arial"/>
                <w:sz w:val="15"/>
                <w:szCs w:val="15"/>
                <w:b w:val="1"/>
                <w:bCs w:val="1"/>
                <w:color w:val="auto"/>
                <w:w w:val="85"/>
              </w:rPr>
              <w:t>Positions</w:t>
            </w:r>
          </w:p>
        </w:tc>
        <w:tc>
          <w:tcPr>
            <w:tcW w:w="300" w:type="dxa"/>
            <w:vAlign w:val="bottom"/>
          </w:tcPr>
          <w:p>
            <w:pPr>
              <w:spacing w:after="0"/>
              <w:rPr>
                <w:sz w:val="14"/>
                <w:szCs w:val="14"/>
                <w:color w:val="auto"/>
              </w:rPr>
            </w:pPr>
          </w:p>
        </w:tc>
        <w:tc>
          <w:tcPr>
            <w:tcW w:w="760" w:type="dxa"/>
            <w:vAlign w:val="bottom"/>
          </w:tcPr>
          <w:p>
            <w:pPr>
              <w:jc w:val="right"/>
              <w:ind w:right="266"/>
              <w:spacing w:after="0" w:line="162" w:lineRule="exact"/>
              <w:rPr>
                <w:sz w:val="20"/>
                <w:szCs w:val="20"/>
                <w:color w:val="auto"/>
              </w:rPr>
            </w:pPr>
            <w:r>
              <w:rPr>
                <w:rFonts w:ascii="Arial" w:cs="Arial" w:eastAsia="Arial" w:hAnsi="Arial"/>
                <w:sz w:val="15"/>
                <w:szCs w:val="15"/>
                <w:b w:val="1"/>
                <w:bCs w:val="1"/>
                <w:color w:val="auto"/>
              </w:rPr>
              <w:t>Fair</w:t>
            </w:r>
          </w:p>
        </w:tc>
        <w:tc>
          <w:tcPr>
            <w:tcW w:w="300" w:type="dxa"/>
            <w:vAlign w:val="bottom"/>
          </w:tcPr>
          <w:p>
            <w:pPr>
              <w:spacing w:after="0"/>
              <w:rPr>
                <w:sz w:val="14"/>
                <w:szCs w:val="14"/>
                <w:color w:val="auto"/>
              </w:rPr>
            </w:pPr>
          </w:p>
        </w:tc>
        <w:tc>
          <w:tcPr>
            <w:tcW w:w="1080" w:type="dxa"/>
            <w:vAlign w:val="bottom"/>
          </w:tcPr>
          <w:p>
            <w:pPr>
              <w:jc w:val="right"/>
              <w:ind w:right="286"/>
              <w:spacing w:after="0" w:line="162" w:lineRule="exact"/>
              <w:rPr>
                <w:sz w:val="20"/>
                <w:szCs w:val="20"/>
                <w:color w:val="auto"/>
              </w:rPr>
            </w:pPr>
            <w:r>
              <w:rPr>
                <w:rFonts w:ascii="Arial" w:cs="Arial" w:eastAsia="Arial" w:hAnsi="Arial"/>
                <w:sz w:val="15"/>
                <w:szCs w:val="15"/>
                <w:b w:val="1"/>
                <w:bCs w:val="1"/>
                <w:color w:val="auto"/>
                <w:w w:val="92"/>
              </w:rPr>
              <w:t>Unrealized</w:t>
            </w:r>
          </w:p>
        </w:tc>
        <w:tc>
          <w:tcPr>
            <w:tcW w:w="980" w:type="dxa"/>
            <w:vAlign w:val="bottom"/>
          </w:tcPr>
          <w:p>
            <w:pPr>
              <w:jc w:val="center"/>
              <w:ind w:right="66"/>
              <w:spacing w:after="0" w:line="162" w:lineRule="exact"/>
              <w:rPr>
                <w:sz w:val="20"/>
                <w:szCs w:val="20"/>
                <w:color w:val="auto"/>
              </w:rPr>
            </w:pPr>
            <w:r>
              <w:rPr>
                <w:rFonts w:ascii="Arial" w:cs="Arial" w:eastAsia="Arial" w:hAnsi="Arial"/>
                <w:sz w:val="15"/>
                <w:szCs w:val="15"/>
                <w:b w:val="1"/>
                <w:bCs w:val="1"/>
                <w:color w:val="auto"/>
                <w:w w:val="82"/>
              </w:rPr>
              <w:t>Positions</w:t>
            </w:r>
          </w:p>
        </w:tc>
        <w:tc>
          <w:tcPr>
            <w:tcW w:w="220" w:type="dxa"/>
            <w:vAlign w:val="bottom"/>
          </w:tcPr>
          <w:p>
            <w:pPr>
              <w:spacing w:after="0"/>
              <w:rPr>
                <w:sz w:val="14"/>
                <w:szCs w:val="14"/>
                <w:color w:val="auto"/>
              </w:rPr>
            </w:pPr>
          </w:p>
        </w:tc>
        <w:tc>
          <w:tcPr>
            <w:tcW w:w="900" w:type="dxa"/>
            <w:vAlign w:val="bottom"/>
          </w:tcPr>
          <w:p>
            <w:pPr>
              <w:jc w:val="center"/>
              <w:ind w:right="106"/>
              <w:spacing w:after="0" w:line="162"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4"/>
                <w:szCs w:val="14"/>
                <w:color w:val="auto"/>
              </w:rPr>
            </w:pPr>
          </w:p>
        </w:tc>
        <w:tc>
          <w:tcPr>
            <w:tcW w:w="920" w:type="dxa"/>
            <w:vAlign w:val="bottom"/>
          </w:tcPr>
          <w:p>
            <w:pPr>
              <w:jc w:val="right"/>
              <w:ind w:right="126"/>
              <w:spacing w:after="0" w:line="162" w:lineRule="exact"/>
              <w:rPr>
                <w:sz w:val="20"/>
                <w:szCs w:val="20"/>
                <w:color w:val="auto"/>
              </w:rPr>
            </w:pPr>
            <w:r>
              <w:rPr>
                <w:rFonts w:ascii="Arial" w:cs="Arial" w:eastAsia="Arial" w:hAnsi="Arial"/>
                <w:sz w:val="15"/>
                <w:szCs w:val="15"/>
                <w:b w:val="1"/>
                <w:bCs w:val="1"/>
                <w:color w:val="auto"/>
                <w:w w:val="92"/>
              </w:rPr>
              <w:t>Unrealized</w:t>
            </w:r>
          </w:p>
        </w:tc>
      </w:tr>
      <w:tr>
        <w:trPr>
          <w:trHeight w:val="18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Value</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b w:val="1"/>
                <w:bCs w:val="1"/>
                <w:color w:val="auto"/>
              </w:rPr>
              <w:t>Losses</w:t>
            </w:r>
          </w:p>
        </w:tc>
        <w:tc>
          <w:tcPr>
            <w:tcW w:w="940" w:type="dxa"/>
            <w:vAlign w:val="bottom"/>
            <w:tcBorders>
              <w:bottom w:val="single" w:sz="8" w:color="auto"/>
            </w:tcBorders>
          </w:tcPr>
          <w:p>
            <w:pPr>
              <w:jc w:val="center"/>
              <w:ind w:right="86"/>
              <w:spacing w:after="0"/>
              <w:rPr>
                <w:sz w:val="20"/>
                <w:szCs w:val="20"/>
                <w:color w:val="auto"/>
              </w:rPr>
            </w:pPr>
            <w:r>
              <w:rPr>
                <w:rFonts w:ascii="Arial" w:cs="Arial" w:eastAsia="Arial" w:hAnsi="Arial"/>
                <w:sz w:val="15"/>
                <w:szCs w:val="15"/>
                <w:b w:val="1"/>
                <w:bCs w:val="1"/>
                <w:color w:val="auto"/>
                <w:w w:val="92"/>
              </w:rPr>
              <w:t>Held</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Value</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Losses</w:t>
            </w:r>
          </w:p>
        </w:tc>
        <w:tc>
          <w:tcPr>
            <w:tcW w:w="98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b w:val="1"/>
                <w:bCs w:val="1"/>
                <w:color w:val="auto"/>
                <w:w w:val="98"/>
              </w:rPr>
              <w:t>Held</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Losses</w:t>
            </w:r>
          </w:p>
        </w:tc>
      </w:tr>
      <w:tr>
        <w:trPr>
          <w:trHeight w:val="216"/>
        </w:trPr>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Fixed-Maturity Securities: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5"/>
                <w:szCs w:val="15"/>
                <w:color w:val="auto"/>
              </w:rPr>
              <w:t>Political subdivisions of</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States, Territories and</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Possessions</w:t>
            </w:r>
          </w:p>
        </w:tc>
        <w:tc>
          <w:tcPr>
            <w:tcW w:w="280" w:type="dxa"/>
            <w:vAlign w:val="bottom"/>
          </w:tcPr>
          <w:p>
            <w:pPr>
              <w:jc w:val="right"/>
              <w:ind w:right="6"/>
              <w:spacing w:after="0" w:line="162"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330,141</w:t>
            </w:r>
          </w:p>
        </w:tc>
        <w:tc>
          <w:tcPr>
            <w:tcW w:w="3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(4,564)</w:t>
            </w:r>
          </w:p>
        </w:tc>
        <w:tc>
          <w:tcPr>
            <w:tcW w:w="94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w:t>
            </w:r>
          </w:p>
        </w:tc>
        <w:tc>
          <w:tcPr>
            <w:tcW w:w="3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330,141</w:t>
            </w: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(4,564)</w:t>
            </w:r>
          </w:p>
        </w:tc>
      </w:tr>
      <w:tr>
        <w:trPr>
          <w:trHeight w:val="162"/>
        </w:trPr>
        <w:tc>
          <w:tcPr>
            <w:tcW w:w="2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Corporate and other</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bonds industrial and</w:t>
            </w: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miscellaneous</w:t>
            </w:r>
          </w:p>
        </w:tc>
        <w:tc>
          <w:tcPr>
            <w:tcW w:w="2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7,829,356</w:t>
            </w:r>
          </w:p>
        </w:tc>
        <w:tc>
          <w:tcPr>
            <w:tcW w:w="320" w:type="dxa"/>
            <w:vAlign w:val="bottom"/>
          </w:tcPr>
          <w:p>
            <w:pPr>
              <w:spacing w:after="0"/>
              <w:rPr>
                <w:sz w:val="14"/>
                <w:szCs w:val="14"/>
                <w:color w:val="auto"/>
              </w:rPr>
            </w:pPr>
          </w:p>
        </w:tc>
        <w:tc>
          <w:tcPr>
            <w:tcW w:w="112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(45,063)</w:t>
            </w:r>
          </w:p>
        </w:tc>
        <w:tc>
          <w:tcPr>
            <w:tcW w:w="940" w:type="dxa"/>
            <w:vAlign w:val="bottom"/>
          </w:tcPr>
          <w:p>
            <w:pPr>
              <w:jc w:val="right"/>
              <w:ind w:right="26"/>
              <w:spacing w:after="0" w:line="162" w:lineRule="exact"/>
              <w:rPr>
                <w:sz w:val="20"/>
                <w:szCs w:val="20"/>
                <w:color w:val="auto"/>
              </w:rPr>
            </w:pPr>
            <w:r>
              <w:rPr>
                <w:rFonts w:ascii="Arial" w:cs="Arial" w:eastAsia="Arial" w:hAnsi="Arial"/>
                <w:sz w:val="15"/>
                <w:szCs w:val="15"/>
                <w:color w:val="auto"/>
              </w:rPr>
              <w:t>13</w:t>
            </w:r>
          </w:p>
        </w:tc>
        <w:tc>
          <w:tcPr>
            <w:tcW w:w="3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716,422</w:t>
            </w:r>
          </w:p>
        </w:tc>
        <w:tc>
          <w:tcPr>
            <w:tcW w:w="300" w:type="dxa"/>
            <w:vAlign w:val="bottom"/>
          </w:tcPr>
          <w:p>
            <w:pPr>
              <w:spacing w:after="0"/>
              <w:rPr>
                <w:sz w:val="14"/>
                <w:szCs w:val="14"/>
                <w:color w:val="auto"/>
              </w:rPr>
            </w:pPr>
          </w:p>
        </w:tc>
        <w:tc>
          <w:tcPr>
            <w:tcW w:w="108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(47,332)</w:t>
            </w:r>
          </w:p>
        </w:tc>
        <w:tc>
          <w:tcPr>
            <w:tcW w:w="980" w:type="dxa"/>
            <w:vAlign w:val="bottom"/>
          </w:tcPr>
          <w:p>
            <w:pPr>
              <w:jc w:val="right"/>
              <w:ind w:right="46"/>
              <w:spacing w:after="0" w:line="162" w:lineRule="exact"/>
              <w:rPr>
                <w:sz w:val="20"/>
                <w:szCs w:val="20"/>
                <w:color w:val="auto"/>
              </w:rPr>
            </w:pPr>
            <w:r>
              <w:rPr>
                <w:rFonts w:ascii="Arial" w:cs="Arial" w:eastAsia="Arial" w:hAnsi="Arial"/>
                <w:sz w:val="15"/>
                <w:szCs w:val="15"/>
                <w:color w:val="auto"/>
              </w:rPr>
              <w:t>2</w:t>
            </w:r>
          </w:p>
        </w:tc>
        <w:tc>
          <w:tcPr>
            <w:tcW w:w="220" w:type="dxa"/>
            <w:vAlign w:val="bottom"/>
          </w:tcPr>
          <w:p>
            <w:pPr>
              <w:spacing w:after="0"/>
              <w:rPr>
                <w:sz w:val="14"/>
                <w:szCs w:val="14"/>
                <w:color w:val="auto"/>
              </w:rPr>
            </w:pPr>
          </w:p>
        </w:tc>
        <w:tc>
          <w:tcPr>
            <w:tcW w:w="900" w:type="dxa"/>
            <w:vAlign w:val="bottom"/>
          </w:tcPr>
          <w:p>
            <w:pPr>
              <w:jc w:val="right"/>
              <w:ind w:right="26"/>
              <w:spacing w:after="0" w:line="162" w:lineRule="exact"/>
              <w:rPr>
                <w:sz w:val="20"/>
                <w:szCs w:val="20"/>
                <w:color w:val="auto"/>
              </w:rPr>
            </w:pPr>
            <w:r>
              <w:rPr>
                <w:rFonts w:ascii="Arial" w:cs="Arial" w:eastAsia="Arial" w:hAnsi="Arial"/>
                <w:sz w:val="15"/>
                <w:szCs w:val="15"/>
                <w:color w:val="auto"/>
              </w:rPr>
              <w:t>8,545,778</w:t>
            </w:r>
          </w:p>
        </w:tc>
        <w:tc>
          <w:tcPr>
            <w:tcW w:w="2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(92,395)</w:t>
            </w:r>
          </w:p>
        </w:tc>
      </w:tr>
      <w:tr>
        <w:trPr>
          <w:trHeight w:val="162"/>
        </w:trPr>
        <w:tc>
          <w:tcPr>
            <w:tcW w:w="2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Residential mortgage</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9"/>
        </w:trPr>
        <w:tc>
          <w:tcPr>
            <w:tcW w:w="2300" w:type="dxa"/>
            <w:vAlign w:val="bottom"/>
            <w:tcBorders>
              <w:bottom w:val="single" w:sz="8" w:color="CCEEFF"/>
            </w:tcBorders>
            <w:shd w:val="clear" w:color="auto" w:fill="CCEEFF"/>
          </w:tcPr>
          <w:p>
            <w:pPr>
              <w:ind w:left="40"/>
              <w:spacing w:after="0" w:line="162" w:lineRule="exact"/>
              <w:rPr>
                <w:sz w:val="20"/>
                <w:szCs w:val="20"/>
                <w:color w:val="auto"/>
              </w:rPr>
            </w:pPr>
            <w:r>
              <w:rPr>
                <w:rFonts w:ascii="Arial" w:cs="Arial" w:eastAsia="Arial" w:hAnsi="Arial"/>
                <w:sz w:val="15"/>
                <w:szCs w:val="15"/>
                <w:color w:val="auto"/>
              </w:rPr>
              <w:t>backed securities</w:t>
            </w:r>
          </w:p>
        </w:tc>
        <w:tc>
          <w:tcPr>
            <w:tcW w:w="2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2,444,402</w:t>
            </w: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186"/>
              <w:spacing w:after="0" w:line="162" w:lineRule="exact"/>
              <w:rPr>
                <w:sz w:val="20"/>
                <w:szCs w:val="20"/>
                <w:color w:val="auto"/>
              </w:rPr>
            </w:pPr>
            <w:r>
              <w:rPr>
                <w:rFonts w:ascii="Arial" w:cs="Arial" w:eastAsia="Arial" w:hAnsi="Arial"/>
                <w:sz w:val="15"/>
                <w:szCs w:val="15"/>
                <w:color w:val="auto"/>
              </w:rPr>
              <w:t>(54,967)</w:t>
            </w:r>
          </w:p>
        </w:tc>
        <w:tc>
          <w:tcPr>
            <w:tcW w:w="940" w:type="dxa"/>
            <w:vAlign w:val="bottom"/>
            <w:tcBorders>
              <w:bottom w:val="single" w:sz="8" w:color="auto"/>
            </w:tcBorders>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13</w:t>
            </w: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396,682</w:t>
            </w: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(9,222)</w:t>
            </w:r>
          </w:p>
        </w:tc>
        <w:tc>
          <w:tcPr>
            <w:tcW w:w="98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2</w:t>
            </w: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2,841,084</w:t>
            </w:r>
          </w:p>
        </w:tc>
        <w:tc>
          <w:tcPr>
            <w:tcW w:w="2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(64,189)</w:t>
            </w: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Total fixed-maturity</w:t>
            </w: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securities</w:t>
            </w:r>
          </w:p>
        </w:tc>
        <w:tc>
          <w:tcPr>
            <w:tcW w:w="280" w:type="dxa"/>
            <w:vAlign w:val="bottom"/>
            <w:tcBorders>
              <w:bottom w:val="single" w:sz="8" w:color="auto"/>
            </w:tcBorders>
          </w:tcPr>
          <w:p>
            <w:pPr>
              <w:jc w:val="right"/>
              <w:ind w:right="6"/>
              <w:spacing w:after="0" w:line="162"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8"/>
              </w:rPr>
              <w:t>10,603,899</w:t>
            </w:r>
          </w:p>
        </w:tc>
        <w:tc>
          <w:tcPr>
            <w:tcW w:w="3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186"/>
              <w:spacing w:after="0" w:line="162" w:lineRule="exact"/>
              <w:rPr>
                <w:sz w:val="20"/>
                <w:szCs w:val="20"/>
                <w:color w:val="auto"/>
              </w:rPr>
            </w:pPr>
            <w:r>
              <w:rPr>
                <w:rFonts w:ascii="Arial" w:cs="Arial" w:eastAsia="Arial" w:hAnsi="Arial"/>
                <w:sz w:val="15"/>
                <w:szCs w:val="15"/>
                <w:color w:val="auto"/>
              </w:rPr>
              <w:t>(104,594)</w:t>
            </w:r>
          </w:p>
        </w:tc>
        <w:tc>
          <w:tcPr>
            <w:tcW w:w="94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rPr>
              <w:t>27</w:t>
            </w:r>
          </w:p>
        </w:tc>
        <w:tc>
          <w:tcPr>
            <w:tcW w:w="30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1,113,104</w:t>
            </w:r>
          </w:p>
        </w:tc>
        <w:tc>
          <w:tcPr>
            <w:tcW w:w="3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color w:val="auto"/>
              </w:rPr>
              <w:t>(56,554)</w:t>
            </w:r>
          </w:p>
        </w:tc>
        <w:tc>
          <w:tcPr>
            <w:tcW w:w="98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rPr>
              <w:t>11,717,003</w:t>
            </w: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(161,148)</w:t>
            </w:r>
          </w:p>
        </w:tc>
      </w:tr>
      <w:tr>
        <w:trPr>
          <w:trHeight w:val="162"/>
        </w:trPr>
        <w:tc>
          <w:tcPr>
            <w:tcW w:w="2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b w:val="1"/>
                <w:bCs w:val="1"/>
                <w:color w:val="auto"/>
              </w:rPr>
              <w:t>Equity Securities:</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Preferred stocks</w:t>
            </w:r>
          </w:p>
        </w:tc>
        <w:tc>
          <w:tcPr>
            <w:tcW w:w="2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1,797,900</w:t>
            </w:r>
          </w:p>
        </w:tc>
        <w:tc>
          <w:tcPr>
            <w:tcW w:w="3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186"/>
              <w:spacing w:after="0" w:line="162" w:lineRule="exact"/>
              <w:rPr>
                <w:sz w:val="20"/>
                <w:szCs w:val="20"/>
                <w:color w:val="auto"/>
              </w:rPr>
            </w:pPr>
            <w:r>
              <w:rPr>
                <w:rFonts w:ascii="Arial" w:cs="Arial" w:eastAsia="Arial" w:hAnsi="Arial"/>
                <w:sz w:val="15"/>
                <w:szCs w:val="15"/>
                <w:color w:val="auto"/>
              </w:rPr>
              <w:t>(35,823)</w:t>
            </w:r>
          </w:p>
        </w:tc>
        <w:tc>
          <w:tcPr>
            <w:tcW w:w="94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4</w:t>
            </w:r>
          </w:p>
        </w:tc>
        <w:tc>
          <w:tcPr>
            <w:tcW w:w="30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675,250</w:t>
            </w: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(56,071)</w:t>
            </w:r>
          </w:p>
        </w:tc>
        <w:tc>
          <w:tcPr>
            <w:tcW w:w="98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2,473,150</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(91,894)</w:t>
            </w:r>
          </w:p>
        </w:tc>
      </w:tr>
      <w:tr>
        <w:trPr>
          <w:trHeight w:val="169"/>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Common stocks</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603,500</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86"/>
              <w:spacing w:after="0" w:line="162" w:lineRule="exact"/>
              <w:rPr>
                <w:sz w:val="20"/>
                <w:szCs w:val="20"/>
                <w:color w:val="auto"/>
              </w:rPr>
            </w:pPr>
            <w:r>
              <w:rPr>
                <w:rFonts w:ascii="Arial" w:cs="Arial" w:eastAsia="Arial" w:hAnsi="Arial"/>
                <w:sz w:val="15"/>
                <w:szCs w:val="15"/>
                <w:color w:val="auto"/>
              </w:rPr>
              <w:t>(113,918)</w:t>
            </w:r>
          </w:p>
        </w:tc>
        <w:tc>
          <w:tcPr>
            <w:tcW w:w="94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rPr>
              <w:t>1</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06"/>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rPr>
              <w:t>603,500</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(113,918)</w:t>
            </w:r>
          </w:p>
        </w:tc>
      </w:tr>
      <w:tr>
        <w:trPr>
          <w:trHeight w:val="162"/>
        </w:trPr>
        <w:tc>
          <w:tcPr>
            <w:tcW w:w="2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Total equity securities</w:t>
            </w:r>
          </w:p>
        </w:tc>
        <w:tc>
          <w:tcPr>
            <w:tcW w:w="280" w:type="dxa"/>
            <w:vAlign w:val="bottom"/>
            <w:tcBorders>
              <w:bottom w:val="single" w:sz="8" w:color="auto"/>
            </w:tcBorders>
          </w:tcPr>
          <w:p>
            <w:pPr>
              <w:jc w:val="right"/>
              <w:ind w:right="6"/>
              <w:spacing w:after="0" w:line="162"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2,401,400</w:t>
            </w:r>
          </w:p>
        </w:tc>
        <w:tc>
          <w:tcPr>
            <w:tcW w:w="3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186"/>
              <w:spacing w:after="0" w:line="162" w:lineRule="exact"/>
              <w:rPr>
                <w:sz w:val="20"/>
                <w:szCs w:val="20"/>
                <w:color w:val="auto"/>
              </w:rPr>
            </w:pPr>
            <w:r>
              <w:rPr>
                <w:rFonts w:ascii="Arial" w:cs="Arial" w:eastAsia="Arial" w:hAnsi="Arial"/>
                <w:sz w:val="15"/>
                <w:szCs w:val="15"/>
                <w:color w:val="auto"/>
              </w:rPr>
              <w:t>(149,741)</w:t>
            </w:r>
          </w:p>
        </w:tc>
        <w:tc>
          <w:tcPr>
            <w:tcW w:w="94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rPr>
              <w:t>5</w:t>
            </w:r>
          </w:p>
        </w:tc>
        <w:tc>
          <w:tcPr>
            <w:tcW w:w="30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675,250</w:t>
            </w:r>
          </w:p>
        </w:tc>
        <w:tc>
          <w:tcPr>
            <w:tcW w:w="3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color w:val="auto"/>
              </w:rPr>
              <w:t>(56,071)</w:t>
            </w:r>
          </w:p>
        </w:tc>
        <w:tc>
          <w:tcPr>
            <w:tcW w:w="98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rPr>
              <w:t>1</w:t>
            </w: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rPr>
              <w:t>3,076,650</w:t>
            </w: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(205,812)</w:t>
            </w:r>
          </w:p>
        </w:tc>
      </w:tr>
      <w:tr>
        <w:trPr>
          <w:trHeight w:val="162"/>
        </w:trPr>
        <w:tc>
          <w:tcPr>
            <w:tcW w:w="2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Total</w:t>
            </w:r>
          </w:p>
        </w:tc>
        <w:tc>
          <w:tcPr>
            <w:tcW w:w="280" w:type="dxa"/>
            <w:vAlign w:val="bottom"/>
            <w:tcBorders>
              <w:bottom w:val="single" w:sz="8" w:color="auto"/>
            </w:tcBorders>
          </w:tcPr>
          <w:p>
            <w:pPr>
              <w:jc w:val="right"/>
              <w:ind w:right="6"/>
              <w:spacing w:after="0" w:line="162"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8"/>
              </w:rPr>
              <w:t>13,005,299</w:t>
            </w:r>
          </w:p>
        </w:tc>
        <w:tc>
          <w:tcPr>
            <w:tcW w:w="3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186"/>
              <w:spacing w:after="0" w:line="162" w:lineRule="exact"/>
              <w:rPr>
                <w:sz w:val="20"/>
                <w:szCs w:val="20"/>
                <w:color w:val="auto"/>
              </w:rPr>
            </w:pPr>
            <w:r>
              <w:rPr>
                <w:rFonts w:ascii="Arial" w:cs="Arial" w:eastAsia="Arial" w:hAnsi="Arial"/>
                <w:sz w:val="15"/>
                <w:szCs w:val="15"/>
                <w:color w:val="auto"/>
              </w:rPr>
              <w:t>(254,335)</w:t>
            </w:r>
          </w:p>
        </w:tc>
        <w:tc>
          <w:tcPr>
            <w:tcW w:w="94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rPr>
              <w:t>32</w:t>
            </w:r>
          </w:p>
        </w:tc>
        <w:tc>
          <w:tcPr>
            <w:tcW w:w="30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1,788,354</w:t>
            </w:r>
          </w:p>
        </w:tc>
        <w:tc>
          <w:tcPr>
            <w:tcW w:w="3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color w:val="auto"/>
              </w:rPr>
              <w:t>(112,625)</w:t>
            </w:r>
          </w:p>
        </w:tc>
        <w:tc>
          <w:tcPr>
            <w:tcW w:w="98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rPr>
              <w:t>5</w:t>
            </w: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rPr>
              <w:t>14,793,653</w:t>
            </w: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(366,960)</w:t>
            </w:r>
          </w:p>
        </w:tc>
      </w:tr>
      <w:tr>
        <w:trPr>
          <w:trHeight w:val="21"/>
        </w:trPr>
        <w:tc>
          <w:tcPr>
            <w:tcW w:w="2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26"/>
              <w:spacing w:after="0"/>
              <w:rPr>
                <w:sz w:val="20"/>
                <w:szCs w:val="20"/>
                <w:color w:val="auto"/>
              </w:rPr>
            </w:pPr>
            <w:r>
              <w:rPr>
                <w:rFonts w:ascii="Arial" w:cs="Arial" w:eastAsia="Arial" w:hAnsi="Arial"/>
                <w:sz w:val="15"/>
                <w:szCs w:val="15"/>
                <w:b w:val="1"/>
                <w:bCs w:val="1"/>
                <w:color w:val="auto"/>
                <w:w w:val="88"/>
              </w:rPr>
              <w:t>December 31, 2015</w:t>
            </w:r>
          </w:p>
        </w:tc>
        <w:tc>
          <w:tcPr>
            <w:tcW w:w="10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69"/>
        </w:trPr>
        <w:tc>
          <w:tcPr>
            <w:tcW w:w="2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86"/>
              <w:spacing w:after="0" w:line="162" w:lineRule="exact"/>
              <w:rPr>
                <w:sz w:val="20"/>
                <w:szCs w:val="20"/>
                <w:color w:val="auto"/>
              </w:rPr>
            </w:pPr>
            <w:r>
              <w:rPr>
                <w:rFonts w:ascii="Arial" w:cs="Arial" w:eastAsia="Arial" w:hAnsi="Arial"/>
                <w:sz w:val="15"/>
                <w:szCs w:val="15"/>
                <w:b w:val="1"/>
                <w:bCs w:val="1"/>
                <w:color w:val="auto"/>
              </w:rPr>
              <w:t>Less than 12 months</w:t>
            </w: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86"/>
              <w:spacing w:after="0" w:line="162" w:lineRule="exact"/>
              <w:rPr>
                <w:sz w:val="20"/>
                <w:szCs w:val="20"/>
                <w:color w:val="auto"/>
              </w:rPr>
            </w:pPr>
            <w:r>
              <w:rPr>
                <w:rFonts w:ascii="Arial" w:cs="Arial" w:eastAsia="Arial" w:hAnsi="Arial"/>
                <w:sz w:val="15"/>
                <w:szCs w:val="15"/>
                <w:b w:val="1"/>
                <w:bCs w:val="1"/>
                <w:color w:val="auto"/>
                <w:w w:val="87"/>
              </w:rPr>
              <w:t>12 months or more</w:t>
            </w: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Total</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9"/>
        </w:trPr>
        <w:tc>
          <w:tcPr>
            <w:tcW w:w="2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jc w:val="center"/>
              <w:ind w:right="6"/>
              <w:spacing w:after="0" w:line="149" w:lineRule="exact"/>
              <w:rPr>
                <w:sz w:val="20"/>
                <w:szCs w:val="20"/>
                <w:color w:val="auto"/>
              </w:rPr>
            </w:pPr>
            <w:r>
              <w:rPr>
                <w:rFonts w:ascii="Arial" w:cs="Arial" w:eastAsia="Arial" w:hAnsi="Arial"/>
                <w:sz w:val="15"/>
                <w:szCs w:val="15"/>
                <w:b w:val="1"/>
                <w:bCs w:val="1"/>
                <w:color w:val="auto"/>
                <w:w w:val="89"/>
              </w:rPr>
              <w:t>No. of</w:t>
            </w:r>
          </w:p>
        </w:tc>
        <w:tc>
          <w:tcPr>
            <w:tcW w:w="220" w:type="dxa"/>
            <w:vAlign w:val="bottom"/>
          </w:tcPr>
          <w:p>
            <w:pPr>
              <w:spacing w:after="0"/>
              <w:rPr>
                <w:sz w:val="12"/>
                <w:szCs w:val="12"/>
                <w:color w:val="auto"/>
              </w:rPr>
            </w:pPr>
          </w:p>
        </w:tc>
        <w:tc>
          <w:tcPr>
            <w:tcW w:w="1000" w:type="dxa"/>
            <w:vAlign w:val="bottom"/>
          </w:tcPr>
          <w:p>
            <w:pPr>
              <w:jc w:val="center"/>
              <w:ind w:right="226"/>
              <w:spacing w:after="0" w:line="149" w:lineRule="exact"/>
              <w:rPr>
                <w:sz w:val="20"/>
                <w:szCs w:val="20"/>
                <w:color w:val="auto"/>
              </w:rPr>
            </w:pPr>
            <w:r>
              <w:rPr>
                <w:rFonts w:ascii="Arial" w:cs="Arial" w:eastAsia="Arial" w:hAnsi="Arial"/>
                <w:sz w:val="15"/>
                <w:szCs w:val="15"/>
                <w:b w:val="1"/>
                <w:bCs w:val="1"/>
                <w:color w:val="auto"/>
                <w:w w:val="88"/>
              </w:rPr>
              <w:t>Aggregate</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46"/>
              <w:spacing w:after="0" w:line="162"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4"/>
                <w:szCs w:val="14"/>
                <w:color w:val="auto"/>
              </w:rPr>
            </w:pPr>
          </w:p>
        </w:tc>
        <w:tc>
          <w:tcPr>
            <w:tcW w:w="1080" w:type="dxa"/>
            <w:vAlign w:val="bottom"/>
          </w:tcPr>
          <w:p>
            <w:pPr>
              <w:jc w:val="right"/>
              <w:ind w:right="306"/>
              <w:spacing w:after="0" w:line="162" w:lineRule="exact"/>
              <w:rPr>
                <w:sz w:val="20"/>
                <w:szCs w:val="20"/>
                <w:color w:val="auto"/>
              </w:rPr>
            </w:pPr>
            <w:r>
              <w:rPr>
                <w:rFonts w:ascii="Arial" w:cs="Arial" w:eastAsia="Arial" w:hAnsi="Arial"/>
                <w:sz w:val="15"/>
                <w:szCs w:val="15"/>
                <w:b w:val="1"/>
                <w:bCs w:val="1"/>
                <w:color w:val="auto"/>
                <w:w w:val="89"/>
              </w:rPr>
              <w:t>Unrealized</w:t>
            </w:r>
          </w:p>
        </w:tc>
        <w:tc>
          <w:tcPr>
            <w:tcW w:w="9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Positions</w:t>
            </w:r>
          </w:p>
        </w:tc>
        <w:tc>
          <w:tcPr>
            <w:tcW w:w="360" w:type="dxa"/>
            <w:vAlign w:val="bottom"/>
          </w:tcPr>
          <w:p>
            <w:pPr>
              <w:spacing w:after="0"/>
              <w:rPr>
                <w:sz w:val="14"/>
                <w:szCs w:val="14"/>
                <w:color w:val="auto"/>
              </w:rPr>
            </w:pPr>
          </w:p>
        </w:tc>
        <w:tc>
          <w:tcPr>
            <w:tcW w:w="740" w:type="dxa"/>
            <w:vAlign w:val="bottom"/>
          </w:tcPr>
          <w:p>
            <w:pPr>
              <w:jc w:val="center"/>
              <w:ind w:right="86"/>
              <w:spacing w:after="0" w:line="162" w:lineRule="exact"/>
              <w:rPr>
                <w:sz w:val="20"/>
                <w:szCs w:val="20"/>
                <w:color w:val="auto"/>
              </w:rPr>
            </w:pPr>
            <w:r>
              <w:rPr>
                <w:rFonts w:ascii="Arial" w:cs="Arial" w:eastAsia="Arial" w:hAnsi="Arial"/>
                <w:sz w:val="15"/>
                <w:szCs w:val="15"/>
                <w:b w:val="1"/>
                <w:bCs w:val="1"/>
                <w:color w:val="auto"/>
                <w:w w:val="94"/>
              </w:rPr>
              <w:t>Fair</w:t>
            </w:r>
          </w:p>
        </w:tc>
        <w:tc>
          <w:tcPr>
            <w:tcW w:w="320" w:type="dxa"/>
            <w:vAlign w:val="bottom"/>
          </w:tcPr>
          <w:p>
            <w:pPr>
              <w:spacing w:after="0"/>
              <w:rPr>
                <w:sz w:val="14"/>
                <w:szCs w:val="14"/>
                <w:color w:val="auto"/>
              </w:rPr>
            </w:pPr>
          </w:p>
        </w:tc>
        <w:tc>
          <w:tcPr>
            <w:tcW w:w="1040" w:type="dxa"/>
            <w:vAlign w:val="bottom"/>
          </w:tcPr>
          <w:p>
            <w:pPr>
              <w:jc w:val="right"/>
              <w:ind w:right="246"/>
              <w:spacing w:after="0" w:line="162" w:lineRule="exact"/>
              <w:rPr>
                <w:sz w:val="20"/>
                <w:szCs w:val="20"/>
                <w:color w:val="auto"/>
              </w:rPr>
            </w:pPr>
            <w:r>
              <w:rPr>
                <w:rFonts w:ascii="Arial" w:cs="Arial" w:eastAsia="Arial" w:hAnsi="Arial"/>
                <w:sz w:val="15"/>
                <w:szCs w:val="15"/>
                <w:b w:val="1"/>
                <w:bCs w:val="1"/>
                <w:color w:val="auto"/>
                <w:w w:val="92"/>
              </w:rPr>
              <w:t>Unrealized</w:t>
            </w:r>
          </w:p>
        </w:tc>
        <w:tc>
          <w:tcPr>
            <w:tcW w:w="1020" w:type="dxa"/>
            <w:vAlign w:val="bottom"/>
          </w:tcPr>
          <w:p>
            <w:pPr>
              <w:jc w:val="center"/>
              <w:ind w:right="26"/>
              <w:spacing w:after="0" w:line="162" w:lineRule="exact"/>
              <w:rPr>
                <w:sz w:val="20"/>
                <w:szCs w:val="20"/>
                <w:color w:val="auto"/>
              </w:rPr>
            </w:pPr>
            <w:r>
              <w:rPr>
                <w:rFonts w:ascii="Arial" w:cs="Arial" w:eastAsia="Arial" w:hAnsi="Arial"/>
                <w:sz w:val="15"/>
                <w:szCs w:val="15"/>
                <w:b w:val="1"/>
                <w:bCs w:val="1"/>
                <w:color w:val="auto"/>
                <w:w w:val="82"/>
              </w:rPr>
              <w:t>Positions</w:t>
            </w:r>
          </w:p>
        </w:tc>
        <w:tc>
          <w:tcPr>
            <w:tcW w:w="220" w:type="dxa"/>
            <w:vAlign w:val="bottom"/>
          </w:tcPr>
          <w:p>
            <w:pPr>
              <w:spacing w:after="0"/>
              <w:rPr>
                <w:sz w:val="14"/>
                <w:szCs w:val="14"/>
                <w:color w:val="auto"/>
              </w:rPr>
            </w:pPr>
          </w:p>
        </w:tc>
        <w:tc>
          <w:tcPr>
            <w:tcW w:w="1000" w:type="dxa"/>
            <w:vAlign w:val="bottom"/>
          </w:tcPr>
          <w:p>
            <w:pPr>
              <w:jc w:val="center"/>
              <w:ind w:right="206"/>
              <w:spacing w:after="0" w:line="162" w:lineRule="exact"/>
              <w:rPr>
                <w:sz w:val="20"/>
                <w:szCs w:val="20"/>
                <w:color w:val="auto"/>
              </w:rPr>
            </w:pPr>
            <w:r>
              <w:rPr>
                <w:rFonts w:ascii="Arial" w:cs="Arial" w:eastAsia="Arial" w:hAnsi="Arial"/>
                <w:sz w:val="15"/>
                <w:szCs w:val="15"/>
                <w:b w:val="1"/>
                <w:bCs w:val="1"/>
                <w:color w:val="auto"/>
              </w:rPr>
              <w:t>Fair</w:t>
            </w:r>
          </w:p>
        </w:tc>
        <w:tc>
          <w:tcPr>
            <w:tcW w:w="120" w:type="dxa"/>
            <w:vAlign w:val="bottom"/>
          </w:tcPr>
          <w:p>
            <w:pPr>
              <w:spacing w:after="0"/>
              <w:rPr>
                <w:sz w:val="14"/>
                <w:szCs w:val="14"/>
                <w:color w:val="auto"/>
              </w:rPr>
            </w:pPr>
          </w:p>
        </w:tc>
        <w:tc>
          <w:tcPr>
            <w:tcW w:w="920" w:type="dxa"/>
            <w:vAlign w:val="bottom"/>
          </w:tcPr>
          <w:p>
            <w:pPr>
              <w:jc w:val="right"/>
              <w:ind w:right="126"/>
              <w:spacing w:after="0" w:line="162" w:lineRule="exact"/>
              <w:rPr>
                <w:sz w:val="20"/>
                <w:szCs w:val="20"/>
                <w:color w:val="auto"/>
              </w:rPr>
            </w:pPr>
            <w:r>
              <w:rPr>
                <w:rFonts w:ascii="Arial" w:cs="Arial" w:eastAsia="Arial" w:hAnsi="Arial"/>
                <w:sz w:val="15"/>
                <w:szCs w:val="15"/>
                <w:b w:val="1"/>
                <w:bCs w:val="1"/>
                <w:color w:val="auto"/>
                <w:w w:val="92"/>
              </w:rPr>
              <w:t>Unrealized</w:t>
            </w:r>
          </w:p>
        </w:tc>
      </w:tr>
      <w:tr>
        <w:trPr>
          <w:trHeight w:val="18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Value</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Losses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b w:val="1"/>
                <w:bCs w:val="1"/>
                <w:color w:val="auto"/>
                <w:w w:val="89"/>
              </w:rPr>
              <w:t>Value</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Losses</w:t>
            </w:r>
          </w:p>
        </w:tc>
        <w:tc>
          <w:tcPr>
            <w:tcW w:w="1020" w:type="dxa"/>
            <w:vAlign w:val="bottom"/>
            <w:tcBorders>
              <w:bottom w:val="single" w:sz="8" w:color="auto"/>
            </w:tcBorders>
          </w:tcPr>
          <w:p>
            <w:pPr>
              <w:jc w:val="center"/>
              <w:ind w:right="26"/>
              <w:spacing w:after="0"/>
              <w:rPr>
                <w:sz w:val="20"/>
                <w:szCs w:val="20"/>
                <w:color w:val="auto"/>
              </w:rPr>
            </w:pPr>
            <w:r>
              <w:rPr>
                <w:rFonts w:ascii="Arial" w:cs="Arial" w:eastAsia="Arial" w:hAnsi="Arial"/>
                <w:sz w:val="15"/>
                <w:szCs w:val="15"/>
                <w:b w:val="1"/>
                <w:bCs w:val="1"/>
                <w:color w:val="auto"/>
                <w:w w:val="98"/>
              </w:rPr>
              <w:t>Held</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06"/>
              <w:spacing w:after="0"/>
              <w:rPr>
                <w:sz w:val="20"/>
                <w:szCs w:val="20"/>
                <w:color w:val="auto"/>
              </w:rPr>
            </w:pPr>
            <w:r>
              <w:rPr>
                <w:rFonts w:ascii="Arial" w:cs="Arial" w:eastAsia="Arial" w:hAnsi="Arial"/>
                <w:sz w:val="15"/>
                <w:szCs w:val="15"/>
                <w:b w:val="1"/>
                <w:bCs w:val="1"/>
                <w:color w:val="auto"/>
                <w:w w:val="89"/>
              </w:rPr>
              <w:t>Value</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Losses</w:t>
            </w:r>
          </w:p>
        </w:tc>
      </w:tr>
      <w:tr>
        <w:trPr>
          <w:trHeight w:val="216"/>
        </w:trPr>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Fixed-Maturity Securities: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5"/>
                <w:szCs w:val="15"/>
                <w:color w:val="auto"/>
              </w:rPr>
              <w:t>Political subdivisions of</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States, Territories and</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Possessions</w:t>
            </w:r>
          </w:p>
        </w:tc>
        <w:tc>
          <w:tcPr>
            <w:tcW w:w="280" w:type="dxa"/>
            <w:vAlign w:val="bottom"/>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46"/>
              <w:spacing w:after="0" w:line="162" w:lineRule="exact"/>
              <w:rPr>
                <w:sz w:val="20"/>
                <w:szCs w:val="20"/>
                <w:color w:val="auto"/>
              </w:rPr>
            </w:pPr>
            <w:r>
              <w:rPr>
                <w:rFonts w:ascii="Arial" w:cs="Arial" w:eastAsia="Arial" w:hAnsi="Arial"/>
                <w:sz w:val="15"/>
                <w:szCs w:val="15"/>
                <w:color w:val="auto"/>
              </w:rPr>
              <w:t>1,432,005</w:t>
            </w: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(15,889)</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4</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1,432,005</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(15,889)</w:t>
            </w:r>
          </w:p>
        </w:tc>
      </w:tr>
      <w:tr>
        <w:trPr>
          <w:trHeight w:val="162"/>
        </w:trPr>
        <w:tc>
          <w:tcPr>
            <w:tcW w:w="2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Corporate and other</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bonds industrial and</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miscellaneous</w:t>
            </w:r>
          </w:p>
        </w:tc>
        <w:tc>
          <w:tcPr>
            <w:tcW w:w="280" w:type="dxa"/>
            <w:vAlign w:val="bottom"/>
          </w:tcPr>
          <w:p>
            <w:pPr>
              <w:spacing w:after="0"/>
              <w:rPr>
                <w:sz w:val="14"/>
                <w:szCs w:val="14"/>
                <w:color w:val="auto"/>
              </w:rPr>
            </w:pPr>
          </w:p>
        </w:tc>
        <w:tc>
          <w:tcPr>
            <w:tcW w:w="880" w:type="dxa"/>
            <w:vAlign w:val="bottom"/>
          </w:tcPr>
          <w:p>
            <w:pPr>
              <w:jc w:val="right"/>
              <w:ind w:right="46"/>
              <w:spacing w:after="0" w:line="162" w:lineRule="exact"/>
              <w:rPr>
                <w:sz w:val="20"/>
                <w:szCs w:val="20"/>
                <w:color w:val="auto"/>
              </w:rPr>
            </w:pPr>
            <w:r>
              <w:rPr>
                <w:rFonts w:ascii="Arial" w:cs="Arial" w:eastAsia="Arial" w:hAnsi="Arial"/>
                <w:sz w:val="15"/>
                <w:szCs w:val="15"/>
                <w:color w:val="auto"/>
                <w:w w:val="98"/>
              </w:rPr>
              <w:t>18,424,609</w:t>
            </w:r>
          </w:p>
        </w:tc>
        <w:tc>
          <w:tcPr>
            <w:tcW w:w="220" w:type="dxa"/>
            <w:vAlign w:val="bottom"/>
          </w:tcPr>
          <w:p>
            <w:pPr>
              <w:spacing w:after="0"/>
              <w:rPr>
                <w:sz w:val="14"/>
                <w:szCs w:val="14"/>
                <w:color w:val="auto"/>
              </w:rPr>
            </w:pPr>
          </w:p>
        </w:tc>
        <w:tc>
          <w:tcPr>
            <w:tcW w:w="108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(512,427)</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32</w:t>
            </w:r>
          </w:p>
        </w:tc>
        <w:tc>
          <w:tcPr>
            <w:tcW w:w="3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636,093</w:t>
            </w:r>
          </w:p>
        </w:tc>
        <w:tc>
          <w:tcPr>
            <w:tcW w:w="320" w:type="dxa"/>
            <w:vAlign w:val="bottom"/>
          </w:tcPr>
          <w:p>
            <w:pPr>
              <w:spacing w:after="0"/>
              <w:rPr>
                <w:sz w:val="14"/>
                <w:szCs w:val="14"/>
                <w:color w:val="auto"/>
              </w:rPr>
            </w:pPr>
          </w:p>
        </w:tc>
        <w:tc>
          <w:tcPr>
            <w:tcW w:w="1040" w:type="dxa"/>
            <w:vAlign w:val="bottom"/>
          </w:tcPr>
          <w:p>
            <w:pPr>
              <w:jc w:val="right"/>
              <w:ind w:right="106"/>
              <w:spacing w:after="0" w:line="162" w:lineRule="exact"/>
              <w:rPr>
                <w:sz w:val="20"/>
                <w:szCs w:val="20"/>
                <w:color w:val="auto"/>
              </w:rPr>
            </w:pPr>
            <w:r>
              <w:rPr>
                <w:rFonts w:ascii="Arial" w:cs="Arial" w:eastAsia="Arial" w:hAnsi="Arial"/>
                <w:sz w:val="15"/>
                <w:szCs w:val="15"/>
                <w:color w:val="auto"/>
              </w:rPr>
              <w:t>(99,593)</w:t>
            </w:r>
          </w:p>
        </w:tc>
        <w:tc>
          <w:tcPr>
            <w:tcW w:w="10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2</w:t>
            </w:r>
          </w:p>
        </w:tc>
        <w:tc>
          <w:tcPr>
            <w:tcW w:w="220" w:type="dxa"/>
            <w:vAlign w:val="bottom"/>
          </w:tcPr>
          <w:p>
            <w:pPr>
              <w:spacing w:after="0"/>
              <w:rPr>
                <w:sz w:val="14"/>
                <w:szCs w:val="14"/>
                <w:color w:val="auto"/>
              </w:rPr>
            </w:pPr>
          </w:p>
        </w:tc>
        <w:tc>
          <w:tcPr>
            <w:tcW w:w="10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19,060,702</w:t>
            </w:r>
          </w:p>
        </w:tc>
        <w:tc>
          <w:tcPr>
            <w:tcW w:w="1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(612,020)</w:t>
            </w:r>
          </w:p>
        </w:tc>
      </w:tr>
      <w:tr>
        <w:trPr>
          <w:trHeight w:val="162"/>
        </w:trPr>
        <w:tc>
          <w:tcPr>
            <w:tcW w:w="2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Residential mortgage</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9"/>
        </w:trPr>
        <w:tc>
          <w:tcPr>
            <w:tcW w:w="2300" w:type="dxa"/>
            <w:vAlign w:val="bottom"/>
            <w:tcBorders>
              <w:bottom w:val="single" w:sz="8" w:color="CCEEFF"/>
            </w:tcBorders>
            <w:shd w:val="clear" w:color="auto" w:fill="CCEEFF"/>
          </w:tcPr>
          <w:p>
            <w:pPr>
              <w:ind w:left="40"/>
              <w:spacing w:after="0" w:line="162" w:lineRule="exact"/>
              <w:rPr>
                <w:sz w:val="20"/>
                <w:szCs w:val="20"/>
                <w:color w:val="auto"/>
              </w:rPr>
            </w:pPr>
            <w:r>
              <w:rPr>
                <w:rFonts w:ascii="Arial" w:cs="Arial" w:eastAsia="Arial" w:hAnsi="Arial"/>
                <w:sz w:val="15"/>
                <w:szCs w:val="15"/>
                <w:color w:val="auto"/>
              </w:rPr>
              <w:t>backed securities</w:t>
            </w: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2,413,980</w:t>
            </w: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(61,169)</w:t>
            </w: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12</w:t>
            </w:r>
          </w:p>
        </w:tc>
        <w:tc>
          <w:tcPr>
            <w:tcW w:w="3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2,413,980</w:t>
            </w: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(61,169)</w:t>
            </w: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Total fixed-maturity</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securities</w:t>
            </w:r>
          </w:p>
        </w:tc>
        <w:tc>
          <w:tcPr>
            <w:tcW w:w="280" w:type="dxa"/>
            <w:vAlign w:val="bottom"/>
            <w:tcBorders>
              <w:bottom w:val="single" w:sz="8" w:color="auto"/>
            </w:tcBorders>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w w:val="98"/>
              </w:rPr>
              <w:t>22,270,594</w:t>
            </w: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color w:val="auto"/>
              </w:rPr>
              <w:t>(589,485)</w:t>
            </w: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48</w:t>
            </w:r>
          </w:p>
        </w:tc>
        <w:tc>
          <w:tcPr>
            <w:tcW w:w="36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636,093</w:t>
            </w:r>
          </w:p>
        </w:tc>
        <w:tc>
          <w:tcPr>
            <w:tcW w:w="3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106"/>
              <w:spacing w:after="0" w:line="162" w:lineRule="exact"/>
              <w:rPr>
                <w:sz w:val="20"/>
                <w:szCs w:val="20"/>
                <w:color w:val="auto"/>
              </w:rPr>
            </w:pPr>
            <w:r>
              <w:rPr>
                <w:rFonts w:ascii="Arial" w:cs="Arial" w:eastAsia="Arial" w:hAnsi="Arial"/>
                <w:sz w:val="15"/>
                <w:szCs w:val="15"/>
                <w:color w:val="auto"/>
              </w:rPr>
              <w:t>(99,593)</w:t>
            </w:r>
          </w:p>
        </w:tc>
        <w:tc>
          <w:tcPr>
            <w:tcW w:w="102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rPr>
              <w:t>2</w:t>
            </w: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26"/>
              <w:spacing w:after="0" w:line="162" w:lineRule="exact"/>
              <w:rPr>
                <w:sz w:val="20"/>
                <w:szCs w:val="20"/>
                <w:color w:val="auto"/>
              </w:rPr>
            </w:pPr>
            <w:r>
              <w:rPr>
                <w:rFonts w:ascii="Arial" w:cs="Arial" w:eastAsia="Arial" w:hAnsi="Arial"/>
                <w:sz w:val="15"/>
                <w:szCs w:val="15"/>
                <w:color w:val="auto"/>
              </w:rPr>
              <w:t>22,906,687</w:t>
            </w:r>
          </w:p>
        </w:tc>
        <w:tc>
          <w:tcPr>
            <w:tcW w:w="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(689,078)</w:t>
            </w:r>
          </w:p>
        </w:tc>
      </w:tr>
      <w:tr>
        <w:trPr>
          <w:trHeight w:val="162"/>
        </w:trPr>
        <w:tc>
          <w:tcPr>
            <w:tcW w:w="2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b w:val="1"/>
                <w:bCs w:val="1"/>
                <w:color w:val="auto"/>
              </w:rPr>
              <w:t>Equity Securities: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Preferred stocks</w:t>
            </w:r>
          </w:p>
        </w:tc>
        <w:tc>
          <w:tcPr>
            <w:tcW w:w="2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06"/>
              <w:spacing w:after="0" w:line="162"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702,000</w:t>
            </w:r>
          </w:p>
        </w:tc>
        <w:tc>
          <w:tcPr>
            <w:tcW w:w="3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106"/>
              <w:spacing w:after="0" w:line="162" w:lineRule="exact"/>
              <w:rPr>
                <w:sz w:val="20"/>
                <w:szCs w:val="20"/>
                <w:color w:val="auto"/>
              </w:rPr>
            </w:pPr>
            <w:r>
              <w:rPr>
                <w:rFonts w:ascii="Arial" w:cs="Arial" w:eastAsia="Arial" w:hAnsi="Arial"/>
                <w:sz w:val="15"/>
                <w:szCs w:val="15"/>
                <w:color w:val="auto"/>
              </w:rPr>
              <w:t>(29,322)</w:t>
            </w:r>
          </w:p>
        </w:tc>
        <w:tc>
          <w:tcPr>
            <w:tcW w:w="102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702,000</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(29,322)</w:t>
            </w:r>
          </w:p>
        </w:tc>
      </w:tr>
      <w:tr>
        <w:trPr>
          <w:trHeight w:val="169"/>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Common stocks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rPr>
              <w:t>2,538,900</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color w:val="auto"/>
              </w:rPr>
              <w:t>(103,721)</w:t>
            </w: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6"/>
              <w:spacing w:after="0" w:line="162"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26"/>
              <w:spacing w:after="0" w:line="162" w:lineRule="exact"/>
              <w:rPr>
                <w:sz w:val="20"/>
                <w:szCs w:val="20"/>
                <w:color w:val="auto"/>
              </w:rPr>
            </w:pPr>
            <w:r>
              <w:rPr>
                <w:rFonts w:ascii="Arial" w:cs="Arial" w:eastAsia="Arial" w:hAnsi="Arial"/>
                <w:sz w:val="15"/>
                <w:szCs w:val="15"/>
                <w:color w:val="auto"/>
              </w:rPr>
              <w:t>2,538,900</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(103,721)</w:t>
            </w:r>
          </w:p>
        </w:tc>
      </w:tr>
      <w:tr>
        <w:trPr>
          <w:trHeight w:val="162"/>
        </w:trPr>
        <w:tc>
          <w:tcPr>
            <w:tcW w:w="2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Total equity securities</w:t>
            </w:r>
          </w:p>
        </w:tc>
        <w:tc>
          <w:tcPr>
            <w:tcW w:w="280" w:type="dxa"/>
            <w:vAlign w:val="bottom"/>
            <w:tcBorders>
              <w:bottom w:val="single" w:sz="8" w:color="auto"/>
            </w:tcBorders>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rPr>
              <w:t>2,538,900</w:t>
            </w: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color w:val="auto"/>
              </w:rPr>
              <w:t>(103,721)</w:t>
            </w: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w:t>
            </w:r>
          </w:p>
        </w:tc>
        <w:tc>
          <w:tcPr>
            <w:tcW w:w="36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702,000</w:t>
            </w:r>
          </w:p>
        </w:tc>
        <w:tc>
          <w:tcPr>
            <w:tcW w:w="3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106"/>
              <w:spacing w:after="0" w:line="162" w:lineRule="exact"/>
              <w:rPr>
                <w:sz w:val="20"/>
                <w:szCs w:val="20"/>
                <w:color w:val="auto"/>
              </w:rPr>
            </w:pPr>
            <w:r>
              <w:rPr>
                <w:rFonts w:ascii="Arial" w:cs="Arial" w:eastAsia="Arial" w:hAnsi="Arial"/>
                <w:sz w:val="15"/>
                <w:szCs w:val="15"/>
                <w:color w:val="auto"/>
              </w:rPr>
              <w:t>(29,322)</w:t>
            </w:r>
          </w:p>
        </w:tc>
        <w:tc>
          <w:tcPr>
            <w:tcW w:w="102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rPr>
              <w:t>1</w:t>
            </w: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26"/>
              <w:spacing w:after="0" w:line="162" w:lineRule="exact"/>
              <w:rPr>
                <w:sz w:val="20"/>
                <w:szCs w:val="20"/>
                <w:color w:val="auto"/>
              </w:rPr>
            </w:pPr>
            <w:r>
              <w:rPr>
                <w:rFonts w:ascii="Arial" w:cs="Arial" w:eastAsia="Arial" w:hAnsi="Arial"/>
                <w:sz w:val="15"/>
                <w:szCs w:val="15"/>
                <w:color w:val="auto"/>
              </w:rPr>
              <w:t>3,240,900</w:t>
            </w:r>
          </w:p>
        </w:tc>
        <w:tc>
          <w:tcPr>
            <w:tcW w:w="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(133,043)</w:t>
            </w:r>
          </w:p>
        </w:tc>
      </w:tr>
      <w:tr>
        <w:trPr>
          <w:trHeight w:val="162"/>
        </w:trPr>
        <w:tc>
          <w:tcPr>
            <w:tcW w:w="2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Total</w:t>
            </w:r>
          </w:p>
        </w:tc>
        <w:tc>
          <w:tcPr>
            <w:tcW w:w="280" w:type="dxa"/>
            <w:vAlign w:val="bottom"/>
            <w:tcBorders>
              <w:bottom w:val="single" w:sz="8" w:color="auto"/>
            </w:tcBorders>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w w:val="98"/>
              </w:rPr>
              <w:t>24,809,494</w:t>
            </w: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color w:val="auto"/>
              </w:rPr>
              <w:t>(693,206)</w:t>
            </w: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54</w:t>
            </w:r>
          </w:p>
        </w:tc>
        <w:tc>
          <w:tcPr>
            <w:tcW w:w="36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1,338,093</w:t>
            </w:r>
          </w:p>
        </w:tc>
        <w:tc>
          <w:tcPr>
            <w:tcW w:w="3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106"/>
              <w:spacing w:after="0" w:line="162" w:lineRule="exact"/>
              <w:rPr>
                <w:sz w:val="20"/>
                <w:szCs w:val="20"/>
                <w:color w:val="auto"/>
              </w:rPr>
            </w:pPr>
            <w:r>
              <w:rPr>
                <w:rFonts w:ascii="Arial" w:cs="Arial" w:eastAsia="Arial" w:hAnsi="Arial"/>
                <w:sz w:val="15"/>
                <w:szCs w:val="15"/>
                <w:color w:val="auto"/>
              </w:rPr>
              <w:t>(128,915)</w:t>
            </w:r>
          </w:p>
        </w:tc>
        <w:tc>
          <w:tcPr>
            <w:tcW w:w="102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rPr>
              <w:t>3</w:t>
            </w: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26"/>
              <w:spacing w:after="0" w:line="162" w:lineRule="exact"/>
              <w:rPr>
                <w:sz w:val="20"/>
                <w:szCs w:val="20"/>
                <w:color w:val="auto"/>
              </w:rPr>
            </w:pPr>
            <w:r>
              <w:rPr>
                <w:rFonts w:ascii="Arial" w:cs="Arial" w:eastAsia="Arial" w:hAnsi="Arial"/>
                <w:sz w:val="15"/>
                <w:szCs w:val="15"/>
                <w:color w:val="auto"/>
              </w:rPr>
              <w:t>26,147,587</w:t>
            </w:r>
          </w:p>
        </w:tc>
        <w:tc>
          <w:tcPr>
            <w:tcW w:w="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(822,121)</w:t>
            </w:r>
          </w:p>
        </w:tc>
      </w:tr>
      <w:tr>
        <w:trPr>
          <w:trHeight w:val="21"/>
        </w:trPr>
        <w:tc>
          <w:tcPr>
            <w:tcW w:w="2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58"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Fair value is the price that would be received upon sale of an asset or paid to transfer a liability in an orderly transaction between market participants at the measurement date. The valuation technique used by the Company to fair value its financial instruments is the market approach which uses prices and other relevant information generated by market transactions involving identical or comparable assets.</w:t>
      </w:r>
    </w:p>
    <w:p>
      <w:pPr>
        <w:spacing w:after="0" w:line="1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9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to the valuation methodology are quoted prices (unadjusted) for identical assets or liabilities traded in active markets. Included are those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traded on an active exchange, such as the NASDAQ Global Select Market, U.S. Treasury securities and obligations of U.S. government agencies, together with corporate debt securities that are generally investment grade.</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to the valuation methodology include quoted prices for similar assets or liabilities in active markets, quoted prices for identical or similar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2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to the valuation methodology are unobservable for the asset or liability and are significant to the fair value measurement. Material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factors considered in pricing investment securities and other assets may include appraisals, projected cash flows, market clearing activity or liquidity circumstances in the security or similar securities that may have occurred since the prior pricing period.</w:t>
      </w:r>
    </w:p>
    <w:p>
      <w:pPr>
        <w:spacing w:after="0" w:line="19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Company’s investments are allocated among pricing input levels at September 30, 2016 and December 31, 2015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 in thousands</w:t>
            </w:r>
            <w:r>
              <w:rPr>
                <w:rFonts w:ascii="Arial" w:cs="Arial" w:eastAsia="Arial" w:hAnsi="Arial"/>
                <w:sz w:val="15"/>
                <w:szCs w:val="15"/>
                <w:color w:val="auto"/>
              </w:rPr>
              <w:t>)</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right"/>
              <w:ind w:right="577"/>
              <w:spacing w:after="0"/>
              <w:rPr>
                <w:sz w:val="20"/>
                <w:szCs w:val="20"/>
                <w:color w:val="auto"/>
              </w:rPr>
            </w:pPr>
            <w:r>
              <w:rPr>
                <w:rFonts w:ascii="Arial" w:cs="Arial" w:eastAsia="Arial" w:hAnsi="Arial"/>
                <w:sz w:val="15"/>
                <w:szCs w:val="15"/>
                <w:b w:val="1"/>
                <w:bCs w:val="1"/>
                <w:color w:val="auto"/>
                <w:w w:val="99"/>
              </w:rPr>
              <w:t>September 30, 2016</w:t>
            </w: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line="162" w:lineRule="exact"/>
              <w:rPr>
                <w:sz w:val="20"/>
                <w:szCs w:val="20"/>
                <w:color w:val="auto"/>
              </w:rPr>
            </w:pPr>
            <w:r>
              <w:rPr>
                <w:rFonts w:ascii="Arial" w:cs="Arial" w:eastAsia="Arial" w:hAnsi="Arial"/>
                <w:sz w:val="15"/>
                <w:szCs w:val="15"/>
                <w:b w:val="1"/>
                <w:bCs w:val="1"/>
                <w:color w:val="auto"/>
              </w:rPr>
              <w:t>Level 1</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line="162" w:lineRule="exact"/>
              <w:rPr>
                <w:sz w:val="20"/>
                <w:szCs w:val="20"/>
                <w:color w:val="auto"/>
              </w:rPr>
            </w:pPr>
            <w:r>
              <w:rPr>
                <w:rFonts w:ascii="Arial" w:cs="Arial" w:eastAsia="Arial" w:hAnsi="Arial"/>
                <w:sz w:val="15"/>
                <w:szCs w:val="15"/>
                <w:b w:val="1"/>
                <w:bCs w:val="1"/>
                <w:color w:val="auto"/>
              </w:rPr>
              <w:t>Level 2</w:t>
            </w:r>
          </w:p>
        </w:tc>
        <w:tc>
          <w:tcPr>
            <w:tcW w:w="1040" w:type="dxa"/>
            <w:vAlign w:val="bottom"/>
            <w:tcBorders>
              <w:bottom w:val="single" w:sz="8" w:color="auto"/>
            </w:tcBorders>
          </w:tcPr>
          <w:p>
            <w:pPr>
              <w:jc w:val="right"/>
              <w:ind w:right="37"/>
              <w:spacing w:after="0" w:line="162" w:lineRule="exact"/>
              <w:rPr>
                <w:sz w:val="20"/>
                <w:szCs w:val="20"/>
                <w:color w:val="auto"/>
              </w:rPr>
            </w:pPr>
            <w:r>
              <w:rPr>
                <w:rFonts w:ascii="Arial" w:cs="Arial" w:eastAsia="Arial" w:hAnsi="Arial"/>
                <w:sz w:val="15"/>
                <w:szCs w:val="15"/>
                <w:b w:val="1"/>
                <w:bCs w:val="1"/>
                <w:color w:val="auto"/>
              </w:rPr>
              <w:t>Level 3</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4"/>
              <w:spacing w:after="0" w:line="162"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Fixed-maturity securities available-for-sale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Political subdivisions of</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States, Territories and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Possessions</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8,554,925</w:t>
            </w:r>
          </w:p>
        </w:tc>
        <w:tc>
          <w:tcPr>
            <w:tcW w:w="1040" w:type="dxa"/>
            <w:vAlign w:val="bottom"/>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8,554,925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Corporate and other</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bonds industrial and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miscellaneous</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w w:val="97"/>
              </w:rPr>
              <w:t>47,650,245</w:t>
            </w:r>
          </w:p>
        </w:tc>
        <w:tc>
          <w:tcPr>
            <w:tcW w:w="34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5,756,057</w:t>
            </w:r>
          </w:p>
        </w:tc>
        <w:tc>
          <w:tcPr>
            <w:tcW w:w="1040" w:type="dxa"/>
            <w:vAlign w:val="bottom"/>
          </w:tcPr>
          <w:p>
            <w:pPr>
              <w:spacing w:after="0"/>
              <w:rPr>
                <w:sz w:val="18"/>
                <w:szCs w:val="18"/>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w w:val="97"/>
              </w:rPr>
              <w:t>53,406,302</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60"/>
              <w:spacing w:after="0"/>
              <w:rPr>
                <w:sz w:val="20"/>
                <w:szCs w:val="20"/>
                <w:color w:val="auto"/>
              </w:rPr>
            </w:pPr>
            <w:r>
              <w:rPr>
                <w:rFonts w:ascii="Arial" w:cs="Arial" w:eastAsia="Arial" w:hAnsi="Arial"/>
                <w:sz w:val="18"/>
                <w:szCs w:val="18"/>
                <w:color w:val="auto"/>
              </w:rPr>
              <w:t>Residential mortgage backed securities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7"/>
              </w:rPr>
              <w:t>19,117,726</w:t>
            </w:r>
          </w:p>
        </w:tc>
        <w:tc>
          <w:tcPr>
            <w:tcW w:w="1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7"/>
              </w:rPr>
              <w:t>19,117,726</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fixed maturities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7"/>
              </w:rPr>
              <w:t>47,650,245</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7"/>
              </w:rPr>
              <w:t>33,428,708</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7"/>
              </w:rPr>
              <w:t>81,078,953</w:t>
            </w:r>
          </w:p>
        </w:tc>
        <w:tc>
          <w:tcPr>
            <w:tcW w:w="0" w:type="dxa"/>
            <w:vAlign w:val="bottom"/>
          </w:tcPr>
          <w:p>
            <w:pPr>
              <w:spacing w:after="0"/>
              <w:rPr>
                <w:sz w:val="1"/>
                <w:szCs w:val="1"/>
                <w:color w:val="auto"/>
              </w:rPr>
            </w:pPr>
          </w:p>
        </w:tc>
      </w:tr>
      <w:tr>
        <w:trPr>
          <w:trHeight w:val="223"/>
        </w:trPr>
        <w:tc>
          <w:tcPr>
            <w:tcW w:w="5960" w:type="dxa"/>
            <w:vAlign w:val="bottom"/>
          </w:tcPr>
          <w:p>
            <w:pPr>
              <w:ind w:left="60"/>
              <w:spacing w:after="0"/>
              <w:rPr>
                <w:sz w:val="20"/>
                <w:szCs w:val="20"/>
                <w:color w:val="auto"/>
              </w:rPr>
            </w:pPr>
            <w:r>
              <w:rPr>
                <w:rFonts w:ascii="Arial" w:cs="Arial" w:eastAsia="Arial" w:hAnsi="Arial"/>
                <w:sz w:val="18"/>
                <w:szCs w:val="18"/>
                <w:b w:val="1"/>
                <w:bCs w:val="1"/>
                <w:color w:val="auto"/>
              </w:rPr>
              <w:t>Equity securities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7"/>
              </w:rPr>
              <w:t>10,363,702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7"/>
              </w:rPr>
              <w:t>10,363,702</w:t>
            </w: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7"/>
              </w:rPr>
              <w:t>58,013,947</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7"/>
              </w:rPr>
              <w:t>33,428,708</w:t>
            </w:r>
          </w:p>
        </w:tc>
        <w:tc>
          <w:tcPr>
            <w:tcW w:w="104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7"/>
              </w:rPr>
              <w:t>91,442,655</w:t>
            </w:r>
          </w:p>
        </w:tc>
        <w:tc>
          <w:tcPr>
            <w:tcW w:w="0" w:type="dxa"/>
            <w:vAlign w:val="bottom"/>
          </w:tcPr>
          <w:p>
            <w:pPr>
              <w:spacing w:after="0"/>
              <w:rPr>
                <w:sz w:val="1"/>
                <w:szCs w:val="1"/>
                <w:color w:val="auto"/>
              </w:rPr>
            </w:pPr>
          </w:p>
        </w:tc>
      </w:tr>
      <w:tr>
        <w:trPr>
          <w:trHeight w:val="379"/>
        </w:trPr>
        <w:tc>
          <w:tcPr>
            <w:tcW w:w="596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 in thousands</w:t>
            </w:r>
            <w:r>
              <w:rPr>
                <w:rFonts w:ascii="Arial" w:cs="Arial" w:eastAsia="Arial" w:hAnsi="Arial"/>
                <w:sz w:val="15"/>
                <w:szCs w:val="15"/>
                <w:color w:val="auto"/>
              </w:rPr>
              <w:t>)</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597"/>
              <w:spacing w:after="0"/>
              <w:rPr>
                <w:sz w:val="20"/>
                <w:szCs w:val="20"/>
                <w:color w:val="auto"/>
              </w:rPr>
            </w:pPr>
            <w:r>
              <w:rPr>
                <w:rFonts w:ascii="Arial" w:cs="Arial" w:eastAsia="Arial" w:hAnsi="Arial"/>
                <w:sz w:val="15"/>
                <w:szCs w:val="15"/>
                <w:b w:val="1"/>
                <w:bCs w:val="1"/>
                <w:color w:val="auto"/>
              </w:rPr>
              <w:t>December 31, 2015</w:t>
            </w: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9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line="162" w:lineRule="exact"/>
              <w:rPr>
                <w:sz w:val="20"/>
                <w:szCs w:val="20"/>
                <w:color w:val="auto"/>
              </w:rPr>
            </w:pPr>
            <w:r>
              <w:rPr>
                <w:rFonts w:ascii="Arial" w:cs="Arial" w:eastAsia="Arial" w:hAnsi="Arial"/>
                <w:sz w:val="15"/>
                <w:szCs w:val="15"/>
                <w:b w:val="1"/>
                <w:bCs w:val="1"/>
                <w:color w:val="auto"/>
              </w:rPr>
              <w:t>Level 1</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line="162" w:lineRule="exact"/>
              <w:rPr>
                <w:sz w:val="20"/>
                <w:szCs w:val="20"/>
                <w:color w:val="auto"/>
              </w:rPr>
            </w:pPr>
            <w:r>
              <w:rPr>
                <w:rFonts w:ascii="Arial" w:cs="Arial" w:eastAsia="Arial" w:hAnsi="Arial"/>
                <w:sz w:val="15"/>
                <w:szCs w:val="15"/>
                <w:b w:val="1"/>
                <w:bCs w:val="1"/>
                <w:color w:val="auto"/>
              </w:rPr>
              <w:t>Level 2</w:t>
            </w:r>
          </w:p>
        </w:tc>
        <w:tc>
          <w:tcPr>
            <w:tcW w:w="1040" w:type="dxa"/>
            <w:vAlign w:val="bottom"/>
            <w:tcBorders>
              <w:bottom w:val="single" w:sz="8" w:color="auto"/>
            </w:tcBorders>
          </w:tcPr>
          <w:p>
            <w:pPr>
              <w:jc w:val="right"/>
              <w:ind w:right="37"/>
              <w:spacing w:after="0" w:line="162" w:lineRule="exact"/>
              <w:rPr>
                <w:sz w:val="20"/>
                <w:szCs w:val="20"/>
                <w:color w:val="auto"/>
              </w:rPr>
            </w:pPr>
            <w:r>
              <w:rPr>
                <w:rFonts w:ascii="Arial" w:cs="Arial" w:eastAsia="Arial" w:hAnsi="Arial"/>
                <w:sz w:val="15"/>
                <w:szCs w:val="15"/>
                <w:b w:val="1"/>
                <w:bCs w:val="1"/>
                <w:color w:val="auto"/>
              </w:rPr>
              <w:t>Level 3</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4"/>
              <w:spacing w:after="0" w:line="162"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Fixed-maturity securities available-for-sale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Political subdivisions of</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States, Territories and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Possessions</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6"/>
              <w:spacing w:after="0"/>
              <w:rPr>
                <w:sz w:val="20"/>
                <w:szCs w:val="20"/>
                <w:color w:val="auto"/>
              </w:rPr>
            </w:pPr>
            <w:r>
              <w:rPr>
                <w:rFonts w:ascii="Arial" w:cs="Arial" w:eastAsia="Arial" w:hAnsi="Arial"/>
                <w:sz w:val="18"/>
                <w:szCs w:val="18"/>
                <w:color w:val="auto"/>
                <w:w w:val="97"/>
              </w:rPr>
              <w:t>12,555,098</w:t>
            </w:r>
          </w:p>
        </w:tc>
        <w:tc>
          <w:tcPr>
            <w:tcW w:w="1040" w:type="dxa"/>
            <w:vAlign w:val="bottom"/>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w w:val="97"/>
              </w:rPr>
              <w:t>12,555,098</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Corporate and other</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bonds industrial and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miscellaneous</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w w:val="97"/>
              </w:rPr>
              <w:t>37,964,006</w:t>
            </w:r>
          </w:p>
        </w:tc>
        <w:tc>
          <w:tcPr>
            <w:tcW w:w="34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6,992,462</w:t>
            </w:r>
          </w:p>
        </w:tc>
        <w:tc>
          <w:tcPr>
            <w:tcW w:w="1040" w:type="dxa"/>
            <w:vAlign w:val="bottom"/>
          </w:tcPr>
          <w:p>
            <w:pPr>
              <w:spacing w:after="0"/>
              <w:rPr>
                <w:sz w:val="18"/>
                <w:szCs w:val="18"/>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w w:val="97"/>
              </w:rPr>
              <w:t>44,956,468</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60"/>
              <w:spacing w:after="0"/>
              <w:rPr>
                <w:sz w:val="20"/>
                <w:szCs w:val="20"/>
                <w:color w:val="auto"/>
              </w:rPr>
            </w:pPr>
            <w:r>
              <w:rPr>
                <w:rFonts w:ascii="Arial" w:cs="Arial" w:eastAsia="Arial" w:hAnsi="Arial"/>
                <w:sz w:val="18"/>
                <w:szCs w:val="18"/>
                <w:color w:val="auto"/>
              </w:rPr>
              <w:t>Residential mortgage backed securities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4,990,498</w:t>
            </w:r>
          </w:p>
        </w:tc>
        <w:tc>
          <w:tcPr>
            <w:tcW w:w="1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4,990,498</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fixed maturities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7"/>
              </w:rPr>
              <w:t>37,964,006</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7"/>
              </w:rPr>
              <w:t>24,538,058</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7"/>
              </w:rPr>
              <w:t>62,502,064</w:t>
            </w:r>
          </w:p>
        </w:tc>
        <w:tc>
          <w:tcPr>
            <w:tcW w:w="0" w:type="dxa"/>
            <w:vAlign w:val="bottom"/>
          </w:tcPr>
          <w:p>
            <w:pPr>
              <w:spacing w:after="0"/>
              <w:rPr>
                <w:sz w:val="1"/>
                <w:szCs w:val="1"/>
                <w:color w:val="auto"/>
              </w:rPr>
            </w:pPr>
          </w:p>
        </w:tc>
      </w:tr>
      <w:tr>
        <w:trPr>
          <w:trHeight w:val="223"/>
        </w:trPr>
        <w:tc>
          <w:tcPr>
            <w:tcW w:w="5960" w:type="dxa"/>
            <w:vAlign w:val="bottom"/>
          </w:tcPr>
          <w:p>
            <w:pPr>
              <w:ind w:left="60"/>
              <w:spacing w:after="0"/>
              <w:rPr>
                <w:sz w:val="20"/>
                <w:szCs w:val="20"/>
                <w:color w:val="auto"/>
              </w:rPr>
            </w:pPr>
            <w:r>
              <w:rPr>
                <w:rFonts w:ascii="Arial" w:cs="Arial" w:eastAsia="Arial" w:hAnsi="Arial"/>
                <w:sz w:val="18"/>
                <w:szCs w:val="18"/>
                <w:b w:val="1"/>
                <w:bCs w:val="1"/>
                <w:color w:val="auto"/>
              </w:rPr>
              <w:t>Equity securities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9,204,270</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9,204,270</w:t>
            </w: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7"/>
              </w:rPr>
              <w:t>47,168,276</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7"/>
              </w:rPr>
              <w:t>24,538,058</w:t>
            </w:r>
          </w:p>
        </w:tc>
        <w:tc>
          <w:tcPr>
            <w:tcW w:w="104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7"/>
              </w:rPr>
              <w:t>71,706,334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of Financial Instruments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following methods and assumptions in estimating its fair value disclosures for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Equity securities and fixed income securities available-for-sale: </w:t>
      </w:r>
      <w:r>
        <w:rPr>
          <w:rFonts w:ascii="Arial" w:cs="Arial" w:eastAsia="Arial" w:hAnsi="Arial"/>
          <w:sz w:val="16"/>
          <w:szCs w:val="16"/>
          <w:color w:val="auto"/>
        </w:rPr>
        <w:t>Fair value is based on quoted market prices from a recognized pricing service.</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Cash and cash equivalents: </w:t>
      </w:r>
      <w:r>
        <w:rPr>
          <w:rFonts w:ascii="Arial" w:cs="Arial" w:eastAsia="Arial" w:hAnsi="Arial"/>
          <w:sz w:val="15"/>
          <w:szCs w:val="15"/>
          <w:color w:val="auto"/>
        </w:rPr>
        <w:t>The carrying values of cash and cash equivalents approximate their fair values because of the short-term nature of these instruments.</w:t>
      </w:r>
    </w:p>
    <w:p>
      <w:pPr>
        <w:spacing w:after="0" w:line="28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Premiums receivable and reinsurance receivables: </w:t>
      </w:r>
      <w:r>
        <w:rPr>
          <w:rFonts w:ascii="Arial" w:cs="Arial" w:eastAsia="Arial" w:hAnsi="Arial"/>
          <w:sz w:val="18"/>
          <w:szCs w:val="18"/>
          <w:color w:val="auto"/>
        </w:rPr>
        <w:t>The carrying values reported in the accompanying condensed consolidated balance sheets for these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instruments approximate their fair values due to the short-term nature of the assets.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Real estate: </w:t>
      </w:r>
      <w:r>
        <w:rPr>
          <w:rFonts w:ascii="Arial" w:cs="Arial" w:eastAsia="Arial" w:hAnsi="Arial"/>
          <w:sz w:val="18"/>
          <w:szCs w:val="18"/>
          <w:color w:val="auto"/>
        </w:rPr>
        <w:t>The fair value of the land and building included in property and equipment, which is used in the Company’s operations, approximates the carrying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The fair value was based on an appraisal prepared using the sales comparison approach and income approach, and accordingly the real estate is a Level 3 asset under the fair value hierarchy.</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Reinsurance balances payable: </w:t>
      </w:r>
      <w:r>
        <w:rPr>
          <w:rFonts w:ascii="Arial" w:cs="Arial" w:eastAsia="Arial" w:hAnsi="Arial"/>
          <w:sz w:val="18"/>
          <w:szCs w:val="18"/>
          <w:color w:val="auto"/>
        </w:rPr>
        <w:t>The carrying value reported in the condensed consolidated balance sheets for these financial instruments approximates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the Company’s financial instruments as of September 30, 2016 and December 31, 2015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774"/>
              <w:spacing w:after="0"/>
              <w:rPr>
                <w:sz w:val="20"/>
                <w:szCs w:val="20"/>
                <w:color w:val="auto"/>
              </w:rPr>
            </w:pPr>
            <w:r>
              <w:rPr>
                <w:rFonts w:ascii="Arial" w:cs="Arial" w:eastAsia="Arial" w:hAnsi="Arial"/>
                <w:sz w:val="15"/>
                <w:szCs w:val="15"/>
                <w:b w:val="1"/>
                <w:bCs w:val="1"/>
                <w:color w:val="auto"/>
              </w:rPr>
              <w:t>September 30, 2016</w:t>
            </w:r>
          </w:p>
        </w:tc>
        <w:tc>
          <w:tcPr>
            <w:tcW w:w="2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5"/>
                <w:szCs w:val="15"/>
                <w:b w:val="1"/>
                <w:bCs w:val="1"/>
                <w:color w:val="auto"/>
              </w:rPr>
              <w:t>December 31,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5"/>
                <w:szCs w:val="15"/>
                <w:b w:val="1"/>
                <w:bCs w:val="1"/>
                <w:color w:val="auto"/>
              </w:rPr>
              <w:t>Carrying Value</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w w:val="97"/>
              </w:rPr>
              <w:t>Fair Value</w:t>
            </w:r>
          </w:p>
        </w:tc>
        <w:tc>
          <w:tcPr>
            <w:tcW w:w="136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5"/>
                <w:szCs w:val="15"/>
                <w:b w:val="1"/>
                <w:bCs w:val="1"/>
                <w:color w:val="auto"/>
              </w:rPr>
              <w:t>Carrying Value</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4"/>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Fixed-maturity securities held-to-maturity</w:t>
            </w:r>
          </w:p>
        </w:tc>
        <w:tc>
          <w:tcPr>
            <w:tcW w:w="156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5,094,455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5,482,735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5,138,872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5,241,095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w w:val="97"/>
              </w:rPr>
              <w:t>12,430,687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12,430,687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4"/>
              <w:spacing w:after="0"/>
              <w:rPr>
                <w:sz w:val="20"/>
                <w:szCs w:val="20"/>
                <w:color w:val="auto"/>
              </w:rPr>
            </w:pPr>
            <w:r>
              <w:rPr>
                <w:rFonts w:ascii="Arial" w:cs="Arial" w:eastAsia="Arial" w:hAnsi="Arial"/>
                <w:sz w:val="18"/>
                <w:szCs w:val="18"/>
                <w:color w:val="auto"/>
                <w:w w:val="99"/>
              </w:rPr>
              <w:t>13,551,372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13,551,372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Premiums receivable</w:t>
            </w:r>
          </w:p>
        </w:tc>
        <w:tc>
          <w:tcPr>
            <w:tcW w:w="156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7"/>
              </w:rPr>
              <w:t>11,516,429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11,516,429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10,621,655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10,621,655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0"/>
              <w:spacing w:after="0"/>
              <w:rPr>
                <w:sz w:val="20"/>
                <w:szCs w:val="20"/>
                <w:color w:val="auto"/>
              </w:rPr>
            </w:pPr>
            <w:r>
              <w:rPr>
                <w:rFonts w:ascii="Arial" w:cs="Arial" w:eastAsia="Arial" w:hAnsi="Arial"/>
                <w:sz w:val="18"/>
                <w:szCs w:val="18"/>
                <w:color w:val="auto"/>
              </w:rPr>
              <w:t>Reinsurance receivables</w:t>
            </w:r>
          </w:p>
        </w:tc>
        <w:tc>
          <w:tcPr>
            <w:tcW w:w="156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w w:val="97"/>
              </w:rPr>
              <w:t>31,212,976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31,212,976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4"/>
              <w:spacing w:after="0"/>
              <w:rPr>
                <w:sz w:val="20"/>
                <w:szCs w:val="20"/>
                <w:color w:val="auto"/>
              </w:rPr>
            </w:pPr>
            <w:r>
              <w:rPr>
                <w:rFonts w:ascii="Arial" w:cs="Arial" w:eastAsia="Arial" w:hAnsi="Arial"/>
                <w:sz w:val="18"/>
                <w:szCs w:val="18"/>
                <w:color w:val="auto"/>
                <w:w w:val="99"/>
              </w:rPr>
              <w:t>31,270,235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31,270,235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Real estate, net of accumulated depreciation</w:t>
            </w:r>
          </w:p>
        </w:tc>
        <w:tc>
          <w:tcPr>
            <w:tcW w:w="156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1,669,262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1,925,000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1,710,897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1,925,000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gridSpan w:val="2"/>
          </w:tcPr>
          <w:p>
            <w:pPr>
              <w:ind w:left="40"/>
              <w:spacing w:after="0"/>
              <w:rPr>
                <w:sz w:val="20"/>
                <w:szCs w:val="20"/>
                <w:color w:val="auto"/>
              </w:rPr>
            </w:pPr>
            <w:r>
              <w:rPr>
                <w:rFonts w:ascii="Arial" w:cs="Arial" w:eastAsia="Arial" w:hAnsi="Arial"/>
                <w:sz w:val="18"/>
                <w:szCs w:val="18"/>
                <w:color w:val="auto"/>
              </w:rPr>
              <w:t>Reinsurance balances payable</w:t>
            </w:r>
          </w:p>
        </w:tc>
        <w:tc>
          <w:tcPr>
            <w:tcW w:w="156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3,996,426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3,996,426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1,688,922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1,688,922</w:t>
            </w:r>
          </w:p>
        </w:tc>
        <w:tc>
          <w:tcPr>
            <w:tcW w:w="0" w:type="dxa"/>
            <w:vAlign w:val="bottom"/>
          </w:tcPr>
          <w:p>
            <w:pPr>
              <w:spacing w:after="0"/>
              <w:rPr>
                <w:sz w:val="1"/>
                <w:szCs w:val="1"/>
                <w:color w:val="auto"/>
              </w:rPr>
            </w:pPr>
          </w:p>
        </w:tc>
      </w:tr>
      <w:tr>
        <w:trPr>
          <w:trHeight w:val="451"/>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Note 6 – Property and Casualty Insurance Activity</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4720" w:type="dxa"/>
            <w:vAlign w:val="bottom"/>
            <w:gridSpan w:val="3"/>
          </w:tcPr>
          <w:p>
            <w:pPr>
              <w:spacing w:after="0"/>
              <w:rPr>
                <w:sz w:val="20"/>
                <w:szCs w:val="20"/>
                <w:color w:val="auto"/>
              </w:rPr>
            </w:pPr>
            <w:r>
              <w:rPr>
                <w:rFonts w:ascii="Arial" w:cs="Arial" w:eastAsia="Arial" w:hAnsi="Arial"/>
                <w:sz w:val="18"/>
                <w:szCs w:val="18"/>
                <w:color w:val="auto"/>
              </w:rPr>
              <w:t>Premiums Earned</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4720" w:type="dxa"/>
            <w:vAlign w:val="bottom"/>
            <w:gridSpan w:val="3"/>
          </w:tcPr>
          <w:p>
            <w:pPr>
              <w:spacing w:after="0"/>
              <w:rPr>
                <w:sz w:val="20"/>
                <w:szCs w:val="20"/>
                <w:color w:val="auto"/>
              </w:rPr>
            </w:pPr>
            <w:r>
              <w:rPr>
                <w:rFonts w:ascii="Arial" w:cs="Arial" w:eastAsia="Arial" w:hAnsi="Arial"/>
                <w:sz w:val="18"/>
                <w:szCs w:val="18"/>
                <w:color w:val="auto"/>
              </w:rPr>
              <w:t>Premiums written, ceded and earned are as follows:</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5"/>
                <w:szCs w:val="15"/>
                <w:b w:val="1"/>
                <w:bCs w:val="1"/>
                <w:color w:val="auto"/>
              </w:rPr>
              <w:t>Direct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Assumed</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5"/>
                <w:szCs w:val="15"/>
                <w:b w:val="1"/>
                <w:bCs w:val="1"/>
                <w:color w:val="auto"/>
              </w:rPr>
              <w:t>Ceded</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2016</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0"/>
              <w:spacing w:after="0"/>
              <w:rPr>
                <w:sz w:val="20"/>
                <w:szCs w:val="20"/>
                <w:color w:val="auto"/>
              </w:rPr>
            </w:pPr>
            <w:r>
              <w:rPr>
                <w:rFonts w:ascii="Arial" w:cs="Arial" w:eastAsia="Arial" w:hAnsi="Arial"/>
                <w:sz w:val="18"/>
                <w:szCs w:val="18"/>
                <w:color w:val="auto"/>
              </w:rPr>
              <w:t>Premiums written</w:t>
            </w:r>
          </w:p>
        </w:tc>
        <w:tc>
          <w:tcPr>
            <w:tcW w:w="156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w w:val="97"/>
              </w:rPr>
              <w:t>76,375,159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14,631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w w:val="94"/>
              </w:rPr>
              <w:t>(27,542,953)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48,846,837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unearned premiums</w:t>
            </w:r>
          </w:p>
        </w:tc>
        <w:tc>
          <w:tcPr>
            <w:tcW w:w="1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(4,875,664)</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2,058</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1,215,500</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0"/>
              <w:spacing w:after="0"/>
              <w:rPr>
                <w:sz w:val="20"/>
                <w:szCs w:val="20"/>
                <w:color w:val="auto"/>
              </w:rPr>
            </w:pPr>
            <w:r>
              <w:rPr>
                <w:rFonts w:ascii="Arial" w:cs="Arial" w:eastAsia="Arial" w:hAnsi="Arial"/>
                <w:sz w:val="18"/>
                <w:szCs w:val="18"/>
                <w:color w:val="auto"/>
              </w:rPr>
              <w:t>Premiums earned</w:t>
            </w:r>
          </w:p>
        </w:tc>
        <w:tc>
          <w:tcPr>
            <w:tcW w:w="156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w w:val="97"/>
              </w:rPr>
              <w:t>71,499,495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16,689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w w:val="94"/>
              </w:rPr>
              <w:t>(26,327,453)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45,188,731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 September 30, 2015</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Premiums written</w:t>
            </w:r>
          </w:p>
        </w:tc>
        <w:tc>
          <w:tcPr>
            <w:tcW w:w="156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7"/>
              </w:rPr>
              <w:t>67,225,990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34,815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4"/>
              </w:rPr>
              <w:t>(21,913,608)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45,347,197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40"/>
              <w:spacing w:after="0"/>
              <w:rPr>
                <w:sz w:val="20"/>
                <w:szCs w:val="20"/>
                <w:color w:val="auto"/>
              </w:rPr>
            </w:pPr>
            <w:r>
              <w:rPr>
                <w:rFonts w:ascii="Arial" w:cs="Arial" w:eastAsia="Arial" w:hAnsi="Arial"/>
                <w:sz w:val="18"/>
                <w:szCs w:val="18"/>
                <w:color w:val="auto"/>
              </w:rPr>
              <w:t>Change in unearned premiums</w:t>
            </w:r>
          </w:p>
        </w:tc>
        <w:tc>
          <w:tcPr>
            <w:tcW w:w="1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(6,984,651)</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1,362</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(3,982,790)</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(10,966,079)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Premiums earned</w:t>
            </w:r>
          </w:p>
        </w:tc>
        <w:tc>
          <w:tcPr>
            <w:tcW w:w="156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7"/>
              </w:rPr>
              <w:t>60,241,339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36,177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4"/>
              </w:rPr>
              <w:t>(25,896,398)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34,381,118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2016</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0"/>
              <w:spacing w:after="0"/>
              <w:rPr>
                <w:sz w:val="20"/>
                <w:szCs w:val="20"/>
                <w:color w:val="auto"/>
              </w:rPr>
            </w:pPr>
            <w:r>
              <w:rPr>
                <w:rFonts w:ascii="Arial" w:cs="Arial" w:eastAsia="Arial" w:hAnsi="Arial"/>
                <w:sz w:val="18"/>
                <w:szCs w:val="18"/>
                <w:color w:val="auto"/>
              </w:rPr>
              <w:t>Premiums written</w:t>
            </w:r>
          </w:p>
        </w:tc>
        <w:tc>
          <w:tcPr>
            <w:tcW w:w="156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w w:val="97"/>
              </w:rPr>
              <w:t>27,170,743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(1,367)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(9,937,096)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17,232,280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unearned premiums</w:t>
            </w:r>
          </w:p>
        </w:tc>
        <w:tc>
          <w:tcPr>
            <w:tcW w:w="1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(2,302,119)</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(1,479)</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717,499</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0"/>
              <w:spacing w:after="0"/>
              <w:rPr>
                <w:sz w:val="20"/>
                <w:szCs w:val="20"/>
                <w:color w:val="auto"/>
              </w:rPr>
            </w:pPr>
            <w:r>
              <w:rPr>
                <w:rFonts w:ascii="Arial" w:cs="Arial" w:eastAsia="Arial" w:hAnsi="Arial"/>
                <w:sz w:val="18"/>
                <w:szCs w:val="18"/>
                <w:color w:val="auto"/>
              </w:rPr>
              <w:t>Premiums earned</w:t>
            </w:r>
          </w:p>
        </w:tc>
        <w:tc>
          <w:tcPr>
            <w:tcW w:w="156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w w:val="97"/>
              </w:rPr>
              <w:t>24,868,624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(2,846)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(9,219,597)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15,646,181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September 30, 2015</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Premiums written</w:t>
            </w:r>
          </w:p>
        </w:tc>
        <w:tc>
          <w:tcPr>
            <w:tcW w:w="156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7"/>
              </w:rPr>
              <w:t>24,570,496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12,945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(3,245,871)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21,337,570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40"/>
              <w:spacing w:after="0"/>
              <w:rPr>
                <w:sz w:val="20"/>
                <w:szCs w:val="20"/>
                <w:color w:val="auto"/>
              </w:rPr>
            </w:pPr>
            <w:r>
              <w:rPr>
                <w:rFonts w:ascii="Arial" w:cs="Arial" w:eastAsia="Arial" w:hAnsi="Arial"/>
                <w:sz w:val="18"/>
                <w:szCs w:val="18"/>
                <w:color w:val="auto"/>
              </w:rPr>
              <w:t>Change in unearned premiums</w:t>
            </w:r>
          </w:p>
        </w:tc>
        <w:tc>
          <w:tcPr>
            <w:tcW w:w="1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(3,330,333)</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(1,015)</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(4,876,618)</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(8,207,966)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Premiums earned</w:t>
            </w:r>
          </w:p>
        </w:tc>
        <w:tc>
          <w:tcPr>
            <w:tcW w:w="156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7"/>
              </w:rPr>
              <w:t>21,240,163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11,930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(8,122,489)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13,129,604</w:t>
            </w:r>
          </w:p>
        </w:tc>
        <w:tc>
          <w:tcPr>
            <w:tcW w:w="0" w:type="dxa"/>
            <w:vAlign w:val="bottom"/>
          </w:tcPr>
          <w:p>
            <w:pPr>
              <w:spacing w:after="0"/>
              <w:rPr>
                <w:sz w:val="1"/>
                <w:szCs w:val="1"/>
                <w:color w:val="auto"/>
              </w:rPr>
            </w:pPr>
          </w:p>
        </w:tc>
      </w:tr>
      <w:tr>
        <w:trPr>
          <w:trHeight w:val="587"/>
        </w:trPr>
        <w:tc>
          <w:tcPr>
            <w:tcW w:w="20" w:type="dxa"/>
            <w:vAlign w:val="bottom"/>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346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jc w:val="right"/>
              <w:ind w:right="72"/>
              <w:spacing w:after="0"/>
              <w:rPr>
                <w:sz w:val="20"/>
                <w:szCs w:val="20"/>
                <w:color w:val="auto"/>
              </w:rPr>
            </w:pPr>
            <w:r>
              <w:rPr>
                <w:rFonts w:ascii="Arial" w:cs="Arial" w:eastAsia="Arial" w:hAnsi="Arial"/>
                <w:sz w:val="18"/>
                <w:szCs w:val="18"/>
                <w:color w:val="auto"/>
              </w:rPr>
              <w:t>18</w:t>
            </w:r>
          </w:p>
        </w:tc>
        <w:tc>
          <w:tcPr>
            <w:tcW w:w="3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9" w:right="239" w:bottom="1440" w:gutter="0" w:footer="0" w:header="0"/>
        </w:sectPr>
      </w:pPr>
    </w:p>
    <w:bookmarkStart w:id="20" w:name="page21"/>
    <w:bookmarkEnd w:id="20"/>
    <w:p>
      <w:pPr>
        <w:spacing w:after="0" w:line="268" w:lineRule="auto"/>
        <w:rPr>
          <w:sz w:val="20"/>
          <w:szCs w:val="20"/>
          <w:color w:val="auto"/>
        </w:rPr>
      </w:pPr>
      <w:r>
        <w:rPr>
          <w:rFonts w:ascii="Arial" w:cs="Arial" w:eastAsia="Arial" w:hAnsi="Arial"/>
          <w:sz w:val="18"/>
          <w:szCs w:val="18"/>
          <w:color w:val="auto"/>
        </w:rPr>
        <w:t>Premium receipts in advance of the policy effective date are recorded as advance premiums. The balance of advance premiums as of September 30, 2016 and December 31, 2015 was approximately $2,046,000 and $1,199,000,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Loss Adjustment Expense Reserves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the beginning and ending balances for unpaid losses and loss adjustment expense (“LAE”) reserves:</w:t>
      </w:r>
    </w:p>
    <w:p>
      <w:pPr>
        <w:spacing w:after="0" w:line="297" w:lineRule="exact"/>
        <w:rPr>
          <w:sz w:val="20"/>
          <w:szCs w:val="20"/>
          <w:color w:val="auto"/>
        </w:rPr>
      </w:pPr>
    </w:p>
    <w:p>
      <w:pPr>
        <w:ind w:left="9460"/>
        <w:spacing w:after="0"/>
        <w:rPr>
          <w:sz w:val="20"/>
          <w:szCs w:val="20"/>
          <w:color w:val="auto"/>
        </w:rPr>
      </w:pPr>
      <w:r>
        <w:rPr>
          <w:rFonts w:ascii="Arial" w:cs="Arial" w:eastAsia="Arial" w:hAnsi="Arial"/>
          <w:sz w:val="15"/>
          <w:szCs w:val="15"/>
          <w:b w:val="1"/>
          <w:bCs w:val="1"/>
          <w:color w:val="auto"/>
        </w:rPr>
        <w:t>Nine months ended</w:t>
      </w:r>
    </w:p>
    <w:p>
      <w:pPr>
        <w:spacing w:after="0" w:line="44" w:lineRule="exact"/>
        <w:rPr>
          <w:sz w:val="20"/>
          <w:szCs w:val="20"/>
          <w:color w:val="auto"/>
        </w:rPr>
      </w:pPr>
    </w:p>
    <w:p>
      <w:pPr>
        <w:ind w:left="9580"/>
        <w:spacing w:after="0"/>
        <w:rPr>
          <w:sz w:val="20"/>
          <w:szCs w:val="20"/>
          <w:color w:val="auto"/>
        </w:rPr>
      </w:pPr>
      <w:r>
        <w:rPr>
          <w:rFonts w:ascii="Arial" w:cs="Arial" w:eastAsia="Arial" w:hAnsi="Arial"/>
          <w:sz w:val="15"/>
          <w:szCs w:val="15"/>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1905</wp:posOffset>
            </wp:positionV>
            <wp:extent cx="17322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51" w:lineRule="exact"/>
        <w:rPr>
          <w:sz w:val="20"/>
          <w:szCs w:val="20"/>
          <w:color w:val="auto"/>
        </w:rPr>
      </w:pPr>
    </w:p>
    <w:p>
      <w:pPr>
        <w:ind w:left="9220"/>
        <w:spacing w:after="0"/>
        <w:tabs>
          <w:tab w:leader="none" w:pos="10560" w:val="left"/>
        </w:tabs>
        <w:rPr>
          <w:sz w:val="20"/>
          <w:szCs w:val="20"/>
          <w:color w:val="auto"/>
        </w:rPr>
      </w:pPr>
      <w:r>
        <w:rPr>
          <w:rFonts w:ascii="Arial" w:cs="Arial" w:eastAsia="Arial" w:hAnsi="Arial"/>
          <w:sz w:val="15"/>
          <w:szCs w:val="15"/>
          <w:b w:val="1"/>
          <w:bCs w:val="1"/>
          <w:color w:val="auto"/>
        </w:rPr>
        <w:t>2016</w:t>
      </w:r>
      <w:r>
        <w:rPr>
          <w:sz w:val="20"/>
          <w:szCs w:val="20"/>
          <w:color w:val="auto"/>
        </w:rPr>
        <w:tab/>
      </w:r>
      <w:r>
        <w:rPr>
          <w:rFonts w:ascii="Arial" w:cs="Arial" w:eastAsia="Arial" w:hAnsi="Arial"/>
          <w:sz w:val="15"/>
          <w:szCs w:val="15"/>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1905</wp:posOffset>
            </wp:positionV>
            <wp:extent cx="173228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p>
      <w:pPr>
        <w:spacing w:after="0" w:line="238"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Balance at beginning of period</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6"/>
          <w:szCs w:val="16"/>
          <w:color w:val="auto"/>
        </w:rPr>
        <w:t>Less reinsurance recoverables</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5"/>
          <w:szCs w:val="15"/>
          <w:color w:val="auto"/>
        </w:rPr>
        <w:t>Net balance, beginning of period</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Incurred related to:</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Current year</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292" w:hanging="292"/>
        <w:spacing w:after="0"/>
        <w:tabs>
          <w:tab w:leader="none" w:pos="292" w:val="left"/>
        </w:tabs>
        <w:numPr>
          <w:ilvl w:val="0"/>
          <w:numId w:val="3"/>
        </w:numPr>
        <w:rPr>
          <w:rFonts w:ascii="Arial" w:cs="Arial" w:eastAsia="Arial" w:hAnsi="Arial"/>
          <w:sz w:val="18"/>
          <w:szCs w:val="18"/>
          <w:color w:val="auto"/>
        </w:rPr>
      </w:pPr>
      <w:r>
        <w:rPr>
          <w:rFonts w:ascii="Arial" w:cs="Arial" w:eastAsia="Arial" w:hAnsi="Arial"/>
          <w:sz w:val="18"/>
          <w:szCs w:val="18"/>
          <w:color w:val="auto"/>
        </w:rPr>
        <w:t>39,876,500   $   39,912,683</w:t>
      </w:r>
    </w:p>
    <w:p>
      <w:pPr>
        <w:spacing w:after="0" w:line="15" w:lineRule="exact"/>
        <w:rPr>
          <w:rFonts w:ascii="Arial" w:cs="Arial" w:eastAsia="Arial" w:hAnsi="Arial"/>
          <w:sz w:val="18"/>
          <w:szCs w:val="18"/>
          <w:color w:val="auto"/>
        </w:rPr>
      </w:pPr>
    </w:p>
    <w:p>
      <w:pPr>
        <w:ind w:left="252"/>
        <w:spacing w:after="0"/>
        <w:rPr>
          <w:rFonts w:ascii="Arial" w:cs="Arial" w:eastAsia="Arial" w:hAnsi="Arial"/>
          <w:sz w:val="18"/>
          <w:szCs w:val="18"/>
          <w:color w:val="auto"/>
        </w:rPr>
      </w:pPr>
      <w:r>
        <w:rPr>
          <w:rFonts w:ascii="Arial" w:cs="Arial" w:eastAsia="Arial" w:hAnsi="Arial"/>
          <w:sz w:val="18"/>
          <w:szCs w:val="18"/>
          <w:color w:val="auto"/>
        </w:rPr>
        <w:t>(16,706,364)</w:t>
      </w:r>
      <w:r>
        <w:rPr>
          <w:rFonts w:ascii="Arial" w:cs="Arial" w:eastAsia="Arial" w:hAnsi="Arial"/>
          <w:sz w:val="15"/>
          <w:szCs w:val="15"/>
          <w:color w:val="auto"/>
        </w:rPr>
        <w:t>(18,249,526)</w:t>
      </w:r>
    </w:p>
    <w:p>
      <w:pPr>
        <w:spacing w:after="0" w:line="29" w:lineRule="exact"/>
        <w:rPr>
          <w:rFonts w:ascii="Arial" w:cs="Arial" w:eastAsia="Arial" w:hAnsi="Arial"/>
          <w:sz w:val="18"/>
          <w:szCs w:val="18"/>
          <w:color w:val="auto"/>
        </w:rPr>
      </w:pPr>
    </w:p>
    <w:p>
      <w:pPr>
        <w:ind w:left="292"/>
        <w:spacing w:after="0"/>
        <w:rPr>
          <w:rFonts w:ascii="Arial" w:cs="Arial" w:eastAsia="Arial" w:hAnsi="Arial"/>
          <w:sz w:val="18"/>
          <w:szCs w:val="18"/>
          <w:color w:val="auto"/>
        </w:rPr>
      </w:pPr>
      <w:r>
        <w:rPr>
          <w:rFonts w:ascii="Arial" w:cs="Arial" w:eastAsia="Arial" w:hAnsi="Arial"/>
          <w:sz w:val="18"/>
          <w:szCs w:val="18"/>
          <w:color w:val="auto"/>
        </w:rPr>
        <w:t>23,170,136</w:t>
      </w:r>
      <w:r>
        <w:rPr>
          <w:rFonts w:ascii="Arial" w:cs="Arial" w:eastAsia="Arial" w:hAnsi="Arial"/>
          <w:sz w:val="15"/>
          <w:szCs w:val="15"/>
          <w:color w:val="auto"/>
        </w:rPr>
        <w:t>21,663,157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-5600065</wp:posOffset>
            </wp:positionH>
            <wp:positionV relativeFrom="paragraph">
              <wp:posOffset>-417195</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165735</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-142875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92"/>
        <w:spacing w:after="0"/>
        <w:tabs>
          <w:tab w:leader="none" w:pos="1651" w:val="left"/>
        </w:tabs>
        <w:rPr>
          <w:sz w:val="20"/>
          <w:szCs w:val="20"/>
          <w:color w:val="auto"/>
        </w:rPr>
      </w:pPr>
      <w:r>
        <w:rPr>
          <w:rFonts w:ascii="Arial" w:cs="Arial" w:eastAsia="Arial" w:hAnsi="Arial"/>
          <w:sz w:val="16"/>
          <w:szCs w:val="16"/>
          <w:color w:val="auto"/>
        </w:rPr>
        <w:t>20,572,367</w:t>
      </w:r>
      <w:r>
        <w:rPr>
          <w:sz w:val="20"/>
          <w:szCs w:val="20"/>
          <w:color w:val="auto"/>
        </w:rPr>
        <w:tab/>
      </w:r>
      <w:r>
        <w:rPr>
          <w:rFonts w:ascii="Arial" w:cs="Arial" w:eastAsia="Arial" w:hAnsi="Arial"/>
          <w:sz w:val="16"/>
          <w:szCs w:val="16"/>
          <w:color w:val="auto"/>
        </w:rPr>
        <w:t>17,353,585</w:t>
      </w:r>
    </w:p>
    <w:p>
      <w:pPr>
        <w:spacing w:after="0" w:line="49" w:lineRule="exact"/>
        <w:rPr>
          <w:sz w:val="20"/>
          <w:szCs w:val="20"/>
          <w:color w:val="auto"/>
        </w:rPr>
      </w:pPr>
    </w:p>
    <w:p>
      <w:pPr>
        <w:sectPr>
          <w:pgSz w:w="11900" w:h="16838" w:orient="portrait"/>
          <w:cols w:equalWidth="0" w:num="2">
            <w:col w:w="8108" w:space="720"/>
            <w:col w:w="2592"/>
          </w:cols>
          <w:pgMar w:left="240" w:top="509"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Prior years</w:t>
            </w:r>
          </w:p>
        </w:tc>
        <w:tc>
          <w:tcPr>
            <w:tcW w:w="15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(166,822)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(469,361)</w:t>
            </w:r>
          </w:p>
        </w:tc>
      </w:tr>
      <w:tr>
        <w:trPr>
          <w:trHeight w:val="223"/>
        </w:trPr>
        <w:tc>
          <w:tcPr>
            <w:tcW w:w="8700" w:type="dxa"/>
            <w:vAlign w:val="bottom"/>
          </w:tcPr>
          <w:p>
            <w:pPr>
              <w:ind w:left="40"/>
              <w:spacing w:after="0"/>
              <w:rPr>
                <w:sz w:val="20"/>
                <w:szCs w:val="20"/>
                <w:color w:val="auto"/>
              </w:rPr>
            </w:pPr>
            <w:r>
              <w:rPr>
                <w:rFonts w:ascii="Arial" w:cs="Arial" w:eastAsia="Arial" w:hAnsi="Arial"/>
                <w:sz w:val="18"/>
                <w:szCs w:val="18"/>
                <w:color w:val="auto"/>
              </w:rPr>
              <w:t>Total incurred</w:t>
            </w:r>
          </w:p>
        </w:tc>
        <w:tc>
          <w:tcPr>
            <w:tcW w:w="15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20,405,545</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16,884,224</w:t>
            </w:r>
          </w:p>
        </w:tc>
      </w:tr>
      <w:tr>
        <w:trPr>
          <w:trHeight w:val="216"/>
        </w:trPr>
        <w:tc>
          <w:tcPr>
            <w:tcW w:w="87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Paid related to:</w:t>
            </w: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year</w:t>
            </w:r>
          </w:p>
        </w:tc>
        <w:tc>
          <w:tcPr>
            <w:tcW w:w="15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11,855,911</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9,083,229</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color w:val="auto"/>
              </w:rPr>
              <w:t>Prior years</w:t>
            </w:r>
          </w:p>
        </w:tc>
        <w:tc>
          <w:tcPr>
            <w:tcW w:w="15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7,359,828</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6,843,425</w:t>
            </w:r>
          </w:p>
        </w:tc>
      </w:tr>
      <w:tr>
        <w:trPr>
          <w:trHeight w:val="223"/>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paid</w:t>
            </w:r>
          </w:p>
        </w:tc>
        <w:tc>
          <w:tcPr>
            <w:tcW w:w="15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19,215,739</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15,926,654</w:t>
            </w:r>
          </w:p>
        </w:tc>
      </w:tr>
    </w:tbl>
    <w:p>
      <w:pPr>
        <w:spacing w:after="0" w:line="200" w:lineRule="exact"/>
        <w:rPr>
          <w:sz w:val="20"/>
          <w:szCs w:val="20"/>
          <w:color w:val="auto"/>
        </w:rPr>
      </w:pPr>
    </w:p>
    <w:p>
      <w:pPr>
        <w:sectPr>
          <w:pgSz w:w="11900" w:h="16838" w:orient="portrait"/>
          <w:cols w:equalWidth="0" w:num="1">
            <w:col w:w="11420"/>
          </w:cols>
          <w:pgMar w:left="240" w:top="509" w:right="239" w:bottom="1440" w:gutter="0" w:footer="0" w:header="0"/>
          <w:type w:val="continuous"/>
        </w:sectPr>
      </w:pPr>
    </w:p>
    <w:p>
      <w:pPr>
        <w:spacing w:after="0" w:line="8"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balance at end of period</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5"/>
          <w:szCs w:val="15"/>
          <w:color w:val="auto"/>
        </w:rPr>
        <w:t>Add reinsurance recoverables</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jc w:val="both"/>
        <w:ind w:left="300"/>
        <w:spacing w:after="0"/>
        <w:tabs>
          <w:tab w:leader="none" w:pos="1660" w:val="left"/>
        </w:tabs>
        <w:rPr>
          <w:sz w:val="20"/>
          <w:szCs w:val="20"/>
          <w:color w:val="auto"/>
        </w:rPr>
      </w:pPr>
      <w:r>
        <w:rPr>
          <w:rFonts w:ascii="Arial" w:cs="Arial" w:eastAsia="Arial" w:hAnsi="Arial"/>
          <w:sz w:val="18"/>
          <w:szCs w:val="18"/>
          <w:color w:val="auto"/>
        </w:rPr>
        <w:t>24,359,942</w:t>
      </w:r>
      <w:r>
        <w:rPr>
          <w:sz w:val="20"/>
          <w:szCs w:val="20"/>
          <w:color w:val="auto"/>
        </w:rPr>
        <w:tab/>
      </w:r>
      <w:r>
        <w:rPr>
          <w:rFonts w:ascii="Arial" w:cs="Arial" w:eastAsia="Arial" w:hAnsi="Arial"/>
          <w:sz w:val="18"/>
          <w:szCs w:val="18"/>
          <w:color w:val="auto"/>
        </w:rPr>
        <w:t>22,620,727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-125730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40"/>
        <w:spacing w:after="0"/>
        <w:tabs>
          <w:tab w:leader="none" w:pos="1660" w:val="left"/>
        </w:tabs>
        <w:rPr>
          <w:sz w:val="20"/>
          <w:szCs w:val="20"/>
          <w:color w:val="auto"/>
        </w:rPr>
      </w:pPr>
      <w:r>
        <w:rPr>
          <w:rFonts w:ascii="Arial" w:cs="Arial" w:eastAsia="Arial" w:hAnsi="Arial"/>
          <w:sz w:val="15"/>
          <w:szCs w:val="15"/>
          <w:color w:val="auto"/>
        </w:rPr>
        <w:t>15,442,381</w:t>
      </w:r>
      <w:r>
        <w:rPr>
          <w:sz w:val="20"/>
          <w:szCs w:val="20"/>
          <w:color w:val="auto"/>
        </w:rPr>
        <w:tab/>
      </w:r>
      <w:r>
        <w:rPr>
          <w:rFonts w:ascii="Arial" w:cs="Arial" w:eastAsia="Arial" w:hAnsi="Arial"/>
          <w:sz w:val="15"/>
          <w:szCs w:val="15"/>
          <w:color w:val="auto"/>
        </w:rPr>
        <w:t>16,278,765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29210</wp:posOffset>
            </wp:positionV>
            <wp:extent cx="173228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44" w:lineRule="exact"/>
        <w:rPr>
          <w:sz w:val="20"/>
          <w:szCs w:val="20"/>
          <w:color w:val="auto"/>
        </w:rPr>
      </w:pPr>
    </w:p>
    <w:p>
      <w:pPr>
        <w:spacing w:after="0"/>
        <w:tabs>
          <w:tab w:leader="none" w:pos="280" w:val="left"/>
          <w:tab w:leader="none" w:pos="1360" w:val="left"/>
          <w:tab w:leader="none" w:pos="1660" w:val="left"/>
        </w:tabs>
        <w:rPr>
          <w:sz w:val="20"/>
          <w:szCs w:val="20"/>
          <w:color w:val="auto"/>
        </w:rPr>
      </w:pPr>
      <w:r>
        <w:rPr>
          <w:rFonts w:ascii="Arial" w:cs="Arial" w:eastAsia="Arial" w:hAnsi="Arial"/>
          <w:sz w:val="18"/>
          <w:szCs w:val="18"/>
          <w:color w:val="auto"/>
        </w:rPr>
        <w:t>$</w:t>
        <w:tab/>
        <w:t>39,802,323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38,899,492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-125730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00" w:space="720"/>
            <w:col w:w="2600"/>
          </w:cols>
          <w:pgMar w:left="240" w:top="509" w:right="239" w:bottom="1440" w:gutter="0" w:footer="0" w:header="0"/>
          <w:type w:val="continuous"/>
        </w:sectPr>
      </w:pPr>
    </w:p>
    <w:p>
      <w:pPr>
        <w:spacing w:after="0" w:line="10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Incurred losses and LAE are net of reinsurance recoveries under reinsurance contracts of $8,676,621 and $11,026,027 for the nine months ended September 30, 2016 and 2015, respectively.</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 year incurred loss and LAE development is based upon estimates by line of business and accident year. Prior year loss and LAE development incurred during the nine months ended September 30, 2016 and 2015 was $(166,822) favorable and $(469,361) favorable, respectively. The Company’s management continually monitors claims activity to assess the appropriateness of carried case and incurred but not reported (“IBNR”) reserves, giving consideration to Company and industry trends.</w:t>
      </w:r>
    </w:p>
    <w:p>
      <w:pPr>
        <w:spacing w:after="0" w:line="224" w:lineRule="exact"/>
        <w:rPr>
          <w:sz w:val="20"/>
          <w:szCs w:val="20"/>
          <w:color w:val="auto"/>
        </w:rPr>
      </w:pPr>
    </w:p>
    <w:p>
      <w:pPr>
        <w:ind w:right="280"/>
        <w:spacing w:after="0" w:line="318" w:lineRule="auto"/>
        <w:rPr>
          <w:sz w:val="20"/>
          <w:szCs w:val="20"/>
          <w:color w:val="auto"/>
        </w:rPr>
      </w:pPr>
      <w:r>
        <w:rPr>
          <w:rFonts w:ascii="Arial" w:cs="Arial" w:eastAsia="Arial" w:hAnsi="Arial"/>
          <w:sz w:val="15"/>
          <w:szCs w:val="15"/>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year’s results. Reserves are closely monitored and are recomputed periodically using the most recent information on reported claims and a variety of statistical techniques. On at least a monthly basis, the Company reviews by line of business existing reserves, new claims, changes to existing case reserves and paid losses with respect to the current and prior years. Several methods are used, varying by product line and accident year, in order to determine the required IBNR reserves. These methods include the following:</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5"/>
          <w:szCs w:val="15"/>
          <w:i w:val="1"/>
          <w:iCs w:val="1"/>
          <w:color w:val="auto"/>
        </w:rPr>
        <w:t xml:space="preserve">Paid Loss Development </w:t>
      </w:r>
      <w:r>
        <w:rPr>
          <w:rFonts w:ascii="Arial" w:cs="Arial" w:eastAsia="Arial" w:hAnsi="Arial"/>
          <w:sz w:val="15"/>
          <w:szCs w:val="15"/>
          <w:color w:val="auto"/>
        </w:rPr>
        <w:t>– historical patterns of paid loss development are used to project future paid loss emergence in order to estimate required reserves.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type w:val="continuous"/>
        </w:sectPr>
      </w:pPr>
    </w:p>
    <w:bookmarkStart w:id="21" w:name="page22"/>
    <w:bookmarkEnd w:id="21"/>
    <w:p>
      <w:pPr>
        <w:ind w:left="500" w:right="100"/>
        <w:spacing w:after="0" w:line="268" w:lineRule="auto"/>
        <w:rPr>
          <w:sz w:val="20"/>
          <w:szCs w:val="20"/>
          <w:color w:val="auto"/>
        </w:rPr>
      </w:pPr>
      <w:r>
        <w:rPr>
          <w:rFonts w:ascii="Arial" w:cs="Arial" w:eastAsia="Arial" w:hAnsi="Arial"/>
          <w:sz w:val="18"/>
          <w:szCs w:val="18"/>
          <w:i w:val="1"/>
          <w:iCs w:val="1"/>
          <w:color w:val="auto"/>
        </w:rPr>
        <w:t xml:space="preserve">Incurred Loss Development </w:t>
      </w:r>
      <w:r>
        <w:rPr>
          <w:rFonts w:ascii="Arial" w:cs="Arial" w:eastAsia="Arial" w:hAnsi="Arial"/>
          <w:sz w:val="18"/>
          <w:szCs w:val="18"/>
          <w:color w:val="auto"/>
        </w:rPr>
        <w:t>– historical patterns of incurred loss development, reflecting both paid losses and changes in case reserves, are used to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incurred loss emergence in order to estimate required reserves.</w:t>
      </w:r>
    </w:p>
    <w:p>
      <w:pPr>
        <w:spacing w:after="0" w:line="213" w:lineRule="exact"/>
        <w:rPr>
          <w:sz w:val="20"/>
          <w:szCs w:val="20"/>
          <w:color w:val="auto"/>
        </w:rPr>
      </w:pPr>
    </w:p>
    <w:p>
      <w:pPr>
        <w:ind w:left="500" w:right="60"/>
        <w:spacing w:after="0" w:line="298"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94" w:lineRule="exact"/>
        <w:rPr>
          <w:sz w:val="20"/>
          <w:szCs w:val="20"/>
          <w:color w:val="auto"/>
        </w:rPr>
      </w:pPr>
    </w:p>
    <w:p>
      <w:pPr>
        <w:ind w:left="500" w:right="220"/>
        <w:spacing w:after="0" w:line="298" w:lineRule="auto"/>
        <w:rPr>
          <w:sz w:val="20"/>
          <w:szCs w:val="20"/>
          <w:color w:val="auto"/>
        </w:rPr>
      </w:pPr>
      <w:r>
        <w:rPr>
          <w:rFonts w:ascii="Arial" w:cs="Arial" w:eastAsia="Arial" w:hAnsi="Arial"/>
          <w:sz w:val="16"/>
          <w:szCs w:val="16"/>
          <w:i w:val="1"/>
          <w:iCs w:val="1"/>
          <w:color w:val="auto"/>
        </w:rPr>
        <w:t xml:space="preserve">Incurred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9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Management’s best estimate of required reserves is generally based on an average of the methods above, with appropriate weighting of the various methods based on the line of business and accident year being projected. In some cases, additional methods or historical data from industry sources are employed to supplement the projections derived from the methods listed above.</w:t>
      </w:r>
    </w:p>
    <w:p>
      <w:pPr>
        <w:spacing w:after="0" w:line="19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Two key assumptions that materially affect the estimate of loss reserves are the loss ratio estimate for the current accident year used in the BF methods described above, and the loss development factor selections used in the loss development methods described above. The loss ratio estimates used in the BF methods are selected after reviewing historical accident year loss ratios adjusted for rate changes, trend, and mix of business.</w:t>
      </w:r>
    </w:p>
    <w:p>
      <w:pPr>
        <w:spacing w:after="0" w:line="18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is not aware of any claims trends that have emerged or that would cause future adverse development that have not already been considered in existing case reserves and in its current loss development factors.</w:t>
      </w:r>
    </w:p>
    <w:p>
      <w:pPr>
        <w:spacing w:after="0" w:line="213"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September 30, 2013 and prior is limited although there remains the possibility of adverse development on reported claims (‘case development’ IBNR).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 Auto Line of Business</w:t>
      </w:r>
    </w:p>
    <w:p>
      <w:pPr>
        <w:spacing w:after="0" w:line="25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Effective October 1, 2014 the Company decided that it would no longer accept applications for new commercial auto policies. The action was taken following a series of underwriting and pricing measures which were intended to improve the profitability of this line of business. The actions taken did not yield the hoped for results. In February 2015, the Company made the decision that it would no longer offer renewals on its existing commercial auto policies beginning with those that expired on or after May 1, 2015. The Company had -0- and 238 commercial auto policies in force as of September 30, 2016 and 2015, respectively.</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Reinsurance</w:t>
      </w:r>
    </w:p>
    <w:p>
      <w:pPr>
        <w:spacing w:after="0" w:line="252"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The Company’s quota share reinsurance treaties are on a July 1 through June 30 fiscal year basis; therefore, for year to date fiscal periods after June 30, two separate treaties will be included in such periods.</w:t>
      </w:r>
    </w:p>
    <w:p>
      <w:pPr>
        <w:spacing w:after="0" w:line="254" w:lineRule="auto"/>
        <w:rPr>
          <w:sz w:val="20"/>
          <w:szCs w:val="20"/>
          <w:color w:val="auto"/>
        </w:rPr>
      </w:pPr>
      <w:r>
        <w:rPr>
          <w:rFonts w:ascii="Arial" w:cs="Arial" w:eastAsia="Arial" w:hAnsi="Arial"/>
          <w:sz w:val="18"/>
          <w:szCs w:val="18"/>
          <w:color w:val="auto"/>
        </w:rPr>
        <w:t>The Company’s quota share reinsurance treaties in effect for the nine months ended September 30, 2016 for its personal lines business, which primarily consists of homeowners’ policies, were covered under the July 1, 2015/June 30, 2016 treaty year (“2015/2016 Treaty”) and July 1, 2016/June 30, 2017 treaty year (“2016/2017 Treaty”). The Company’s quota share reinsurance treaties in effect for the nine months ended September 30, 2015 were covered under the July 1, 2014/June 30, 2015 treaty year (“2014/2015 Treaty”) and the 2015/2016 Treaty.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personal lines quota share treaty that covered the July 1, 2013/June 30, 2014 treaty year was a two year treaty that expired on June 30, 2015.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Effective July 1, 2014, the Company exercised its contractual option to reduce the ceding percentage in the personal lines quota share treaty from 75% to 55%.</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2014/2015 Treaty, 2015/2016 Treaty and 2016/2017 Treaty provide for the following material terms:</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536" w:right="3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393"/>
              <w:spacing w:after="0"/>
              <w:rPr>
                <w:sz w:val="20"/>
                <w:szCs w:val="20"/>
                <w:color w:val="auto"/>
              </w:rPr>
            </w:pPr>
            <w:r>
              <w:rPr>
                <w:rFonts w:ascii="Arial" w:cs="Arial" w:eastAsia="Arial" w:hAnsi="Arial"/>
                <w:sz w:val="15"/>
                <w:szCs w:val="15"/>
                <w:b w:val="1"/>
                <w:bCs w:val="1"/>
                <w:color w:val="auto"/>
              </w:rPr>
              <w:t>Treaty Year</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233"/>
              <w:spacing w:after="0" w:line="149" w:lineRule="exact"/>
              <w:rPr>
                <w:sz w:val="20"/>
                <w:szCs w:val="20"/>
                <w:color w:val="auto"/>
              </w:rPr>
            </w:pPr>
            <w:r>
              <w:rPr>
                <w:rFonts w:ascii="Arial" w:cs="Arial" w:eastAsia="Arial" w:hAnsi="Arial"/>
                <w:sz w:val="15"/>
                <w:szCs w:val="15"/>
                <w:b w:val="1"/>
                <w:bCs w:val="1"/>
                <w:color w:val="auto"/>
                <w:w w:val="90"/>
              </w:rPr>
              <w:t>July 1, 2016</w:t>
            </w:r>
          </w:p>
        </w:tc>
        <w:tc>
          <w:tcPr>
            <w:tcW w:w="160" w:type="dxa"/>
            <w:vAlign w:val="bottom"/>
          </w:tcPr>
          <w:p>
            <w:pPr>
              <w:spacing w:after="0"/>
              <w:rPr>
                <w:sz w:val="12"/>
                <w:szCs w:val="12"/>
                <w:color w:val="auto"/>
              </w:rPr>
            </w:pPr>
          </w:p>
        </w:tc>
        <w:tc>
          <w:tcPr>
            <w:tcW w:w="1200" w:type="dxa"/>
            <w:vAlign w:val="bottom"/>
          </w:tcPr>
          <w:p>
            <w:pPr>
              <w:jc w:val="center"/>
              <w:ind w:right="193"/>
              <w:spacing w:after="0" w:line="149" w:lineRule="exact"/>
              <w:rPr>
                <w:sz w:val="20"/>
                <w:szCs w:val="20"/>
                <w:color w:val="auto"/>
              </w:rPr>
            </w:pPr>
            <w:r>
              <w:rPr>
                <w:rFonts w:ascii="Arial" w:cs="Arial" w:eastAsia="Arial" w:hAnsi="Arial"/>
                <w:sz w:val="15"/>
                <w:szCs w:val="15"/>
                <w:b w:val="1"/>
                <w:bCs w:val="1"/>
                <w:color w:val="auto"/>
                <w:w w:val="90"/>
              </w:rPr>
              <w:t>July 1, 2015</w:t>
            </w:r>
          </w:p>
        </w:tc>
        <w:tc>
          <w:tcPr>
            <w:tcW w:w="180" w:type="dxa"/>
            <w:vAlign w:val="bottom"/>
          </w:tcPr>
          <w:p>
            <w:pPr>
              <w:spacing w:after="0"/>
              <w:rPr>
                <w:sz w:val="12"/>
                <w:szCs w:val="12"/>
                <w:color w:val="auto"/>
              </w:rPr>
            </w:pPr>
          </w:p>
        </w:tc>
        <w:tc>
          <w:tcPr>
            <w:tcW w:w="1120" w:type="dxa"/>
            <w:vAlign w:val="bottom"/>
          </w:tcPr>
          <w:p>
            <w:pPr>
              <w:jc w:val="center"/>
              <w:ind w:right="153"/>
              <w:spacing w:after="0" w:line="149" w:lineRule="exact"/>
              <w:rPr>
                <w:sz w:val="20"/>
                <w:szCs w:val="20"/>
                <w:color w:val="auto"/>
              </w:rPr>
            </w:pPr>
            <w:r>
              <w:rPr>
                <w:rFonts w:ascii="Arial" w:cs="Arial" w:eastAsia="Arial" w:hAnsi="Arial"/>
                <w:sz w:val="15"/>
                <w:szCs w:val="15"/>
                <w:b w:val="1"/>
                <w:bCs w:val="1"/>
                <w:color w:val="auto"/>
                <w:w w:val="90"/>
              </w:rPr>
              <w:t>July 1, 2014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233"/>
              <w:spacing w:after="0" w:line="162" w:lineRule="exact"/>
              <w:rPr>
                <w:sz w:val="20"/>
                <w:szCs w:val="20"/>
                <w:color w:val="auto"/>
              </w:rPr>
            </w:pPr>
            <w:r>
              <w:rPr>
                <w:rFonts w:ascii="Arial" w:cs="Arial" w:eastAsia="Arial" w:hAnsi="Arial"/>
                <w:sz w:val="15"/>
                <w:szCs w:val="15"/>
                <w:b w:val="1"/>
                <w:bCs w:val="1"/>
                <w:color w:val="auto"/>
                <w:w w:val="84"/>
              </w:rPr>
              <w:t>to</w:t>
            </w:r>
          </w:p>
        </w:tc>
        <w:tc>
          <w:tcPr>
            <w:tcW w:w="160" w:type="dxa"/>
            <w:vAlign w:val="bottom"/>
          </w:tcPr>
          <w:p>
            <w:pPr>
              <w:spacing w:after="0"/>
              <w:rPr>
                <w:sz w:val="14"/>
                <w:szCs w:val="14"/>
                <w:color w:val="auto"/>
              </w:rPr>
            </w:pPr>
          </w:p>
        </w:tc>
        <w:tc>
          <w:tcPr>
            <w:tcW w:w="1200" w:type="dxa"/>
            <w:vAlign w:val="bottom"/>
          </w:tcPr>
          <w:p>
            <w:pPr>
              <w:jc w:val="center"/>
              <w:ind w:right="193"/>
              <w:spacing w:after="0" w:line="162" w:lineRule="exact"/>
              <w:rPr>
                <w:sz w:val="20"/>
                <w:szCs w:val="20"/>
                <w:color w:val="auto"/>
              </w:rPr>
            </w:pPr>
            <w:r>
              <w:rPr>
                <w:rFonts w:ascii="Arial" w:cs="Arial" w:eastAsia="Arial" w:hAnsi="Arial"/>
                <w:sz w:val="15"/>
                <w:szCs w:val="15"/>
                <w:b w:val="1"/>
                <w:bCs w:val="1"/>
                <w:color w:val="auto"/>
                <w:w w:val="84"/>
              </w:rPr>
              <w:t>to</w:t>
            </w:r>
          </w:p>
        </w:tc>
        <w:tc>
          <w:tcPr>
            <w:tcW w:w="18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4"/>
              </w:rPr>
              <w:t>to</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320" w:type="dxa"/>
            <w:vAlign w:val="bottom"/>
            <w:gridSpan w:val="5"/>
          </w:tcPr>
          <w:p>
            <w:pPr>
              <w:ind w:left="20"/>
              <w:spacing w:after="0"/>
              <w:rPr>
                <w:sz w:val="20"/>
                <w:szCs w:val="20"/>
                <w:color w:val="auto"/>
              </w:rPr>
            </w:pPr>
            <w:r>
              <w:rPr>
                <w:rFonts w:ascii="Arial" w:cs="Arial" w:eastAsia="Arial" w:hAnsi="Arial"/>
                <w:sz w:val="15"/>
                <w:szCs w:val="15"/>
                <w:b w:val="1"/>
                <w:bCs w:val="1"/>
                <w:color w:val="auto"/>
              </w:rPr>
              <w:t>Line of Busines</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213"/>
              <w:spacing w:after="0"/>
              <w:rPr>
                <w:sz w:val="20"/>
                <w:szCs w:val="20"/>
                <w:color w:val="auto"/>
              </w:rPr>
            </w:pPr>
            <w:r>
              <w:rPr>
                <w:rFonts w:ascii="Arial" w:cs="Arial" w:eastAsia="Arial" w:hAnsi="Arial"/>
                <w:sz w:val="15"/>
                <w:szCs w:val="15"/>
                <w:b w:val="1"/>
                <w:bCs w:val="1"/>
                <w:color w:val="auto"/>
                <w:w w:val="88"/>
              </w:rPr>
              <w:t>June 30, 2017</w:t>
            </w:r>
          </w:p>
        </w:tc>
        <w:tc>
          <w:tcPr>
            <w:tcW w:w="160" w:type="dxa"/>
            <w:vAlign w:val="bottom"/>
          </w:tcPr>
          <w:p>
            <w:pPr>
              <w:spacing w:after="0"/>
              <w:rPr>
                <w:sz w:val="15"/>
                <w:szCs w:val="15"/>
                <w:color w:val="auto"/>
              </w:rPr>
            </w:pPr>
          </w:p>
        </w:tc>
        <w:tc>
          <w:tcPr>
            <w:tcW w:w="1200" w:type="dxa"/>
            <w:vAlign w:val="bottom"/>
          </w:tcPr>
          <w:p>
            <w:pPr>
              <w:jc w:val="center"/>
              <w:ind w:right="213"/>
              <w:spacing w:after="0"/>
              <w:rPr>
                <w:sz w:val="20"/>
                <w:szCs w:val="20"/>
                <w:color w:val="auto"/>
              </w:rPr>
            </w:pPr>
            <w:r>
              <w:rPr>
                <w:rFonts w:ascii="Arial" w:cs="Arial" w:eastAsia="Arial" w:hAnsi="Arial"/>
                <w:sz w:val="15"/>
                <w:szCs w:val="15"/>
                <w:b w:val="1"/>
                <w:bCs w:val="1"/>
                <w:color w:val="auto"/>
                <w:w w:val="88"/>
              </w:rPr>
              <w:t>June 30, 2016</w:t>
            </w:r>
          </w:p>
        </w:tc>
        <w:tc>
          <w:tcPr>
            <w:tcW w:w="1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June 30,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5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3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Personal Lines:</w:t>
            </w:r>
          </w:p>
        </w:tc>
        <w:tc>
          <w:tcPr>
            <w:tcW w:w="1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5"/>
          </w:tcPr>
          <w:p>
            <w:pPr>
              <w:spacing w:after="0"/>
              <w:rPr>
                <w:sz w:val="20"/>
                <w:szCs w:val="20"/>
                <w:color w:val="auto"/>
              </w:rPr>
            </w:pPr>
            <w:r>
              <w:rPr>
                <w:rFonts w:ascii="Arial" w:cs="Arial" w:eastAsia="Arial" w:hAnsi="Arial"/>
                <w:sz w:val="18"/>
                <w:szCs w:val="18"/>
                <w:color w:val="auto"/>
              </w:rPr>
              <w:t>Homeowners, dwelling fire and canine legal liability</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Quota share treaty:</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360"/>
              <w:spacing w:after="0"/>
              <w:rPr>
                <w:sz w:val="20"/>
                <w:szCs w:val="20"/>
                <w:color w:val="auto"/>
              </w:rPr>
            </w:pPr>
            <w:r>
              <w:rPr>
                <w:rFonts w:ascii="Arial" w:cs="Arial" w:eastAsia="Arial" w:hAnsi="Arial"/>
                <w:sz w:val="18"/>
                <w:szCs w:val="18"/>
                <w:color w:val="auto"/>
              </w:rPr>
              <w:t>Percent ceded</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Risk retained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450,000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360"/>
              <w:spacing w:after="0"/>
              <w:rPr>
                <w:sz w:val="20"/>
                <w:szCs w:val="20"/>
                <w:color w:val="auto"/>
              </w:rPr>
            </w:pPr>
            <w:r>
              <w:rPr>
                <w:rFonts w:ascii="Arial" w:cs="Arial" w:eastAsia="Arial" w:hAnsi="Arial"/>
                <w:sz w:val="18"/>
                <w:szCs w:val="18"/>
                <w:color w:val="auto"/>
                <w:w w:val="91"/>
              </w:rPr>
              <w:t>Losses per occurrence subject to quota share reinsurance coverage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833,333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750,000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Excess of loss coverage above quota share coverage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3,666,667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3,750,000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173"/>
              <w:spacing w:after="0"/>
              <w:rPr>
                <w:sz w:val="20"/>
                <w:szCs w:val="20"/>
                <w:color w:val="auto"/>
              </w:rPr>
            </w:pPr>
            <w:r>
              <w:rPr>
                <w:rFonts w:ascii="Arial" w:cs="Arial" w:eastAsia="Arial" w:hAnsi="Arial"/>
                <w:sz w:val="18"/>
                <w:szCs w:val="18"/>
                <w:color w:val="auto"/>
                <w:w w:val="86"/>
              </w:rPr>
              <w:t>in excess of</w:t>
            </w:r>
          </w:p>
        </w:tc>
        <w:tc>
          <w:tcPr>
            <w:tcW w:w="160" w:type="dxa"/>
            <w:vAlign w:val="bottom"/>
          </w:tcPr>
          <w:p>
            <w:pPr>
              <w:spacing w:after="0"/>
              <w:rPr>
                <w:sz w:val="18"/>
                <w:szCs w:val="18"/>
                <w:color w:val="auto"/>
              </w:rPr>
            </w:pPr>
          </w:p>
        </w:tc>
        <w:tc>
          <w:tcPr>
            <w:tcW w:w="1200" w:type="dxa"/>
            <w:vAlign w:val="bottom"/>
          </w:tcPr>
          <w:p>
            <w:pPr>
              <w:jc w:val="right"/>
              <w:ind w:right="213"/>
              <w:spacing w:after="0"/>
              <w:rPr>
                <w:sz w:val="20"/>
                <w:szCs w:val="20"/>
                <w:color w:val="auto"/>
              </w:rPr>
            </w:pPr>
            <w:r>
              <w:rPr>
                <w:rFonts w:ascii="Arial" w:cs="Arial" w:eastAsia="Arial" w:hAnsi="Arial"/>
                <w:sz w:val="18"/>
                <w:szCs w:val="18"/>
                <w:color w:val="auto"/>
                <w:w w:val="92"/>
              </w:rPr>
              <w:t>in excess of</w:t>
            </w:r>
          </w:p>
        </w:tc>
        <w:tc>
          <w:tcPr>
            <w:tcW w:w="180" w:type="dxa"/>
            <w:vAlign w:val="bottom"/>
          </w:tcPr>
          <w:p>
            <w:pPr>
              <w:spacing w:after="0"/>
              <w:rPr>
                <w:sz w:val="18"/>
                <w:szCs w:val="18"/>
                <w:color w:val="auto"/>
              </w:rPr>
            </w:pPr>
          </w:p>
        </w:tc>
        <w:tc>
          <w:tcPr>
            <w:tcW w:w="1120" w:type="dxa"/>
            <w:vAlign w:val="bottom"/>
          </w:tcPr>
          <w:p>
            <w:pPr>
              <w:jc w:val="center"/>
              <w:ind w:right="113"/>
              <w:spacing w:after="0"/>
              <w:rPr>
                <w:sz w:val="20"/>
                <w:szCs w:val="20"/>
                <w:color w:val="auto"/>
              </w:rPr>
            </w:pPr>
            <w:r>
              <w:rPr>
                <w:rFonts w:ascii="Arial" w:cs="Arial" w:eastAsia="Arial" w:hAnsi="Arial"/>
                <w:sz w:val="18"/>
                <w:szCs w:val="18"/>
                <w:color w:val="auto"/>
                <w:w w:val="88"/>
              </w:rPr>
              <w:t>in excess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833,333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750,000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200"/>
              <w:spacing w:after="0"/>
              <w:rPr>
                <w:sz w:val="20"/>
                <w:szCs w:val="20"/>
                <w:color w:val="auto"/>
              </w:rPr>
            </w:pPr>
            <w:r>
              <w:rPr>
                <w:rFonts w:ascii="Arial" w:cs="Arial" w:eastAsia="Arial" w:hAnsi="Arial"/>
                <w:sz w:val="18"/>
                <w:szCs w:val="18"/>
                <w:color w:val="auto"/>
              </w:rPr>
              <w:t>Total reinsurance coverage per occurrence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4,050,000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3,640,000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Losses per occurrence subject to reinsurance coverage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4,500,000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4,500,000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200"/>
              <w:spacing w:after="0"/>
              <w:rPr>
                <w:sz w:val="20"/>
                <w:szCs w:val="20"/>
                <w:color w:val="auto"/>
              </w:rPr>
            </w:pPr>
            <w:r>
              <w:rPr>
                <w:rFonts w:ascii="Arial" w:cs="Arial" w:eastAsia="Arial" w:hAnsi="Arial"/>
                <w:sz w:val="18"/>
                <w:szCs w:val="18"/>
                <w:color w:val="auto"/>
              </w:rPr>
              <w:t>Expiration date</w:t>
            </w:r>
          </w:p>
        </w:tc>
        <w:tc>
          <w:tcPr>
            <w:tcW w:w="198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5"/>
              </w:rPr>
              <w:t>June 30, 2017</w:t>
            </w:r>
          </w:p>
        </w:tc>
        <w:tc>
          <w:tcPr>
            <w:tcW w:w="1360" w:type="dxa"/>
            <w:vAlign w:val="bottom"/>
            <w:gridSpan w:val="2"/>
          </w:tcPr>
          <w:p>
            <w:pPr>
              <w:jc w:val="center"/>
              <w:ind w:right="53"/>
              <w:spacing w:after="0"/>
              <w:rPr>
                <w:sz w:val="20"/>
                <w:szCs w:val="20"/>
                <w:color w:val="auto"/>
              </w:rPr>
            </w:pPr>
            <w:r>
              <w:rPr>
                <w:rFonts w:ascii="Arial" w:cs="Arial" w:eastAsia="Arial" w:hAnsi="Arial"/>
                <w:sz w:val="18"/>
                <w:szCs w:val="18"/>
                <w:color w:val="auto"/>
                <w:w w:val="85"/>
              </w:rPr>
              <w:t>June 30, 2016</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5"/>
              </w:rPr>
              <w:t>June 30, 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40"/>
              <w:spacing w:after="0"/>
              <w:rPr>
                <w:sz w:val="20"/>
                <w:szCs w:val="20"/>
                <w:color w:val="auto"/>
              </w:rPr>
            </w:pPr>
            <w:r>
              <w:rPr>
                <w:rFonts w:ascii="Arial" w:cs="Arial" w:eastAsia="Arial" w:hAnsi="Arial"/>
                <w:sz w:val="18"/>
                <w:szCs w:val="18"/>
                <w:color w:val="auto"/>
              </w:rPr>
              <w:t>Personal Umbrella</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Quota share treaty:</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360"/>
              <w:spacing w:after="0"/>
              <w:rPr>
                <w:sz w:val="20"/>
                <w:szCs w:val="20"/>
                <w:color w:val="auto"/>
              </w:rPr>
            </w:pPr>
            <w:r>
              <w:rPr>
                <w:rFonts w:ascii="Arial" w:cs="Arial" w:eastAsia="Arial" w:hAnsi="Arial"/>
                <w:sz w:val="18"/>
                <w:szCs w:val="18"/>
                <w:color w:val="auto"/>
              </w:rPr>
              <w:t>Percent ceded - first $1,000,000 of coverage</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Percent ceded - excess of $1,000,000 of coverage</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360"/>
              <w:spacing w:after="0"/>
              <w:rPr>
                <w:sz w:val="20"/>
                <w:szCs w:val="20"/>
                <w:color w:val="auto"/>
              </w:rPr>
            </w:pPr>
            <w:r>
              <w:rPr>
                <w:rFonts w:ascii="Arial" w:cs="Arial" w:eastAsia="Arial" w:hAnsi="Arial"/>
                <w:sz w:val="18"/>
                <w:szCs w:val="18"/>
                <w:color w:val="auto"/>
              </w:rPr>
              <w:t>Risk retained</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Total reinsurance coverage per occurrence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4,900,000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2,900,000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2,900,000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360"/>
              <w:spacing w:after="0"/>
              <w:rPr>
                <w:sz w:val="20"/>
                <w:szCs w:val="20"/>
                <w:color w:val="auto"/>
              </w:rPr>
            </w:pPr>
            <w:r>
              <w:rPr>
                <w:rFonts w:ascii="Arial" w:cs="Arial" w:eastAsia="Arial" w:hAnsi="Arial"/>
                <w:sz w:val="18"/>
                <w:szCs w:val="18"/>
                <w:color w:val="auto"/>
                <w:w w:val="91"/>
              </w:rPr>
              <w:t>Losses per occurrence subject to quota share reinsurance coverage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3,000,000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Expiration date</w:t>
            </w:r>
          </w:p>
        </w:tc>
        <w:tc>
          <w:tcPr>
            <w:tcW w:w="19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June 30, 2017</w:t>
            </w:r>
          </w:p>
        </w:tc>
        <w:tc>
          <w:tcPr>
            <w:tcW w:w="1360" w:type="dxa"/>
            <w:vAlign w:val="bottom"/>
            <w:gridSpan w:val="2"/>
            <w:shd w:val="clear" w:color="auto" w:fill="CCEEFF"/>
          </w:tcPr>
          <w:p>
            <w:pPr>
              <w:jc w:val="center"/>
              <w:ind w:right="53"/>
              <w:spacing w:after="0"/>
              <w:rPr>
                <w:sz w:val="20"/>
                <w:szCs w:val="20"/>
                <w:color w:val="auto"/>
              </w:rPr>
            </w:pPr>
            <w:r>
              <w:rPr>
                <w:rFonts w:ascii="Arial" w:cs="Arial" w:eastAsia="Arial" w:hAnsi="Arial"/>
                <w:sz w:val="18"/>
                <w:szCs w:val="18"/>
                <w:color w:val="auto"/>
                <w:w w:val="85"/>
              </w:rPr>
              <w:t>June 30, 2016</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June 30, 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3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Commercial Lines:</w:t>
            </w:r>
          </w:p>
        </w:tc>
        <w:tc>
          <w:tcPr>
            <w:tcW w:w="1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40"/>
              <w:spacing w:after="0"/>
              <w:rPr>
                <w:sz w:val="20"/>
                <w:szCs w:val="20"/>
                <w:color w:val="auto"/>
              </w:rPr>
            </w:pPr>
            <w:r>
              <w:rPr>
                <w:rFonts w:ascii="Arial" w:cs="Arial" w:eastAsia="Arial" w:hAnsi="Arial"/>
                <w:sz w:val="18"/>
                <w:szCs w:val="18"/>
                <w:color w:val="auto"/>
              </w:rPr>
              <w:t>General liability commercial policies, except for commercial auto</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Quota share treaty:</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360"/>
              <w:spacing w:after="0"/>
              <w:rPr>
                <w:sz w:val="20"/>
                <w:szCs w:val="20"/>
                <w:color w:val="auto"/>
              </w:rPr>
            </w:pPr>
            <w:r>
              <w:rPr>
                <w:rFonts w:ascii="Arial" w:cs="Arial" w:eastAsia="Arial" w:hAnsi="Arial"/>
                <w:sz w:val="18"/>
                <w:szCs w:val="18"/>
                <w:color w:val="auto"/>
              </w:rPr>
              <w:t>Percent ceded (terminated effective July 1, 2014)</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213"/>
              <w:spacing w:after="0"/>
              <w:rPr>
                <w:sz w:val="20"/>
                <w:szCs w:val="20"/>
                <w:color w:val="auto"/>
              </w:rPr>
            </w:pPr>
            <w:r>
              <w:rPr>
                <w:rFonts w:ascii="Arial" w:cs="Arial" w:eastAsia="Arial" w:hAnsi="Arial"/>
                <w:sz w:val="18"/>
                <w:szCs w:val="18"/>
                <w:color w:val="auto"/>
                <w:w w:val="88"/>
              </w:rPr>
              <w:t>None</w:t>
            </w:r>
          </w:p>
        </w:tc>
        <w:tc>
          <w:tcPr>
            <w:tcW w:w="160" w:type="dxa"/>
            <w:vAlign w:val="bottom"/>
          </w:tcPr>
          <w:p>
            <w:pPr>
              <w:spacing w:after="0"/>
              <w:rPr>
                <w:sz w:val="18"/>
                <w:szCs w:val="18"/>
                <w:color w:val="auto"/>
              </w:rPr>
            </w:pPr>
          </w:p>
        </w:tc>
        <w:tc>
          <w:tcPr>
            <w:tcW w:w="1200" w:type="dxa"/>
            <w:vAlign w:val="bottom"/>
          </w:tcPr>
          <w:p>
            <w:pPr>
              <w:jc w:val="center"/>
              <w:ind w:right="213"/>
              <w:spacing w:after="0"/>
              <w:rPr>
                <w:sz w:val="20"/>
                <w:szCs w:val="20"/>
                <w:color w:val="auto"/>
              </w:rPr>
            </w:pPr>
            <w:r>
              <w:rPr>
                <w:rFonts w:ascii="Arial" w:cs="Arial" w:eastAsia="Arial" w:hAnsi="Arial"/>
                <w:sz w:val="18"/>
                <w:szCs w:val="18"/>
                <w:color w:val="auto"/>
                <w:w w:val="88"/>
              </w:rPr>
              <w:t>None</w:t>
            </w:r>
          </w:p>
        </w:tc>
        <w:tc>
          <w:tcPr>
            <w:tcW w:w="180" w:type="dxa"/>
            <w:vAlign w:val="bottom"/>
          </w:tcPr>
          <w:p>
            <w:pPr>
              <w:spacing w:after="0"/>
              <w:rPr>
                <w:sz w:val="18"/>
                <w:szCs w:val="18"/>
                <w:color w:val="auto"/>
              </w:rPr>
            </w:pPr>
          </w:p>
        </w:tc>
        <w:tc>
          <w:tcPr>
            <w:tcW w:w="1120" w:type="dxa"/>
            <w:vAlign w:val="bottom"/>
          </w:tcPr>
          <w:p>
            <w:pPr>
              <w:jc w:val="center"/>
              <w:ind w:right="173"/>
              <w:spacing w:after="0"/>
              <w:rPr>
                <w:sz w:val="20"/>
                <w:szCs w:val="20"/>
                <w:color w:val="auto"/>
              </w:rPr>
            </w:pPr>
            <w:r>
              <w:rPr>
                <w:rFonts w:ascii="Arial" w:cs="Arial" w:eastAsia="Arial" w:hAnsi="Arial"/>
                <w:sz w:val="18"/>
                <w:szCs w:val="18"/>
                <w:color w:val="auto"/>
                <w:w w:val="88"/>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Risk retained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425,000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360"/>
              <w:spacing w:after="0"/>
              <w:rPr>
                <w:sz w:val="20"/>
                <w:szCs w:val="20"/>
                <w:color w:val="auto"/>
              </w:rPr>
            </w:pPr>
            <w:r>
              <w:rPr>
                <w:rFonts w:ascii="Arial" w:cs="Arial" w:eastAsia="Arial" w:hAnsi="Arial"/>
                <w:sz w:val="18"/>
                <w:szCs w:val="18"/>
                <w:color w:val="auto"/>
                <w:w w:val="91"/>
              </w:rPr>
              <w:t>Losses per occurrence subject to quota share reinsurance coverage</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213"/>
              <w:spacing w:after="0"/>
              <w:rPr>
                <w:sz w:val="20"/>
                <w:szCs w:val="20"/>
                <w:color w:val="auto"/>
              </w:rPr>
            </w:pPr>
            <w:r>
              <w:rPr>
                <w:rFonts w:ascii="Arial" w:cs="Arial" w:eastAsia="Arial" w:hAnsi="Arial"/>
                <w:sz w:val="18"/>
                <w:szCs w:val="18"/>
                <w:color w:val="auto"/>
                <w:w w:val="88"/>
              </w:rPr>
              <w:t>None</w:t>
            </w:r>
          </w:p>
        </w:tc>
        <w:tc>
          <w:tcPr>
            <w:tcW w:w="160" w:type="dxa"/>
            <w:vAlign w:val="bottom"/>
          </w:tcPr>
          <w:p>
            <w:pPr>
              <w:spacing w:after="0"/>
              <w:rPr>
                <w:sz w:val="18"/>
                <w:szCs w:val="18"/>
                <w:color w:val="auto"/>
              </w:rPr>
            </w:pPr>
          </w:p>
        </w:tc>
        <w:tc>
          <w:tcPr>
            <w:tcW w:w="1200" w:type="dxa"/>
            <w:vAlign w:val="bottom"/>
          </w:tcPr>
          <w:p>
            <w:pPr>
              <w:jc w:val="center"/>
              <w:ind w:right="213"/>
              <w:spacing w:after="0"/>
              <w:rPr>
                <w:sz w:val="20"/>
                <w:szCs w:val="20"/>
                <w:color w:val="auto"/>
              </w:rPr>
            </w:pPr>
            <w:r>
              <w:rPr>
                <w:rFonts w:ascii="Arial" w:cs="Arial" w:eastAsia="Arial" w:hAnsi="Arial"/>
                <w:sz w:val="18"/>
                <w:szCs w:val="18"/>
                <w:color w:val="auto"/>
                <w:w w:val="88"/>
              </w:rPr>
              <w:t>None</w:t>
            </w:r>
          </w:p>
        </w:tc>
        <w:tc>
          <w:tcPr>
            <w:tcW w:w="180" w:type="dxa"/>
            <w:vAlign w:val="bottom"/>
          </w:tcPr>
          <w:p>
            <w:pPr>
              <w:spacing w:after="0"/>
              <w:rPr>
                <w:sz w:val="18"/>
                <w:szCs w:val="18"/>
                <w:color w:val="auto"/>
              </w:rPr>
            </w:pPr>
          </w:p>
        </w:tc>
        <w:tc>
          <w:tcPr>
            <w:tcW w:w="1120" w:type="dxa"/>
            <w:vAlign w:val="bottom"/>
          </w:tcPr>
          <w:p>
            <w:pPr>
              <w:jc w:val="center"/>
              <w:ind w:right="173"/>
              <w:spacing w:after="0"/>
              <w:rPr>
                <w:sz w:val="20"/>
                <w:szCs w:val="20"/>
                <w:color w:val="auto"/>
              </w:rPr>
            </w:pPr>
            <w:r>
              <w:rPr>
                <w:rFonts w:ascii="Arial" w:cs="Arial" w:eastAsia="Arial" w:hAnsi="Arial"/>
                <w:sz w:val="18"/>
                <w:szCs w:val="18"/>
                <w:color w:val="auto"/>
                <w:w w:val="88"/>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Excess of loss coverage above quota share coverage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4,075,000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173"/>
              <w:spacing w:after="0"/>
              <w:rPr>
                <w:sz w:val="20"/>
                <w:szCs w:val="20"/>
                <w:color w:val="auto"/>
              </w:rPr>
            </w:pPr>
            <w:r>
              <w:rPr>
                <w:rFonts w:ascii="Arial" w:cs="Arial" w:eastAsia="Arial" w:hAnsi="Arial"/>
                <w:sz w:val="18"/>
                <w:szCs w:val="18"/>
                <w:color w:val="auto"/>
                <w:w w:val="86"/>
              </w:rPr>
              <w:t>in excess of</w:t>
            </w:r>
          </w:p>
        </w:tc>
        <w:tc>
          <w:tcPr>
            <w:tcW w:w="160" w:type="dxa"/>
            <w:vAlign w:val="bottom"/>
          </w:tcPr>
          <w:p>
            <w:pPr>
              <w:spacing w:after="0"/>
              <w:rPr>
                <w:sz w:val="18"/>
                <w:szCs w:val="18"/>
                <w:color w:val="auto"/>
              </w:rPr>
            </w:pPr>
          </w:p>
        </w:tc>
        <w:tc>
          <w:tcPr>
            <w:tcW w:w="1200" w:type="dxa"/>
            <w:vAlign w:val="bottom"/>
          </w:tcPr>
          <w:p>
            <w:pPr>
              <w:jc w:val="right"/>
              <w:ind w:right="213"/>
              <w:spacing w:after="0"/>
              <w:rPr>
                <w:sz w:val="20"/>
                <w:szCs w:val="20"/>
                <w:color w:val="auto"/>
              </w:rPr>
            </w:pPr>
            <w:r>
              <w:rPr>
                <w:rFonts w:ascii="Arial" w:cs="Arial" w:eastAsia="Arial" w:hAnsi="Arial"/>
                <w:sz w:val="18"/>
                <w:szCs w:val="18"/>
                <w:color w:val="auto"/>
                <w:w w:val="92"/>
              </w:rPr>
              <w:t>in excess of</w:t>
            </w:r>
          </w:p>
        </w:tc>
        <w:tc>
          <w:tcPr>
            <w:tcW w:w="180" w:type="dxa"/>
            <w:vAlign w:val="bottom"/>
          </w:tcPr>
          <w:p>
            <w:pPr>
              <w:spacing w:after="0"/>
              <w:rPr>
                <w:sz w:val="18"/>
                <w:szCs w:val="18"/>
                <w:color w:val="auto"/>
              </w:rPr>
            </w:pPr>
          </w:p>
        </w:tc>
        <w:tc>
          <w:tcPr>
            <w:tcW w:w="1120" w:type="dxa"/>
            <w:vAlign w:val="bottom"/>
          </w:tcPr>
          <w:p>
            <w:pPr>
              <w:jc w:val="center"/>
              <w:ind w:right="113"/>
              <w:spacing w:after="0"/>
              <w:rPr>
                <w:sz w:val="20"/>
                <w:szCs w:val="20"/>
                <w:color w:val="auto"/>
              </w:rPr>
            </w:pPr>
            <w:r>
              <w:rPr>
                <w:rFonts w:ascii="Arial" w:cs="Arial" w:eastAsia="Arial" w:hAnsi="Arial"/>
                <w:sz w:val="18"/>
                <w:szCs w:val="18"/>
                <w:color w:val="auto"/>
                <w:w w:val="88"/>
              </w:rPr>
              <w:t>in excess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425,000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200"/>
              <w:spacing w:after="0"/>
              <w:rPr>
                <w:sz w:val="20"/>
                <w:szCs w:val="20"/>
                <w:color w:val="auto"/>
              </w:rPr>
            </w:pPr>
            <w:r>
              <w:rPr>
                <w:rFonts w:ascii="Arial" w:cs="Arial" w:eastAsia="Arial" w:hAnsi="Arial"/>
                <w:sz w:val="18"/>
                <w:szCs w:val="18"/>
                <w:color w:val="auto"/>
              </w:rPr>
              <w:t>Total reinsurance coverage per occurrence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4,075,000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Losses per occurrence subject to reinsurance coverage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4,500,000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4,500,000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Commercial Umbrella</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200"/>
              <w:spacing w:after="0"/>
              <w:rPr>
                <w:sz w:val="20"/>
                <w:szCs w:val="20"/>
                <w:color w:val="auto"/>
              </w:rPr>
            </w:pPr>
            <w:r>
              <w:rPr>
                <w:rFonts w:ascii="Arial" w:cs="Arial" w:eastAsia="Arial" w:hAnsi="Arial"/>
                <w:sz w:val="18"/>
                <w:szCs w:val="18"/>
                <w:color w:val="auto"/>
              </w:rPr>
              <w:t>Quota share treaty:</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Percent ceded - first $1,000,000 of coverage</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360"/>
              <w:spacing w:after="0"/>
              <w:rPr>
                <w:sz w:val="20"/>
                <w:szCs w:val="20"/>
                <w:color w:val="auto"/>
              </w:rPr>
            </w:pPr>
            <w:r>
              <w:rPr>
                <w:rFonts w:ascii="Arial" w:cs="Arial" w:eastAsia="Arial" w:hAnsi="Arial"/>
                <w:sz w:val="18"/>
                <w:szCs w:val="18"/>
                <w:color w:val="auto"/>
              </w:rPr>
              <w:t>Percent ceded - excess of $1,000,000 of coverage</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Risk retained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360"/>
              <w:spacing w:after="0"/>
              <w:rPr>
                <w:sz w:val="20"/>
                <w:szCs w:val="20"/>
                <w:color w:val="auto"/>
              </w:rPr>
            </w:pPr>
            <w:r>
              <w:rPr>
                <w:rFonts w:ascii="Arial" w:cs="Arial" w:eastAsia="Arial" w:hAnsi="Arial"/>
                <w:sz w:val="18"/>
                <w:szCs w:val="18"/>
                <w:color w:val="auto"/>
              </w:rPr>
              <w:t>Total reinsurance coverage per occurrence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4,900,000</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w w:val="91"/>
              </w:rPr>
              <w:t>Losses per occurrence subject to quota share reinsurance coverage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200"/>
              <w:spacing w:after="0"/>
              <w:rPr>
                <w:sz w:val="20"/>
                <w:szCs w:val="20"/>
                <w:color w:val="auto"/>
              </w:rPr>
            </w:pPr>
            <w:r>
              <w:rPr>
                <w:rFonts w:ascii="Arial" w:cs="Arial" w:eastAsia="Arial" w:hAnsi="Arial"/>
                <w:sz w:val="18"/>
                <w:szCs w:val="18"/>
                <w:color w:val="auto"/>
              </w:rPr>
              <w:t>Expiration date</w:t>
            </w:r>
          </w:p>
        </w:tc>
        <w:tc>
          <w:tcPr>
            <w:tcW w:w="198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5"/>
              </w:rPr>
              <w:t>June 30, 2017</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320" w:type="dxa"/>
            <w:vAlign w:val="bottom"/>
            <w:gridSpan w:val="5"/>
          </w:tcPr>
          <w:p>
            <w:pPr>
              <w:spacing w:after="0" w:line="176" w:lineRule="exact"/>
              <w:rPr>
                <w:sz w:val="20"/>
                <w:szCs w:val="20"/>
                <w:color w:val="auto"/>
              </w:rPr>
            </w:pPr>
            <w:r>
              <w:rPr>
                <w:rFonts w:ascii="Arial" w:cs="Arial" w:eastAsia="Arial" w:hAnsi="Arial"/>
                <w:sz w:val="18"/>
                <w:szCs w:val="18"/>
                <w:color w:val="auto"/>
              </w:rPr>
              <w:t>Commercial Auto:</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Risk retained</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200"/>
              <w:spacing w:after="0"/>
              <w:rPr>
                <w:sz w:val="20"/>
                <w:szCs w:val="20"/>
                <w:color w:val="auto"/>
              </w:rPr>
            </w:pPr>
            <w:r>
              <w:rPr>
                <w:rFonts w:ascii="Arial" w:cs="Arial" w:eastAsia="Arial" w:hAnsi="Arial"/>
                <w:sz w:val="18"/>
                <w:szCs w:val="18"/>
                <w:color w:val="auto"/>
              </w:rPr>
              <w:t>Excess of loss coverage in excess of risk retained</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1,700,000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2"/>
              </w:rPr>
              <w:t>in excess of</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13"/>
              <w:spacing w:after="0"/>
              <w:rPr>
                <w:sz w:val="20"/>
                <w:szCs w:val="20"/>
                <w:color w:val="auto"/>
              </w:rPr>
            </w:pPr>
            <w:r>
              <w:rPr>
                <w:rFonts w:ascii="Arial" w:cs="Arial" w:eastAsia="Arial" w:hAnsi="Arial"/>
                <w:sz w:val="18"/>
                <w:szCs w:val="18"/>
                <w:color w:val="auto"/>
                <w:w w:val="88"/>
              </w:rPr>
              <w:t>in excess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Catastrophe Reinsurance:</w:t>
            </w:r>
          </w:p>
        </w:tc>
        <w:tc>
          <w:tcPr>
            <w:tcW w:w="1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200"/>
              <w:spacing w:after="0"/>
              <w:rPr>
                <w:sz w:val="20"/>
                <w:szCs w:val="20"/>
                <w:color w:val="auto"/>
              </w:rPr>
            </w:pPr>
            <w:r>
              <w:rPr>
                <w:rFonts w:ascii="Arial" w:cs="Arial" w:eastAsia="Arial" w:hAnsi="Arial"/>
                <w:sz w:val="18"/>
                <w:szCs w:val="18"/>
                <w:color w:val="auto"/>
              </w:rPr>
              <w:t>Initial loss subject to personal lines quota share treaty</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4,000,000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Risk retained per catastrophe occurrence (1)</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2,400,000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200"/>
              <w:spacing w:after="0"/>
              <w:rPr>
                <w:sz w:val="20"/>
                <w:szCs w:val="20"/>
                <w:color w:val="auto"/>
              </w:rPr>
            </w:pPr>
            <w:r>
              <w:rPr>
                <w:rFonts w:ascii="Arial" w:cs="Arial" w:eastAsia="Arial" w:hAnsi="Arial"/>
                <w:sz w:val="18"/>
                <w:szCs w:val="18"/>
                <w:color w:val="auto"/>
                <w:w w:val="93"/>
              </w:rPr>
              <w:t>Catastrophe loss coverage in excess of quota share coverage (2) (3)</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w w:val="97"/>
              </w:rPr>
              <w:t>247,000,000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w w:val="97"/>
              </w:rPr>
              <w:t>176,000,000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w w:val="95"/>
              </w:rPr>
              <w:t>137,000,000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Severe winter weather aggregate (3)</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173"/>
              <w:spacing w:after="0"/>
              <w:rPr>
                <w:sz w:val="20"/>
                <w:szCs w:val="20"/>
                <w:color w:val="auto"/>
              </w:rPr>
            </w:pPr>
            <w:r>
              <w:rPr>
                <w:rFonts w:ascii="Arial" w:cs="Arial" w:eastAsia="Arial" w:hAnsi="Arial"/>
                <w:sz w:val="18"/>
                <w:szCs w:val="18"/>
                <w:color w:val="auto"/>
                <w:w w:val="95"/>
              </w:rPr>
              <w:t>No</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173"/>
              <w:spacing w:after="0"/>
              <w:rPr>
                <w:sz w:val="20"/>
                <w:szCs w:val="20"/>
                <w:color w:val="auto"/>
              </w:rPr>
            </w:pPr>
            <w:r>
              <w:rPr>
                <w:rFonts w:ascii="Arial" w:cs="Arial" w:eastAsia="Arial" w:hAnsi="Arial"/>
                <w:sz w:val="18"/>
                <w:szCs w:val="18"/>
                <w:color w:val="auto"/>
                <w:w w:val="83"/>
              </w:rPr>
              <w:t>Yes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33"/>
              <w:spacing w:after="0"/>
              <w:rPr>
                <w:sz w:val="20"/>
                <w:szCs w:val="20"/>
                <w:color w:val="auto"/>
              </w:rPr>
            </w:pPr>
            <w:r>
              <w:rPr>
                <w:rFonts w:ascii="Arial" w:cs="Arial" w:eastAsia="Arial" w:hAnsi="Arial"/>
                <w:sz w:val="18"/>
                <w:szCs w:val="18"/>
                <w:color w:val="auto"/>
                <w:w w:val="83"/>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5"/>
          </w:tcPr>
          <w:p>
            <w:pPr>
              <w:ind w:left="200"/>
              <w:spacing w:after="0"/>
              <w:rPr>
                <w:sz w:val="20"/>
                <w:szCs w:val="20"/>
                <w:color w:val="auto"/>
              </w:rPr>
            </w:pPr>
            <w:r>
              <w:rPr>
                <w:rFonts w:ascii="Arial" w:cs="Arial" w:eastAsia="Arial" w:hAnsi="Arial"/>
                <w:sz w:val="18"/>
                <w:szCs w:val="18"/>
                <w:color w:val="auto"/>
              </w:rPr>
              <w:t>Reinstatement premium protection (4)</w:t>
            </w: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center"/>
              <w:ind w:right="193"/>
              <w:spacing w:after="0"/>
              <w:rPr>
                <w:sz w:val="20"/>
                <w:szCs w:val="20"/>
                <w:color w:val="auto"/>
              </w:rPr>
            </w:pPr>
            <w:r>
              <w:rPr>
                <w:rFonts w:ascii="Arial" w:cs="Arial" w:eastAsia="Arial" w:hAnsi="Arial"/>
                <w:sz w:val="18"/>
                <w:szCs w:val="18"/>
                <w:color w:val="auto"/>
                <w:w w:val="77"/>
              </w:rPr>
              <w:t>Yes</w:t>
            </w:r>
          </w:p>
        </w:tc>
        <w:tc>
          <w:tcPr>
            <w:tcW w:w="160" w:type="dxa"/>
            <w:vAlign w:val="bottom"/>
          </w:tcPr>
          <w:p>
            <w:pPr>
              <w:spacing w:after="0"/>
              <w:rPr>
                <w:sz w:val="19"/>
                <w:szCs w:val="19"/>
                <w:color w:val="auto"/>
              </w:rPr>
            </w:pPr>
          </w:p>
        </w:tc>
        <w:tc>
          <w:tcPr>
            <w:tcW w:w="1200" w:type="dxa"/>
            <w:vAlign w:val="bottom"/>
          </w:tcPr>
          <w:p>
            <w:pPr>
              <w:jc w:val="center"/>
              <w:ind w:right="173"/>
              <w:spacing w:after="0"/>
              <w:rPr>
                <w:sz w:val="20"/>
                <w:szCs w:val="20"/>
                <w:color w:val="auto"/>
              </w:rPr>
            </w:pPr>
            <w:r>
              <w:rPr>
                <w:rFonts w:ascii="Arial" w:cs="Arial" w:eastAsia="Arial" w:hAnsi="Arial"/>
                <w:sz w:val="18"/>
                <w:szCs w:val="18"/>
                <w:color w:val="auto"/>
                <w:w w:val="83"/>
              </w:rPr>
              <w:t>Yes</w:t>
            </w:r>
          </w:p>
        </w:tc>
        <w:tc>
          <w:tcPr>
            <w:tcW w:w="180" w:type="dxa"/>
            <w:vAlign w:val="bottom"/>
          </w:tcPr>
          <w:p>
            <w:pPr>
              <w:spacing w:after="0"/>
              <w:rPr>
                <w:sz w:val="19"/>
                <w:szCs w:val="19"/>
                <w:color w:val="auto"/>
              </w:rPr>
            </w:pPr>
          </w:p>
        </w:tc>
        <w:tc>
          <w:tcPr>
            <w:tcW w:w="1120" w:type="dxa"/>
            <w:vAlign w:val="bottom"/>
          </w:tcPr>
          <w:p>
            <w:pPr>
              <w:jc w:val="center"/>
              <w:ind w:right="113"/>
              <w:spacing w:after="0"/>
              <w:rPr>
                <w:sz w:val="20"/>
                <w:szCs w:val="20"/>
                <w:color w:val="auto"/>
              </w:rPr>
            </w:pPr>
            <w:r>
              <w:rPr>
                <w:rFonts w:ascii="Arial" w:cs="Arial" w:eastAsia="Arial" w:hAnsi="Arial"/>
                <w:sz w:val="18"/>
                <w:szCs w:val="18"/>
                <w:color w:val="auto"/>
                <w:w w:val="86"/>
              </w:rPr>
              <w:t>No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7"/>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1432"/>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4" w:right="239" w:bottom="1440" w:gutter="0" w:footer="0" w:header="0"/>
        </w:sectPr>
      </w:pPr>
    </w:p>
    <w:bookmarkStart w:id="24" w:name="page25"/>
    <w:bookmarkEnd w:id="24"/>
    <w:p>
      <w:pPr>
        <w:ind w:left="340" w:hanging="227"/>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15" w:lineRule="exact"/>
        <w:rPr>
          <w:rFonts w:ascii="Arial" w:cs="Arial" w:eastAsia="Arial" w:hAnsi="Arial"/>
          <w:sz w:val="18"/>
          <w:szCs w:val="18"/>
          <w:color w:val="auto"/>
        </w:rPr>
      </w:pPr>
    </w:p>
    <w:p>
      <w:pPr>
        <w:ind w:left="340" w:right="20" w:hanging="227"/>
        <w:spacing w:after="0" w:line="28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spacing w:after="0" w:line="1" w:lineRule="exact"/>
        <w:rPr>
          <w:rFonts w:ascii="Arial" w:cs="Arial" w:eastAsia="Arial" w:hAnsi="Arial"/>
          <w:sz w:val="16"/>
          <w:szCs w:val="16"/>
          <w:color w:val="auto"/>
        </w:rPr>
      </w:pPr>
    </w:p>
    <w:p>
      <w:pPr>
        <w:ind w:left="340" w:hanging="227"/>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From July 1, 2014 through September 30, 2016, catastrophe treaty also covered losses caused by severe winter weather during any consecutive 28 day period.</w:t>
      </w:r>
    </w:p>
    <w:p>
      <w:pPr>
        <w:ind w:left="340" w:hanging="227"/>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July 1, 2015, reinstatement premium protection for $16,000,000 of catastrophe coverage in excess of $4,000,000. Effective July 1, 2016, reinstatement premium protection for $20,000,000 of catastrophe coverage in excess of $5,000,000.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single maximum risks per occurrence to which the Company is subject under the new treaties effective July 1, 2016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320" w:type="dxa"/>
            <w:vAlign w:val="bottom"/>
            <w:vMerge w:val="restart"/>
          </w:tcPr>
          <w:p>
            <w:pPr>
              <w:ind w:left="1440"/>
              <w:spacing w:after="0"/>
              <w:rPr>
                <w:sz w:val="20"/>
                <w:szCs w:val="20"/>
                <w:color w:val="auto"/>
              </w:rPr>
            </w:pPr>
            <w:r>
              <w:rPr>
                <w:rFonts w:ascii="Arial" w:cs="Arial" w:eastAsia="Arial" w:hAnsi="Arial"/>
                <w:sz w:val="15"/>
                <w:szCs w:val="15"/>
                <w:b w:val="1"/>
                <w:bCs w:val="1"/>
                <w:color w:val="auto"/>
              </w:rPr>
              <w:t>Treaty</w:t>
            </w:r>
          </w:p>
        </w:tc>
        <w:tc>
          <w:tcPr>
            <w:tcW w:w="560" w:type="dxa"/>
            <w:vAlign w:val="bottom"/>
            <w:vMerge w:val="restart"/>
          </w:tcPr>
          <w:p>
            <w:pPr>
              <w:spacing w:after="0"/>
              <w:rPr>
                <w:sz w:val="15"/>
                <w:szCs w:val="15"/>
                <w:color w:val="auto"/>
              </w:rPr>
            </w:pPr>
          </w:p>
        </w:tc>
        <w:tc>
          <w:tcPr>
            <w:tcW w:w="4900" w:type="dxa"/>
            <w:vAlign w:val="bottom"/>
            <w:tcBorders>
              <w:bottom w:val="single" w:sz="8" w:color="auto"/>
            </w:tcBorders>
          </w:tcPr>
          <w:p>
            <w:pPr>
              <w:ind w:left="2880"/>
              <w:spacing w:after="0"/>
              <w:rPr>
                <w:sz w:val="20"/>
                <w:szCs w:val="20"/>
                <w:color w:val="auto"/>
              </w:rPr>
            </w:pPr>
            <w:r>
              <w:rPr>
                <w:rFonts w:ascii="Arial" w:cs="Arial" w:eastAsia="Arial" w:hAnsi="Arial"/>
                <w:sz w:val="15"/>
                <w:szCs w:val="15"/>
                <w:b w:val="1"/>
                <w:bCs w:val="1"/>
                <w:color w:val="auto"/>
              </w:rPr>
              <w:t>July 1, 2016 - June 30, 2017</w:t>
            </w:r>
          </w:p>
        </w:tc>
        <w:tc>
          <w:tcPr>
            <w:tcW w:w="3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Borders>
              <w:bottom w:val="single" w:sz="8" w:color="auto"/>
            </w:tcBorders>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900" w:type="dxa"/>
            <w:vAlign w:val="bottom"/>
            <w:tcBorders>
              <w:bottom w:val="single" w:sz="8" w:color="auto"/>
            </w:tcBorders>
          </w:tcPr>
          <w:p>
            <w:pPr>
              <w:ind w:left="2020"/>
              <w:spacing w:after="0" w:line="162" w:lineRule="exact"/>
              <w:rPr>
                <w:sz w:val="20"/>
                <w:szCs w:val="20"/>
                <w:color w:val="auto"/>
              </w:rPr>
            </w:pPr>
            <w:r>
              <w:rPr>
                <w:rFonts w:ascii="Arial" w:cs="Arial" w:eastAsia="Arial" w:hAnsi="Arial"/>
                <w:sz w:val="15"/>
                <w:szCs w:val="15"/>
                <w:b w:val="1"/>
                <w:bCs w:val="1"/>
                <w:color w:val="auto"/>
              </w:rPr>
              <w:t>Extent of Loss</w:t>
            </w:r>
          </w:p>
        </w:tc>
        <w:tc>
          <w:tcPr>
            <w:tcW w:w="340" w:type="dxa"/>
            <w:vAlign w:val="bottom"/>
          </w:tcPr>
          <w:p>
            <w:pPr>
              <w:spacing w:after="0"/>
              <w:rPr>
                <w:sz w:val="14"/>
                <w:szCs w:val="14"/>
                <w:color w:val="auto"/>
              </w:rPr>
            </w:pPr>
          </w:p>
        </w:tc>
        <w:tc>
          <w:tcPr>
            <w:tcW w:w="2280" w:type="dxa"/>
            <w:vAlign w:val="bottom"/>
            <w:tcBorders>
              <w:bottom w:val="single" w:sz="8" w:color="auto"/>
            </w:tcBorders>
          </w:tcPr>
          <w:p>
            <w:pPr>
              <w:jc w:val="right"/>
              <w:ind w:right="594"/>
              <w:spacing w:after="0" w:line="162" w:lineRule="exact"/>
              <w:rPr>
                <w:sz w:val="20"/>
                <w:szCs w:val="20"/>
                <w:color w:val="auto"/>
              </w:rPr>
            </w:pPr>
            <w:r>
              <w:rPr>
                <w:rFonts w:ascii="Arial" w:cs="Arial" w:eastAsia="Arial" w:hAnsi="Arial"/>
                <w:sz w:val="15"/>
                <w:szCs w:val="15"/>
                <w:b w:val="1"/>
                <w:bCs w:val="1"/>
                <w:color w:val="auto"/>
              </w:rPr>
              <w:t>Risk Retained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$833,333</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$833,333 - $4,500,000</w:t>
            </w:r>
          </w:p>
        </w:tc>
        <w:tc>
          <w:tcPr>
            <w:tcW w:w="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Umbrella</w:t>
            </w:r>
          </w:p>
        </w:tc>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$1,000,000 - $5,000,000</w:t>
            </w:r>
          </w:p>
        </w:tc>
        <w:tc>
          <w:tcPr>
            <w:tcW w:w="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$5,000,000</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$500,000</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$500,000 - $4,500,000</w:t>
            </w:r>
          </w:p>
        </w:tc>
        <w:tc>
          <w:tcPr>
            <w:tcW w:w="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Umbrella</w:t>
            </w:r>
          </w:p>
        </w:tc>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$1,000,000 - $5,000,000</w:t>
            </w:r>
          </w:p>
        </w:tc>
        <w:tc>
          <w:tcPr>
            <w:tcW w:w="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$5,000,000</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Catastrophe (2)</w:t>
            </w:r>
          </w:p>
        </w:tc>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$5,000,000</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$5,000,000 - $252,000,000</w:t>
            </w:r>
          </w:p>
        </w:tc>
        <w:tc>
          <w:tcPr>
            <w:tcW w:w="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$252,000,000</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________________</w:t>
            </w:r>
          </w:p>
        </w:tc>
        <w:tc>
          <w:tcPr>
            <w:tcW w:w="56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980" w:hanging="29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Covered by excess of loss treaties.</w:t>
      </w:r>
    </w:p>
    <w:p>
      <w:pPr>
        <w:spacing w:after="0" w:line="238" w:lineRule="exact"/>
        <w:rPr>
          <w:rFonts w:ascii="Arial" w:cs="Arial" w:eastAsia="Arial" w:hAnsi="Arial"/>
          <w:sz w:val="18"/>
          <w:szCs w:val="18"/>
          <w:color w:val="auto"/>
        </w:rPr>
      </w:pPr>
    </w:p>
    <w:p>
      <w:pPr>
        <w:ind w:left="980" w:hanging="29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The single maximum risks per occurrence to which the Company is subject under the treaties that expired on June 30, 2016 and 2015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940" w:type="dxa"/>
            <w:vAlign w:val="bottom"/>
            <w:vMerge w:val="restart"/>
          </w:tcPr>
          <w:p>
            <w:pPr>
              <w:ind w:left="760"/>
              <w:spacing w:after="0"/>
              <w:rPr>
                <w:sz w:val="20"/>
                <w:szCs w:val="20"/>
                <w:color w:val="auto"/>
              </w:rPr>
            </w:pPr>
            <w:r>
              <w:rPr>
                <w:rFonts w:ascii="Arial" w:cs="Arial" w:eastAsia="Arial" w:hAnsi="Arial"/>
                <w:sz w:val="15"/>
                <w:szCs w:val="15"/>
                <w:b w:val="1"/>
                <w:bCs w:val="1"/>
                <w:color w:val="auto"/>
              </w:rPr>
              <w:t>Treaty</w:t>
            </w:r>
          </w:p>
        </w:tc>
        <w:tc>
          <w:tcPr>
            <w:tcW w:w="340" w:type="dxa"/>
            <w:vAlign w:val="bottom"/>
            <w:vMerge w:val="restart"/>
          </w:tcPr>
          <w:p>
            <w:pPr>
              <w:spacing w:after="0"/>
              <w:rPr>
                <w:sz w:val="15"/>
                <w:szCs w:val="15"/>
                <w:color w:val="auto"/>
              </w:rPr>
            </w:pPr>
          </w:p>
        </w:tc>
        <w:tc>
          <w:tcPr>
            <w:tcW w:w="3320" w:type="dxa"/>
            <w:vAlign w:val="bottom"/>
            <w:tcBorders>
              <w:bottom w:val="single" w:sz="8" w:color="auto"/>
            </w:tcBorders>
            <w:gridSpan w:val="3"/>
          </w:tcPr>
          <w:p>
            <w:pPr>
              <w:ind w:left="1360"/>
              <w:spacing w:after="0"/>
              <w:rPr>
                <w:sz w:val="20"/>
                <w:szCs w:val="20"/>
                <w:color w:val="auto"/>
              </w:rPr>
            </w:pPr>
            <w:r>
              <w:rPr>
                <w:rFonts w:ascii="Arial" w:cs="Arial" w:eastAsia="Arial" w:hAnsi="Arial"/>
                <w:sz w:val="15"/>
                <w:szCs w:val="15"/>
                <w:b w:val="1"/>
                <w:bCs w:val="1"/>
                <w:color w:val="auto"/>
                <w:w w:val="99"/>
              </w:rPr>
              <w:t>July 1, 2015 - June 30, 2016</w:t>
            </w:r>
          </w:p>
        </w:tc>
        <w:tc>
          <w:tcPr>
            <w:tcW w:w="11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60" w:type="dxa"/>
            <w:vAlign w:val="bottom"/>
            <w:tcBorders>
              <w:bottom w:val="single" w:sz="8" w:color="auto"/>
            </w:tcBorders>
            <w:gridSpan w:val="2"/>
          </w:tcPr>
          <w:p>
            <w:pPr>
              <w:ind w:left="1280"/>
              <w:spacing w:after="0"/>
              <w:rPr>
                <w:sz w:val="20"/>
                <w:szCs w:val="20"/>
                <w:color w:val="auto"/>
              </w:rPr>
            </w:pPr>
            <w:r>
              <w:rPr>
                <w:rFonts w:ascii="Arial" w:cs="Arial" w:eastAsia="Arial" w:hAnsi="Arial"/>
                <w:sz w:val="15"/>
                <w:szCs w:val="15"/>
                <w:b w:val="1"/>
                <w:bCs w:val="1"/>
                <w:color w:val="auto"/>
                <w:w w:val="90"/>
              </w:rPr>
              <w:t>July 1, 2014 - June 30, 2015</w:t>
            </w:r>
          </w:p>
        </w:tc>
        <w:tc>
          <w:tcPr>
            <w:tcW w:w="12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tcBorders>
              <w:bottom w:val="single" w:sz="8" w:color="auto"/>
            </w:tcBorders>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860" w:type="dxa"/>
            <w:vAlign w:val="bottom"/>
            <w:tcBorders>
              <w:bottom w:val="single" w:sz="8" w:color="auto"/>
            </w:tcBorders>
          </w:tcPr>
          <w:p>
            <w:pPr>
              <w:ind w:left="1000"/>
              <w:spacing w:after="0" w:line="162" w:lineRule="exact"/>
              <w:rPr>
                <w:sz w:val="20"/>
                <w:szCs w:val="20"/>
                <w:color w:val="auto"/>
              </w:rPr>
            </w:pPr>
            <w:r>
              <w:rPr>
                <w:rFonts w:ascii="Arial" w:cs="Arial" w:eastAsia="Arial" w:hAnsi="Arial"/>
                <w:sz w:val="15"/>
                <w:szCs w:val="15"/>
                <w:b w:val="1"/>
                <w:bCs w:val="1"/>
                <w:color w:val="auto"/>
              </w:rPr>
              <w:t>Extent of Loss</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Risk Retained</w:t>
            </w:r>
          </w:p>
        </w:tc>
        <w:tc>
          <w:tcPr>
            <w:tcW w:w="3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tcPr>
          <w:p>
            <w:pPr>
              <w:ind w:left="980"/>
              <w:spacing w:after="0" w:line="162" w:lineRule="exact"/>
              <w:rPr>
                <w:sz w:val="20"/>
                <w:szCs w:val="20"/>
                <w:color w:val="auto"/>
              </w:rPr>
            </w:pPr>
            <w:r>
              <w:rPr>
                <w:rFonts w:ascii="Arial" w:cs="Arial" w:eastAsia="Arial" w:hAnsi="Arial"/>
                <w:sz w:val="15"/>
                <w:szCs w:val="15"/>
                <w:b w:val="1"/>
                <w:bCs w:val="1"/>
                <w:color w:val="auto"/>
              </w:rPr>
              <w:t>Extent of Loss</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73"/>
              <w:spacing w:after="0" w:line="162" w:lineRule="exact"/>
              <w:rPr>
                <w:sz w:val="20"/>
                <w:szCs w:val="20"/>
                <w:color w:val="auto"/>
              </w:rPr>
            </w:pPr>
            <w:r>
              <w:rPr>
                <w:rFonts w:ascii="Arial" w:cs="Arial" w:eastAsia="Arial" w:hAnsi="Arial"/>
                <w:sz w:val="15"/>
                <w:szCs w:val="15"/>
                <w:b w:val="1"/>
                <w:bCs w:val="1"/>
                <w:color w:val="auto"/>
              </w:rPr>
              <w:t>Risk Retained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$750,000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Initial $800,000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ind w:left="40"/>
              <w:spacing w:after="0"/>
              <w:rPr>
                <w:sz w:val="20"/>
                <w:szCs w:val="20"/>
                <w:color w:val="auto"/>
              </w:rPr>
            </w:pPr>
            <w:r>
              <w:rPr>
                <w:rFonts w:ascii="Arial" w:cs="Arial" w:eastAsia="Arial" w:hAnsi="Arial"/>
                <w:sz w:val="18"/>
                <w:szCs w:val="18"/>
                <w:color w:val="auto"/>
              </w:rPr>
              <w:t>$750,000 - $4,500,000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None(1)</w:t>
            </w:r>
          </w:p>
        </w:tc>
        <w:tc>
          <w:tcPr>
            <w:tcW w:w="2840" w:type="dxa"/>
            <w:vAlign w:val="bottom"/>
          </w:tcPr>
          <w:p>
            <w:pPr>
              <w:ind w:left="40"/>
              <w:spacing w:after="0"/>
              <w:rPr>
                <w:sz w:val="20"/>
                <w:szCs w:val="20"/>
                <w:color w:val="auto"/>
              </w:rPr>
            </w:pPr>
            <w:r>
              <w:rPr>
                <w:rFonts w:ascii="Arial" w:cs="Arial" w:eastAsia="Arial" w:hAnsi="Arial"/>
                <w:sz w:val="18"/>
                <w:szCs w:val="18"/>
                <w:color w:val="auto"/>
              </w:rPr>
              <w:t>$800,000 - $4,000,000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Over $4,000,000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Umbrella</w:t>
            </w: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ind w:left="40"/>
              <w:spacing w:after="0"/>
              <w:rPr>
                <w:sz w:val="20"/>
                <w:szCs w:val="20"/>
                <w:color w:val="auto"/>
              </w:rPr>
            </w:pPr>
            <w:r>
              <w:rPr>
                <w:rFonts w:ascii="Arial" w:cs="Arial" w:eastAsia="Arial" w:hAnsi="Arial"/>
                <w:sz w:val="18"/>
                <w:szCs w:val="18"/>
                <w:color w:val="auto"/>
              </w:rPr>
              <w:t>$1,000,000 - $3,000,000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None(1)</w:t>
            </w:r>
          </w:p>
        </w:tc>
        <w:tc>
          <w:tcPr>
            <w:tcW w:w="2840" w:type="dxa"/>
            <w:vAlign w:val="bottom"/>
          </w:tcPr>
          <w:p>
            <w:pPr>
              <w:ind w:left="40"/>
              <w:spacing w:after="0"/>
              <w:rPr>
                <w:sz w:val="20"/>
                <w:szCs w:val="20"/>
                <w:color w:val="auto"/>
              </w:rPr>
            </w:pPr>
            <w:r>
              <w:rPr>
                <w:rFonts w:ascii="Arial" w:cs="Arial" w:eastAsia="Arial" w:hAnsi="Arial"/>
                <w:sz w:val="18"/>
                <w:szCs w:val="18"/>
                <w:color w:val="auto"/>
              </w:rPr>
              <w:t>$1,000,000 - $3,000,000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$3,000,000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Over $3,000,000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$425,000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Initial $400,000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ind w:left="40"/>
              <w:spacing w:after="0"/>
              <w:rPr>
                <w:sz w:val="20"/>
                <w:szCs w:val="20"/>
                <w:color w:val="auto"/>
              </w:rPr>
            </w:pPr>
            <w:r>
              <w:rPr>
                <w:rFonts w:ascii="Arial" w:cs="Arial" w:eastAsia="Arial" w:hAnsi="Arial"/>
                <w:sz w:val="18"/>
                <w:szCs w:val="18"/>
                <w:color w:val="auto"/>
              </w:rPr>
              <w:t>$425,000 - $4,500,000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None(1)</w:t>
            </w:r>
          </w:p>
        </w:tc>
        <w:tc>
          <w:tcPr>
            <w:tcW w:w="2840" w:type="dxa"/>
            <w:vAlign w:val="bottom"/>
          </w:tcPr>
          <w:p>
            <w:pPr>
              <w:ind w:left="40"/>
              <w:spacing w:after="0"/>
              <w:rPr>
                <w:sz w:val="20"/>
                <w:szCs w:val="20"/>
                <w:color w:val="auto"/>
              </w:rPr>
            </w:pPr>
            <w:r>
              <w:rPr>
                <w:rFonts w:ascii="Arial" w:cs="Arial" w:eastAsia="Arial" w:hAnsi="Arial"/>
                <w:sz w:val="18"/>
                <w:szCs w:val="18"/>
                <w:color w:val="auto"/>
              </w:rPr>
              <w:t>$400,000 - $4,000,000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Over $4,000,000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Auto</w:t>
            </w: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$300,000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Initial $300,000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ind w:left="40"/>
              <w:spacing w:after="0"/>
              <w:rPr>
                <w:sz w:val="20"/>
                <w:szCs w:val="20"/>
                <w:color w:val="auto"/>
              </w:rPr>
            </w:pPr>
            <w:r>
              <w:rPr>
                <w:rFonts w:ascii="Arial" w:cs="Arial" w:eastAsia="Arial" w:hAnsi="Arial"/>
                <w:sz w:val="18"/>
                <w:szCs w:val="18"/>
                <w:color w:val="auto"/>
              </w:rPr>
              <w:t>$300,000 - $2,000,000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None(1)</w:t>
            </w:r>
          </w:p>
        </w:tc>
        <w:tc>
          <w:tcPr>
            <w:tcW w:w="2840" w:type="dxa"/>
            <w:vAlign w:val="bottom"/>
          </w:tcPr>
          <w:p>
            <w:pPr>
              <w:ind w:left="40"/>
              <w:spacing w:after="0"/>
              <w:rPr>
                <w:sz w:val="20"/>
                <w:szCs w:val="20"/>
                <w:color w:val="auto"/>
              </w:rPr>
            </w:pPr>
            <w:r>
              <w:rPr>
                <w:rFonts w:ascii="Arial" w:cs="Arial" w:eastAsia="Arial" w:hAnsi="Arial"/>
                <w:sz w:val="18"/>
                <w:szCs w:val="18"/>
                <w:color w:val="auto"/>
              </w:rPr>
              <w:t>$300,000 - $2,000,000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$2,000,000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Over $2,000,000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Catastrophe (2)</w:t>
            </w: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$4,000,000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Initial $4,000,000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ind w:left="40"/>
              <w:spacing w:after="0"/>
              <w:rPr>
                <w:sz w:val="20"/>
                <w:szCs w:val="20"/>
                <w:color w:val="auto"/>
              </w:rPr>
            </w:pPr>
            <w:r>
              <w:rPr>
                <w:rFonts w:ascii="Arial" w:cs="Arial" w:eastAsia="Arial" w:hAnsi="Arial"/>
                <w:sz w:val="18"/>
                <w:szCs w:val="18"/>
                <w:color w:val="auto"/>
              </w:rPr>
              <w:t>$4,000,000 - $180,000,000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None</w:t>
            </w:r>
          </w:p>
        </w:tc>
        <w:tc>
          <w:tcPr>
            <w:tcW w:w="2840" w:type="dxa"/>
            <w:vAlign w:val="bottom"/>
          </w:tcPr>
          <w:p>
            <w:pPr>
              <w:ind w:left="40"/>
              <w:spacing w:after="0"/>
              <w:rPr>
                <w:sz w:val="20"/>
                <w:szCs w:val="20"/>
                <w:color w:val="auto"/>
              </w:rPr>
            </w:pPr>
            <w:r>
              <w:rPr>
                <w:rFonts w:ascii="Arial" w:cs="Arial" w:eastAsia="Arial" w:hAnsi="Arial"/>
                <w:sz w:val="18"/>
                <w:szCs w:val="18"/>
                <w:color w:val="auto"/>
              </w:rPr>
              <w:t>$4,000,000 - $141,000,000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$180,000,000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Over $141,000,000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________________</w:t>
            </w:r>
          </w:p>
        </w:tc>
        <w:tc>
          <w:tcPr>
            <w:tcW w:w="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980" w:hanging="292"/>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Covered by excess of loss treaties.</w:t>
      </w:r>
    </w:p>
    <w:p>
      <w:pPr>
        <w:spacing w:after="0" w:line="238" w:lineRule="exact"/>
        <w:rPr>
          <w:rFonts w:ascii="Arial" w:cs="Arial" w:eastAsia="Arial" w:hAnsi="Arial"/>
          <w:sz w:val="18"/>
          <w:szCs w:val="18"/>
          <w:color w:val="auto"/>
        </w:rPr>
      </w:pPr>
    </w:p>
    <w:p>
      <w:pPr>
        <w:ind w:left="980" w:hanging="292"/>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reinsurance program is structured to enable the Company to significantly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26" w:name="page27"/>
    <w:bookmarkEnd w:id="26"/>
    <w:p>
      <w:pPr>
        <w:spacing w:after="0" w:line="298" w:lineRule="auto"/>
        <w:rPr>
          <w:sz w:val="20"/>
          <w:szCs w:val="20"/>
          <w:color w:val="auto"/>
        </w:rPr>
      </w:pPr>
      <w:r>
        <w:rPr>
          <w:rFonts w:ascii="Arial" w:cs="Arial" w:eastAsia="Arial" w:hAnsi="Arial"/>
          <w:sz w:val="16"/>
          <w:szCs w:val="16"/>
          <w:color w:val="auto"/>
        </w:rPr>
        <w:t>The Company’s estimated ultimate treaty year loss ratios (“Loss Ratio(s)”) for treaties in effect for the three months ended September 30, 2016 are attributable to contracts for the 2016/2017 Treaty and for the nine months ended September 30, 2016 are attributable to contracts for the 2016/2017 Treaty and 2015/2016 Treaty. The Company’s Loss Ratios for treaties in effect for the three months ended September 30, 2015 are attributable to contracts for the 2015/2016 Treaty and for the nine months ended September 30, 2015 are attributable to contracts for the 2015/2016 Treaty and 2014/2015 Treaty.</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Treaties in effect for the three months and nine months ended September 30, 2016</w:t>
      </w:r>
    </w:p>
    <w:p>
      <w:pPr>
        <w:spacing w:after="0" w:line="252" w:lineRule="exact"/>
        <w:rPr>
          <w:sz w:val="20"/>
          <w:szCs w:val="20"/>
          <w:color w:val="auto"/>
        </w:rPr>
      </w:pPr>
    </w:p>
    <w:p>
      <w:pPr>
        <w:ind w:left="500" w:right="60"/>
        <w:spacing w:after="0" w:line="314" w:lineRule="auto"/>
        <w:rPr>
          <w:sz w:val="20"/>
          <w:szCs w:val="20"/>
          <w:color w:val="auto"/>
        </w:rPr>
      </w:pPr>
      <w:r>
        <w:rPr>
          <w:rFonts w:ascii="Arial" w:cs="Arial" w:eastAsia="Arial" w:hAnsi="Arial"/>
          <w:sz w:val="15"/>
          <w:szCs w:val="15"/>
          <w:color w:val="auto"/>
        </w:rPr>
        <w:t>Under the 2016/2017 Treaty and 2015/2016 Treaty, the Company is receiving a higher upfront fixed provisional rate in exchange for a less favorable sliding scale contingent rate. Under this arrangement, the Company earns more provisional ceding commissions, while contingent ceding commissions are reduced due to the less favorable sliding scale rate. The Company’s Loss Ratios for the period July 1, 2015 through June 30, 2016 (attributable to the 2015/2016 Treaty), and from July 1, 2016 through September 30, 2016 (attributable to the 2016/2017 Treaty), were higher than the contractual Loss Ratio at which provisional ceding commissions are earned. Accordingly, for the three month and nine month periods ended September 30, 2016, the Company’s contingent ceding commission earned was reduced as a result of the estimated Loss Ratios for the 2016/2017 Treaty and 2015/2016 Treaty, respectively.</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Treaties in effect for the three months and nine months ended September 30, 2015</w:t>
      </w:r>
    </w:p>
    <w:p>
      <w:pPr>
        <w:spacing w:after="0" w:line="252" w:lineRule="exact"/>
        <w:rPr>
          <w:sz w:val="20"/>
          <w:szCs w:val="20"/>
          <w:color w:val="auto"/>
        </w:rPr>
      </w:pPr>
    </w:p>
    <w:p>
      <w:pPr>
        <w:ind w:left="500" w:right="100"/>
        <w:spacing w:after="0" w:line="306" w:lineRule="auto"/>
        <w:rPr>
          <w:sz w:val="20"/>
          <w:szCs w:val="20"/>
          <w:color w:val="auto"/>
        </w:rPr>
      </w:pPr>
      <w:r>
        <w:rPr>
          <w:rFonts w:ascii="Arial" w:cs="Arial" w:eastAsia="Arial" w:hAnsi="Arial"/>
          <w:sz w:val="16"/>
          <w:szCs w:val="16"/>
          <w:color w:val="auto"/>
        </w:rPr>
        <w:t>The Company’s Loss Ratio for the period July 1, 2015 through September 30, 2015, which is attributable to the 2015/2016 Treaty, was higher than the contractual Loss Ratio at which provisional ceding commissions are earned. Accordingly, for the three months ended September 30, 2015, the Company’s contingent ceding commission earned was reduced as a result of the estimated Loss Ratio for the 2015/2016 Treaty.</w:t>
      </w:r>
    </w:p>
    <w:p>
      <w:pPr>
        <w:spacing w:after="0" w:line="188"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color w:val="auto"/>
        </w:rPr>
        <w:t>The Company’s Loss Ratio for the period July 1, 2014 through June 30, 2015, which is attributable to the 2014/2015 Treaty, was lower than the contractual Loss Ratio at which the provisional ceding commissions are earned. As a result of severe winter weather during the six months ended June 30, 2015, the Loss Ratio attributable to this treaty as of June 30, 2015 was greater than the Loss Ratio as of December 31, 2014. Accordingly, for the six months ended June 30, 2015, the Company’s contingent ceding commission earned was reduced as a result of the increase in the estimated Loss Ratio for the 2014/2015 Treaty.</w:t>
      </w:r>
    </w:p>
    <w:p>
      <w:pPr>
        <w:spacing w:after="0" w:line="2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to the treaties that were in effect for the three months and nine months ended September 30, 2016 and 2015, the Loss Ratios from prior years’ treaties are subject to change as loss reserves from those periods increase or decrease, resulting in an increase or decrease in the commission rate and contingent ceding commissions earned.</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Ceding commission revenue consists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gridSpan w:val="3"/>
          </w:tcPr>
          <w:p>
            <w:pPr>
              <w:jc w:val="right"/>
              <w:ind w:right="656"/>
              <w:spacing w:after="0"/>
              <w:rPr>
                <w:sz w:val="20"/>
                <w:szCs w:val="20"/>
                <w:color w:val="auto"/>
              </w:rPr>
            </w:pPr>
            <w:r>
              <w:rPr>
                <w:rFonts w:ascii="Arial" w:cs="Arial" w:eastAsia="Arial" w:hAnsi="Arial"/>
                <w:sz w:val="15"/>
                <w:szCs w:val="15"/>
                <w:b w:val="1"/>
                <w:bCs w:val="1"/>
                <w:color w:val="auto"/>
              </w:rPr>
              <w:t>Three months ended</w:t>
            </w:r>
          </w:p>
        </w:tc>
        <w:tc>
          <w:tcPr>
            <w:tcW w:w="320" w:type="dxa"/>
            <w:vAlign w:val="bottom"/>
          </w:tcPr>
          <w:p>
            <w:pPr>
              <w:spacing w:after="0"/>
              <w:rPr>
                <w:sz w:val="16"/>
                <w:szCs w:val="16"/>
                <w:color w:val="auto"/>
              </w:rPr>
            </w:pPr>
          </w:p>
        </w:tc>
        <w:tc>
          <w:tcPr>
            <w:tcW w:w="2380" w:type="dxa"/>
            <w:vAlign w:val="bottom"/>
            <w:gridSpan w:val="3"/>
          </w:tcPr>
          <w:p>
            <w:pPr>
              <w:jc w:val="right"/>
              <w:ind w:right="656"/>
              <w:spacing w:after="0"/>
              <w:rPr>
                <w:sz w:val="20"/>
                <w:szCs w:val="20"/>
                <w:color w:val="auto"/>
              </w:rPr>
            </w:pPr>
            <w:r>
              <w:rPr>
                <w:rFonts w:ascii="Arial" w:cs="Arial" w:eastAsia="Arial" w:hAnsi="Arial"/>
                <w:sz w:val="15"/>
                <w:szCs w:val="15"/>
                <w:b w:val="1"/>
                <w:bCs w:val="1"/>
                <w:color w:val="auto"/>
              </w:rPr>
              <w:t>Nine months ended</w:t>
            </w:r>
          </w:p>
        </w:tc>
      </w:tr>
      <w:tr>
        <w:trPr>
          <w:trHeight w:val="206"/>
        </w:trPr>
        <w:tc>
          <w:tcPr>
            <w:tcW w:w="59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223"/>
        </w:trPr>
        <w:tc>
          <w:tcPr>
            <w:tcW w:w="59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5"/>
                <w:szCs w:val="15"/>
                <w:b w:val="1"/>
                <w:bCs w:val="1"/>
                <w:color w:val="auto"/>
              </w:rPr>
              <w:t>2016</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2015</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2016</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2015</w:t>
            </w:r>
          </w:p>
        </w:tc>
      </w:tr>
      <w:tr>
        <w:trPr>
          <w:trHeight w:val="216"/>
        </w:trPr>
        <w:tc>
          <w:tcPr>
            <w:tcW w:w="5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Provisional ceding commissions earned</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3,185,748</w:t>
            </w:r>
          </w:p>
        </w:tc>
        <w:tc>
          <w:tcPr>
            <w:tcW w:w="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89"/>
              </w:rPr>
              <w:t>2,854,524</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9,508,213</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2"/>
              </w:rPr>
              <w:t>8,734,477</w:t>
            </w:r>
          </w:p>
        </w:tc>
      </w:tr>
      <w:tr>
        <w:trPr>
          <w:trHeight w:val="223"/>
        </w:trPr>
        <w:tc>
          <w:tcPr>
            <w:tcW w:w="5960" w:type="dxa"/>
            <w:vAlign w:val="bottom"/>
          </w:tcPr>
          <w:p>
            <w:pPr>
              <w:ind w:left="60"/>
              <w:spacing w:after="0"/>
              <w:rPr>
                <w:sz w:val="20"/>
                <w:szCs w:val="20"/>
                <w:color w:val="auto"/>
              </w:rPr>
            </w:pPr>
            <w:r>
              <w:rPr>
                <w:rFonts w:ascii="Arial" w:cs="Arial" w:eastAsia="Arial" w:hAnsi="Arial"/>
                <w:sz w:val="18"/>
                <w:szCs w:val="18"/>
                <w:color w:val="auto"/>
              </w:rPr>
              <w:t>Contingent ceding commissions earned</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(250,820)</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(210,993)</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99"/>
              </w:rPr>
              <w:t>(1,233,923)</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653,980</w:t>
            </w:r>
          </w:p>
        </w:tc>
      </w:tr>
      <w:tr>
        <w:trPr>
          <w:trHeight w:val="257"/>
        </w:trPr>
        <w:tc>
          <w:tcPr>
            <w:tcW w:w="59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2,934,928</w:t>
            </w:r>
          </w:p>
        </w:tc>
        <w:tc>
          <w:tcPr>
            <w:tcW w:w="4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89"/>
              </w:rPr>
              <w:t>2,643,531</w:t>
            </w:r>
          </w:p>
        </w:tc>
        <w:tc>
          <w:tcPr>
            <w:tcW w:w="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8,274,290</w:t>
            </w:r>
          </w:p>
        </w:tc>
        <w:tc>
          <w:tcPr>
            <w:tcW w:w="4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2"/>
              </w:rPr>
              <w:t>9,388,457</w:t>
            </w:r>
          </w:p>
        </w:tc>
      </w:tr>
    </w:tbl>
    <w:p>
      <w:pPr>
        <w:spacing w:after="0" w:line="20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Provisional ceding commissions are settled monthly. Balances due from reinsurers for contingent ceding commissions on quota share treaties are settled annually based on the loss ratio of each treaty year that ends on June 30.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Declared</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Dividends declared and paid on Common Stock were $1,446,684 and $1,098,946 for the nine months ended September 30, 2016 and 2015, respectively. The Company’s Board of Directors approved a quarterly dividend on November 9, 2016 of $.0625 per share payable in cash on December 15, 2016 to stockholders of record as of November 30, 2016 (see Note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Pursuant to the Company’s 2005 Equity Participation Plan (the “2005 Plan”), which provides for the issuance of incentive stock options, non-statutory stock options and restricted stock, a maximum of 700,000 shares of the Company’s Common Stock are permitted to be issued pursuant to options granted and restricted stock issued. Effective August 12, 2014, the Company adopted the 2014 Equity Participation Plan (the “2014 Plan”) pursuant to which, subject to stockholder approval on or before August 12, 2015, a maximum of 700,000 shares of Common Stock of the Company are authorized to be issued pursuant to the grant of incentive stock options, non-statutory stock options, stock appreciation rights, restricted stock and stock bonuses. The stockholders approved the 2014 Plan on August 11, 2015. Incentive stock options granted under the 2014 Plan and 2005 Plan expire no later than ten years from the date of grant (except no later than five years for a grant to a 10% stockholder). The Board of Directors or the Stock Option Committee determines the expiration date with respect to non-statutory stock options and the vesting provisions for restricted stock granted under the 2014 Plan and 2005 Plan.</w:t>
      </w:r>
    </w:p>
    <w:p>
      <w:pPr>
        <w:spacing w:after="0" w:line="19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results of operations for the three months ended September 30, 2016 and 2015 include stock-based stock option compensation expense totaling approximately $23,000 and $52,000, respectively. The results of operations for the nine months ended September 30, 2016 and 2015 include stock-based stock option compensation expense totaling approximately $90,000 and $130,000, respectively. Stock-based compensation expense related to stock options is net of estimated forfeitures of 17% for the three months and nine months ended September 30, 2016 and 2015. Such amounts have been included in the condensed consolidated statements of income and comprehensive income within other operating expenses.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Stock-based compensation expense in 2016 and 2015 is the estimated fair value of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 The weighted average estimated fair value of stock options granted during the nine months ended September 30, 2016 was $1.87 per share. No options were granted during the nine months September 30, 2015. The fair value of stock options at the grant date was estimated using the Black-Scholes option-pricing model. The following weighted average assumptions were used for grants during the following periods: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220" w:type="dxa"/>
            <w:vAlign w:val="bottom"/>
            <w:gridSpan w:val="3"/>
          </w:tcPr>
          <w:p>
            <w:pPr>
              <w:jc w:val="center"/>
              <w:ind w:left="1438"/>
              <w:spacing w:after="0"/>
              <w:rPr>
                <w:sz w:val="20"/>
                <w:szCs w:val="20"/>
                <w:color w:val="auto"/>
              </w:rPr>
            </w:pPr>
            <w:r>
              <w:rPr>
                <w:rFonts w:ascii="Arial" w:cs="Arial" w:eastAsia="Arial" w:hAnsi="Arial"/>
                <w:sz w:val="15"/>
                <w:szCs w:val="15"/>
                <w:b w:val="1"/>
                <w:bCs w:val="1"/>
                <w:color w:val="auto"/>
                <w:w w:val="87"/>
              </w:rPr>
              <w:t>Nine months ended</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220" w:type="dxa"/>
            <w:vAlign w:val="bottom"/>
            <w:tcBorders>
              <w:bottom w:val="single" w:sz="8" w:color="auto"/>
            </w:tcBorders>
            <w:gridSpan w:val="3"/>
          </w:tcPr>
          <w:p>
            <w:pPr>
              <w:jc w:val="center"/>
              <w:ind w:left="1418"/>
              <w:spacing w:after="0"/>
              <w:rPr>
                <w:sz w:val="20"/>
                <w:szCs w:val="20"/>
                <w:color w:val="auto"/>
              </w:rPr>
            </w:pPr>
            <w:r>
              <w:rPr>
                <w:rFonts w:ascii="Arial" w:cs="Arial" w:eastAsia="Arial" w:hAnsi="Arial"/>
                <w:sz w:val="15"/>
                <w:szCs w:val="15"/>
                <w:b w:val="1"/>
                <w:bCs w:val="1"/>
                <w:color w:val="auto"/>
                <w:w w:val="89"/>
              </w:rPr>
              <w:t>September 30,</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280" w:type="dxa"/>
            <w:vAlign w:val="bottom"/>
            <w:tcBorders>
              <w:bottom w:val="single" w:sz="8" w:color="auto"/>
            </w:tcBorders>
          </w:tcPr>
          <w:p>
            <w:pPr>
              <w:jc w:val="right"/>
              <w:ind w:right="878"/>
              <w:spacing w:after="0"/>
              <w:rPr>
                <w:sz w:val="20"/>
                <w:szCs w:val="20"/>
                <w:color w:val="auto"/>
              </w:rPr>
            </w:pPr>
            <w:r>
              <w:rPr>
                <w:rFonts w:ascii="Arial" w:cs="Arial" w:eastAsia="Arial" w:hAnsi="Arial"/>
                <w:sz w:val="15"/>
                <w:szCs w:val="15"/>
                <w:b w:val="1"/>
                <w:bCs w:val="1"/>
                <w:color w:val="auto"/>
              </w:rPr>
              <w:t>2016</w:t>
            </w:r>
          </w:p>
        </w:tc>
        <w:tc>
          <w:tcPr>
            <w:tcW w:w="2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95"/>
              <w:spacing w:after="0"/>
              <w:rPr>
                <w:sz w:val="20"/>
                <w:szCs w:val="20"/>
                <w:color w:val="auto"/>
              </w:rPr>
            </w:pPr>
            <w:r>
              <w:rPr>
                <w:rFonts w:ascii="Arial" w:cs="Arial" w:eastAsia="Arial" w:hAnsi="Arial"/>
                <w:sz w:val="15"/>
                <w:szCs w:val="15"/>
                <w:b w:val="1"/>
                <w:bCs w:val="1"/>
                <w:color w:val="auto"/>
                <w:w w:val="89"/>
              </w:rPr>
              <w:t>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 - 3.18%</w:t>
            </w: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right="635"/>
              <w:spacing w:after="0"/>
              <w:rPr>
                <w:sz w:val="20"/>
                <w:szCs w:val="20"/>
                <w:color w:val="auto"/>
              </w:rPr>
            </w:pPr>
            <w:r>
              <w:rPr>
                <w:rFonts w:ascii="Arial" w:cs="Arial" w:eastAsia="Arial" w:hAnsi="Arial"/>
                <w:sz w:val="18"/>
                <w:szCs w:val="18"/>
                <w:color w:val="auto"/>
                <w:w w:val="8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Volatility</w:t>
            </w:r>
          </w:p>
        </w:tc>
        <w:tc>
          <w:tcPr>
            <w:tcW w:w="2500" w:type="dxa"/>
            <w:vAlign w:val="bottom"/>
            <w:gridSpan w:val="2"/>
          </w:tcPr>
          <w:p>
            <w:pPr>
              <w:jc w:val="right"/>
              <w:ind w:right="220"/>
              <w:spacing w:after="0"/>
              <w:rPr>
                <w:sz w:val="20"/>
                <w:szCs w:val="20"/>
                <w:color w:val="auto"/>
              </w:rPr>
            </w:pPr>
            <w:r>
              <w:rPr>
                <w:rFonts w:ascii="Arial" w:cs="Arial" w:eastAsia="Arial" w:hAnsi="Arial"/>
                <w:sz w:val="18"/>
                <w:szCs w:val="18"/>
                <w:color w:val="auto"/>
              </w:rPr>
              <w:t>31.61% - 31.81%</w:t>
            </w:r>
          </w:p>
        </w:tc>
        <w:tc>
          <w:tcPr>
            <w:tcW w:w="720" w:type="dxa"/>
            <w:vAlign w:val="bottom"/>
          </w:tcPr>
          <w:p>
            <w:pPr>
              <w:spacing w:after="0"/>
              <w:rPr>
                <w:sz w:val="18"/>
                <w:szCs w:val="18"/>
                <w:color w:val="auto"/>
              </w:rPr>
            </w:pPr>
          </w:p>
        </w:tc>
        <w:tc>
          <w:tcPr>
            <w:tcW w:w="1460" w:type="dxa"/>
            <w:vAlign w:val="bottom"/>
          </w:tcPr>
          <w:p>
            <w:pPr>
              <w:jc w:val="center"/>
              <w:ind w:right="635"/>
              <w:spacing w:after="0"/>
              <w:rPr>
                <w:sz w:val="20"/>
                <w:szCs w:val="20"/>
                <w:color w:val="auto"/>
              </w:rPr>
            </w:pPr>
            <w:r>
              <w:rPr>
                <w:rFonts w:ascii="Arial" w:cs="Arial" w:eastAsia="Arial" w:hAnsi="Arial"/>
                <w:sz w:val="18"/>
                <w:szCs w:val="18"/>
                <w:color w:val="auto"/>
                <w:w w:val="8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 - 1.11%</w:t>
            </w: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right="635"/>
              <w:spacing w:after="0"/>
              <w:rPr>
                <w:sz w:val="20"/>
                <w:szCs w:val="20"/>
                <w:color w:val="auto"/>
              </w:rPr>
            </w:pPr>
            <w:r>
              <w:rPr>
                <w:rFonts w:ascii="Arial" w:cs="Arial" w:eastAsia="Arial" w:hAnsi="Arial"/>
                <w:sz w:val="18"/>
                <w:szCs w:val="18"/>
                <w:color w:val="auto"/>
                <w:w w:val="89"/>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Expected Life</w:t>
            </w:r>
          </w:p>
        </w:tc>
        <w:tc>
          <w:tcPr>
            <w:tcW w:w="3220" w:type="dxa"/>
            <w:vAlign w:val="bottom"/>
            <w:gridSpan w:val="3"/>
          </w:tcPr>
          <w:p>
            <w:pPr>
              <w:ind w:left="1560"/>
              <w:spacing w:after="0"/>
              <w:rPr>
                <w:sz w:val="20"/>
                <w:szCs w:val="20"/>
                <w:color w:val="auto"/>
              </w:rPr>
            </w:pPr>
            <w:r>
              <w:rPr>
                <w:rFonts w:ascii="Arial" w:cs="Arial" w:eastAsia="Arial" w:hAnsi="Arial"/>
                <w:sz w:val="18"/>
                <w:szCs w:val="18"/>
                <w:color w:val="auto"/>
              </w:rPr>
              <w:t>3.25 years</w:t>
            </w:r>
          </w:p>
        </w:tc>
        <w:tc>
          <w:tcPr>
            <w:tcW w:w="1460" w:type="dxa"/>
            <w:vAlign w:val="bottom"/>
          </w:tcPr>
          <w:p>
            <w:pPr>
              <w:jc w:val="center"/>
              <w:ind w:right="575"/>
              <w:spacing w:after="0"/>
              <w:rPr>
                <w:sz w:val="20"/>
                <w:szCs w:val="20"/>
                <w:color w:val="auto"/>
              </w:rPr>
            </w:pPr>
            <w:r>
              <w:rPr>
                <w:rFonts w:ascii="Arial" w:cs="Arial" w:eastAsia="Arial" w:hAnsi="Arial"/>
                <w:sz w:val="18"/>
                <w:szCs w:val="18"/>
                <w:color w:val="auto"/>
                <w:w w:val="79"/>
              </w:rPr>
              <w:t>na</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our stock options.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 summary of stock option activity under the Company’s 2014 Plan and 2005 Plan for the nine months ended September 30, 2016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w w:val="91"/>
              </w:rPr>
              <w:t>Weighted</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center"/>
              <w:ind w:right="1"/>
              <w:spacing w:after="0" w:line="162" w:lineRule="exact"/>
              <w:rPr>
                <w:sz w:val="20"/>
                <w:szCs w:val="20"/>
                <w:color w:val="auto"/>
              </w:rPr>
            </w:pPr>
            <w:r>
              <w:rPr>
                <w:rFonts w:ascii="Arial" w:cs="Arial" w:eastAsia="Arial" w:hAnsi="Arial"/>
                <w:sz w:val="15"/>
                <w:szCs w:val="15"/>
                <w:b w:val="1"/>
                <w:bCs w:val="1"/>
                <w:color w:val="auto"/>
                <w:w w:val="87"/>
              </w:rPr>
              <w:t>Average</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374"/>
              <w:spacing w:after="0" w:line="162" w:lineRule="exact"/>
              <w:rPr>
                <w:sz w:val="20"/>
                <w:szCs w:val="20"/>
                <w:color w:val="auto"/>
              </w:rPr>
            </w:pPr>
            <w:r>
              <w:rPr>
                <w:rFonts w:ascii="Arial" w:cs="Arial" w:eastAsia="Arial" w:hAnsi="Arial"/>
                <w:sz w:val="15"/>
                <w:szCs w:val="15"/>
                <w:b w:val="1"/>
                <w:bCs w:val="1"/>
                <w:color w:val="auto"/>
                <w:w w:val="97"/>
              </w:rPr>
              <w:t>Weighted</w:t>
            </w:r>
          </w:p>
        </w:tc>
        <w:tc>
          <w:tcPr>
            <w:tcW w:w="1280" w:type="dxa"/>
            <w:vAlign w:val="bottom"/>
          </w:tcPr>
          <w:p>
            <w:pPr>
              <w:jc w:val="center"/>
              <w:ind w:right="21"/>
              <w:spacing w:after="0" w:line="162" w:lineRule="exact"/>
              <w:rPr>
                <w:sz w:val="20"/>
                <w:szCs w:val="20"/>
                <w:color w:val="auto"/>
              </w:rPr>
            </w:pPr>
            <w:r>
              <w:rPr>
                <w:rFonts w:ascii="Arial" w:cs="Arial" w:eastAsia="Arial" w:hAnsi="Arial"/>
                <w:sz w:val="15"/>
                <w:szCs w:val="15"/>
                <w:b w:val="1"/>
                <w:bCs w:val="1"/>
                <w:color w:val="auto"/>
                <w:w w:val="91"/>
              </w:rPr>
              <w:t>Remaining</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60" w:type="dxa"/>
            <w:vAlign w:val="bottom"/>
          </w:tcPr>
          <w:p>
            <w:pPr>
              <w:jc w:val="right"/>
              <w:ind w:right="256"/>
              <w:spacing w:after="0" w:line="162" w:lineRule="exact"/>
              <w:rPr>
                <w:sz w:val="20"/>
                <w:szCs w:val="20"/>
                <w:color w:val="auto"/>
              </w:rPr>
            </w:pPr>
            <w:r>
              <w:rPr>
                <w:rFonts w:ascii="Arial" w:cs="Arial" w:eastAsia="Arial" w:hAnsi="Arial"/>
                <w:sz w:val="15"/>
                <w:szCs w:val="15"/>
                <w:b w:val="1"/>
                <w:bCs w:val="1"/>
                <w:color w:val="auto"/>
              </w:rPr>
              <w:t>Number of</w:t>
            </w:r>
          </w:p>
        </w:tc>
        <w:tc>
          <w:tcPr>
            <w:tcW w:w="1460" w:type="dxa"/>
            <w:vAlign w:val="bottom"/>
            <w:gridSpan w:val="2"/>
          </w:tcPr>
          <w:p>
            <w:pPr>
              <w:ind w:left="140"/>
              <w:spacing w:after="0" w:line="162" w:lineRule="exact"/>
              <w:rPr>
                <w:sz w:val="20"/>
                <w:szCs w:val="20"/>
                <w:color w:val="auto"/>
              </w:rPr>
            </w:pPr>
            <w:r>
              <w:rPr>
                <w:rFonts w:ascii="Arial" w:cs="Arial" w:eastAsia="Arial" w:hAnsi="Arial"/>
                <w:sz w:val="15"/>
                <w:szCs w:val="15"/>
                <w:b w:val="1"/>
                <w:bCs w:val="1"/>
                <w:color w:val="auto"/>
              </w:rPr>
              <w:t>Average Exercise</w:t>
            </w:r>
          </w:p>
        </w:tc>
        <w:tc>
          <w:tcPr>
            <w:tcW w:w="1280" w:type="dxa"/>
            <w:vAlign w:val="bottom"/>
          </w:tcPr>
          <w:p>
            <w:pPr>
              <w:jc w:val="center"/>
              <w:ind w:right="1"/>
              <w:spacing w:after="0" w:line="162" w:lineRule="exact"/>
              <w:rPr>
                <w:sz w:val="20"/>
                <w:szCs w:val="20"/>
                <w:color w:val="auto"/>
              </w:rPr>
            </w:pPr>
            <w:r>
              <w:rPr>
                <w:rFonts w:ascii="Arial" w:cs="Arial" w:eastAsia="Arial" w:hAnsi="Arial"/>
                <w:sz w:val="15"/>
                <w:szCs w:val="15"/>
                <w:b w:val="1"/>
                <w:bCs w:val="1"/>
                <w:color w:val="auto"/>
                <w:w w:val="91"/>
              </w:rPr>
              <w:t>Contractual</w:t>
            </w:r>
          </w:p>
        </w:tc>
        <w:tc>
          <w:tcPr>
            <w:tcW w:w="300" w:type="dxa"/>
            <w:vAlign w:val="bottom"/>
          </w:tcPr>
          <w:p>
            <w:pPr>
              <w:spacing w:after="0"/>
              <w:rPr>
                <w:sz w:val="14"/>
                <w:szCs w:val="14"/>
                <w:color w:val="auto"/>
              </w:rPr>
            </w:pPr>
          </w:p>
        </w:tc>
        <w:tc>
          <w:tcPr>
            <w:tcW w:w="1060" w:type="dxa"/>
            <w:vAlign w:val="bottom"/>
          </w:tcPr>
          <w:p>
            <w:pPr>
              <w:jc w:val="right"/>
              <w:ind w:right="254"/>
              <w:spacing w:after="0" w:line="162" w:lineRule="exact"/>
              <w:rPr>
                <w:sz w:val="20"/>
                <w:szCs w:val="20"/>
                <w:color w:val="auto"/>
              </w:rPr>
            </w:pPr>
            <w:r>
              <w:rPr>
                <w:rFonts w:ascii="Arial" w:cs="Arial" w:eastAsia="Arial" w:hAnsi="Arial"/>
                <w:sz w:val="15"/>
                <w:szCs w:val="15"/>
                <w:b w:val="1"/>
                <w:bCs w:val="1"/>
                <w:color w:val="auto"/>
                <w:w w:val="94"/>
              </w:rPr>
              <w:t>Aggregate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Borders>
              <w:bottom w:val="single" w:sz="8" w:color="auto"/>
            </w:tcBorders>
          </w:tcPr>
          <w:p>
            <w:pPr>
              <w:ind w:left="2520"/>
              <w:spacing w:after="0"/>
              <w:rPr>
                <w:sz w:val="20"/>
                <w:szCs w:val="20"/>
                <w:color w:val="auto"/>
              </w:rPr>
            </w:pPr>
            <w:r>
              <w:rPr>
                <w:rFonts w:ascii="Arial" w:cs="Arial" w:eastAsia="Arial" w:hAnsi="Arial"/>
                <w:sz w:val="15"/>
                <w:szCs w:val="15"/>
                <w:b w:val="1"/>
                <w:bCs w:val="1"/>
                <w:color w:val="auto"/>
              </w:rPr>
              <w:t>Stock Options</w:t>
            </w:r>
          </w:p>
        </w:tc>
        <w:tc>
          <w:tcPr>
            <w:tcW w:w="136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Shares</w:t>
            </w:r>
          </w:p>
        </w:tc>
        <w:tc>
          <w:tcPr>
            <w:tcW w:w="146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b w:val="1"/>
                <w:bCs w:val="1"/>
                <w:color w:val="auto"/>
              </w:rPr>
              <w:t>Price per Share</w:t>
            </w:r>
          </w:p>
        </w:tc>
        <w:tc>
          <w:tcPr>
            <w:tcW w:w="1280" w:type="dxa"/>
            <w:vAlign w:val="bottom"/>
            <w:tcBorders>
              <w:bottom w:val="single" w:sz="8" w:color="auto"/>
            </w:tcBorders>
          </w:tcPr>
          <w:p>
            <w:pPr>
              <w:jc w:val="center"/>
              <w:ind w:right="21"/>
              <w:spacing w:after="0"/>
              <w:rPr>
                <w:sz w:val="20"/>
                <w:szCs w:val="20"/>
                <w:color w:val="auto"/>
              </w:rPr>
            </w:pPr>
            <w:r>
              <w:rPr>
                <w:rFonts w:ascii="Arial" w:cs="Arial" w:eastAsia="Arial" w:hAnsi="Arial"/>
                <w:sz w:val="15"/>
                <w:szCs w:val="15"/>
                <w:b w:val="1"/>
                <w:bCs w:val="1"/>
                <w:color w:val="auto"/>
                <w:w w:val="92"/>
              </w:rPr>
              <w:t>Term</w:t>
            </w:r>
          </w:p>
        </w:tc>
        <w:tc>
          <w:tcPr>
            <w:tcW w:w="136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5"/>
                <w:szCs w:val="15"/>
                <w:b w:val="1"/>
                <w:bCs w:val="1"/>
                <w:color w:val="auto"/>
              </w:rPr>
              <w:t>Intrinsic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339,750</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6.34</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3.36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904,775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40,000</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8.33</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36,150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Exercised</w:t>
            </w:r>
          </w:p>
        </w:tc>
        <w:tc>
          <w:tcPr>
            <w:tcW w:w="1360" w:type="dxa"/>
            <w:vAlign w:val="bottom"/>
          </w:tcPr>
          <w:p>
            <w:pPr>
              <w:jc w:val="right"/>
              <w:spacing w:after="0"/>
              <w:rPr>
                <w:sz w:val="20"/>
                <w:szCs w:val="20"/>
                <w:color w:val="auto"/>
              </w:rPr>
            </w:pPr>
            <w:r>
              <w:rPr>
                <w:rFonts w:ascii="Arial" w:cs="Arial" w:eastAsia="Arial" w:hAnsi="Arial"/>
                <w:sz w:val="18"/>
                <w:szCs w:val="18"/>
                <w:color w:val="auto"/>
              </w:rPr>
              <w:t>(2,500)</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5.09</w:t>
            </w:r>
          </w:p>
        </w:tc>
        <w:tc>
          <w:tcPr>
            <w:tcW w:w="12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10,025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5.09</w:t>
            </w:r>
          </w:p>
        </w:tc>
        <w:tc>
          <w:tcPr>
            <w:tcW w:w="1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September 30, 2016</w:t>
            </w:r>
          </w:p>
        </w:tc>
        <w:tc>
          <w:tcPr>
            <w:tcW w:w="13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372,250</w:t>
            </w: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6.58</w:t>
            </w: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8"/>
                <w:szCs w:val="18"/>
                <w:color w:val="auto"/>
              </w:rPr>
              <w:t>2.82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988,018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Vested and Exercisable at September 30, 2016</w:t>
            </w:r>
          </w:p>
        </w:tc>
        <w:tc>
          <w:tcPr>
            <w:tcW w:w="13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271,000</w:t>
            </w: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6.38</w:t>
            </w: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8"/>
                <w:szCs w:val="18"/>
                <w:color w:val="auto"/>
              </w:rPr>
              <w:t>2.60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771,918</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aggregate intrinsic value of options outstanding and options exercisable at September 30, 2016 is calculated as the difference between the exercise price of the underlying options and the market price of the Company’s Common Stock for the options that had exercise prices that were lower than the $9.23 closing price of the Company’s Common Stock on September 30, 2016. The total intrinsic value of options exercised in the nine months ended September 30, 2016 was $10,025, determined as of the date of exercise.</w:t>
      </w:r>
    </w:p>
    <w:p>
      <w:pPr>
        <w:spacing w:after="0" w:line="22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Participants in the 2005 and 2014 Plans may exercise their outstanding vested options, in whole or in part, by having the Company reduce the number of shares otherwise issuable by a number of shares having a fair market value equal to the exercise price of the option being exercised (“Net Exercise”). The Company received cash proceeds of $12,725 from the exercise of options for the purchase of 2,500 shares of Common Stock during the nine months ended September 30, 2016. All of the 123,750 options exercised during the nine months ended September 30, 2015 were Net Exercises.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9" w:name="page30"/>
    <w:bookmarkEnd w:id="29"/>
    <w:p>
      <w:pPr>
        <w:spacing w:after="0" w:line="332" w:lineRule="auto"/>
        <w:rPr>
          <w:sz w:val="20"/>
          <w:szCs w:val="20"/>
          <w:color w:val="auto"/>
        </w:rPr>
      </w:pPr>
      <w:r>
        <w:rPr>
          <w:rFonts w:ascii="Arial" w:cs="Arial" w:eastAsia="Arial" w:hAnsi="Arial"/>
          <w:sz w:val="16"/>
          <w:szCs w:val="16"/>
          <w:color w:val="auto"/>
        </w:rPr>
        <w:t>As of September 30, 2016, the fair value of unamortized compensation cost related to unvested stock option awards was approximately $62,000. Unamortized compensation cost as of September 30, 2016 is expected to be recognized over a remaining weighted-average vesting period of 0.91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there were 602,500 shares reserved for grants under the 2014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Equity Compensation</w:t>
      </w:r>
    </w:p>
    <w:p>
      <w:pPr>
        <w:spacing w:after="0" w:line="2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January 2016, the Company granted a total of 6,000 shares of restricted Common Stock under the 2014 Plan to its three then non-employee directors. In March 2016, the Company granted 1,500 shares of restricted Common Stock under the 2014 Plan to a newly elected non-employee director. One-third of the shares granted will vest on each of the three following anniversaries following the grant date. The fair value of the shares will be determined on each of the vesting dates. For the nine months ended September 30, 2016, no stock-based compensation for these grants is included in the condensed consolidated statements of income and comprehensive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Private Placement of Common Stock</w:t>
      </w:r>
    </w:p>
    <w:p>
      <w:pPr>
        <w:spacing w:after="0" w:line="25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April 2016, the Company sold 595,238 newly issued shares of its Common Stock to RenaissanceRe Ventures Ltd., a subsidiary of RenaissanceRe Holdings Ltd. (NYSE:RNR) (“RenaissanceRe”), in a private placement. RenaissanceRe is a global provider of catastrophe and specialty reinsurance and insurance.</w:t>
      </w:r>
    </w:p>
    <w:p>
      <w:pPr>
        <w:spacing w:after="0" w:line="16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new shares of Common Stock were sold to RenaissanceRe at a price of $8.40 per share. The Company received net proceeds of approximately $4,802,000 from the private placement. In June 2016, the Company invested $3,000,000 of the proceeds in KICO as additional surplus to support its continued growth. The Company intends to use the remaining net proceeds of the offering for general corporate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5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condensed consolidated financial statements taken as a whole for the respective periods.</w:t>
      </w:r>
    </w:p>
    <w:p>
      <w:pPr>
        <w:spacing w:after="0" w:line="22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 reflect temporary differences between the carrying amounts of the assets and liabilities for financial reporting purposes and income tax purposes, tax effected at a various rates depending on whether the temporary differences are subject to federal taxes, state taxes, or both.</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w w:val="87"/>
              </w:rPr>
              <w:t>September 30,</w:t>
            </w:r>
          </w:p>
        </w:tc>
        <w:tc>
          <w:tcPr>
            <w:tcW w:w="28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70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5"/>
                <w:szCs w:val="15"/>
                <w:b w:val="1"/>
                <w:bCs w:val="1"/>
                <w:color w:val="auto"/>
              </w:rPr>
              <w:t>2016</w:t>
            </w: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6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carryovers (1)</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131,626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150,492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Claims reserve discount</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391,649</w:t>
            </w:r>
          </w:p>
        </w:tc>
        <w:tc>
          <w:tcPr>
            <w:tcW w:w="28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405,709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premium</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2,861,352</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2,555,012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Deferred ceding commission revenue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2,261,970</w:t>
            </w:r>
          </w:p>
        </w:tc>
        <w:tc>
          <w:tcPr>
            <w:tcW w:w="28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2,187,923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124,786</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151,250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5,771,383</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5,450,386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60"/>
              <w:spacing w:after="0"/>
              <w:rPr>
                <w:sz w:val="20"/>
                <w:szCs w:val="20"/>
                <w:color w:val="auto"/>
              </w:rPr>
            </w:pPr>
            <w:r>
              <w:rPr>
                <w:rFonts w:ascii="Arial" w:cs="Arial" w:eastAsia="Arial" w:hAnsi="Arial"/>
                <w:sz w:val="18"/>
                <w:szCs w:val="18"/>
                <w:color w:val="auto"/>
              </w:rPr>
              <w:t>Deferred tax liability:</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KICO (2)</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1,169,000</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1,169,000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Deferred acquisition costs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4,091,018</w:t>
            </w:r>
          </w:p>
        </w:tc>
        <w:tc>
          <w:tcPr>
            <w:tcW w:w="28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3,684,004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487,900</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597,657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254,551</w:t>
            </w:r>
          </w:p>
        </w:tc>
        <w:tc>
          <w:tcPr>
            <w:tcW w:w="28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415,938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unrealized appreciation of securities - available for sale</w:t>
            </w: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884,826</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255,977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6,887,295</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6,122,576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60"/>
              <w:spacing w:after="0"/>
              <w:rPr>
                <w:sz w:val="20"/>
                <w:szCs w:val="20"/>
                <w:color w:val="auto"/>
              </w:rPr>
            </w:pPr>
            <w:r>
              <w:rPr>
                <w:rFonts w:ascii="Arial" w:cs="Arial" w:eastAsia="Arial" w:hAnsi="Arial"/>
                <w:sz w:val="18"/>
                <w:szCs w:val="18"/>
                <w:color w:val="auto"/>
              </w:rPr>
              <w:t>Net deferred income tax liability</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(1,115,912)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(672,190)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_____________________________</w:t>
            </w: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7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7080" w:type="dxa"/>
            <w:vAlign w:val="bottom"/>
          </w:tcPr>
          <w:p>
            <w:pPr>
              <w:ind w:left="680"/>
              <w:spacing w:after="0"/>
              <w:rPr>
                <w:sz w:val="20"/>
                <w:szCs w:val="20"/>
                <w:color w:val="auto"/>
              </w:rPr>
            </w:pPr>
            <w:r>
              <w:rPr>
                <w:rFonts w:ascii="Arial" w:cs="Arial" w:eastAsia="Arial" w:hAnsi="Arial"/>
                <w:sz w:val="18"/>
                <w:szCs w:val="18"/>
                <w:color w:val="auto"/>
                <w:w w:val="93"/>
              </w:rPr>
              <w:t>(1) The deferred tax assets from net operating loss carryovers (“NOL”) are as follows: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176"/>
              <w:spacing w:after="0"/>
              <w:rPr>
                <w:sz w:val="20"/>
                <w:szCs w:val="20"/>
                <w:color w:val="auto"/>
              </w:rPr>
            </w:pPr>
            <w:r>
              <w:rPr>
                <w:rFonts w:ascii="Arial" w:cs="Arial" w:eastAsia="Arial" w:hAnsi="Arial"/>
                <w:sz w:val="15"/>
                <w:szCs w:val="15"/>
                <w:b w:val="1"/>
                <w:bCs w:val="1"/>
                <w:color w:val="auto"/>
                <w:w w:val="87"/>
              </w:rPr>
              <w:t>September 30,</w:t>
            </w:r>
          </w:p>
        </w:tc>
        <w:tc>
          <w:tcPr>
            <w:tcW w:w="200" w:type="dxa"/>
            <w:vAlign w:val="bottom"/>
          </w:tcPr>
          <w:p>
            <w:pPr>
              <w:spacing w:after="0"/>
              <w:rPr>
                <w:sz w:val="24"/>
                <w:szCs w:val="24"/>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5"/>
                <w:szCs w:val="15"/>
                <w:b w:val="1"/>
                <w:bCs w:val="1"/>
                <w:color w:val="auto"/>
                <w:w w:val="90"/>
              </w:rPr>
              <w:t>December 31,</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080" w:type="dxa"/>
            <w:vAlign w:val="bottom"/>
          </w:tcPr>
          <w:p>
            <w:pPr>
              <w:ind w:left="3140"/>
              <w:spacing w:after="0"/>
              <w:rPr>
                <w:sz w:val="20"/>
                <w:szCs w:val="20"/>
                <w:color w:val="auto"/>
              </w:rPr>
            </w:pPr>
            <w:r>
              <w:rPr>
                <w:rFonts w:ascii="Arial" w:cs="Arial" w:eastAsia="Arial" w:hAnsi="Arial"/>
                <w:sz w:val="15"/>
                <w:szCs w:val="15"/>
                <w:b w:val="1"/>
                <w:bCs w:val="1"/>
                <w:color w:val="auto"/>
              </w:rPr>
              <w:t>Type of NOL</w:t>
            </w:r>
          </w:p>
        </w:tc>
        <w:tc>
          <w:tcPr>
            <w:tcW w:w="240" w:type="dxa"/>
            <w:vAlign w:val="bottom"/>
          </w:tcPr>
          <w:p>
            <w:pPr>
              <w:spacing w:after="0"/>
              <w:rPr>
                <w:sz w:val="15"/>
                <w:szCs w:val="15"/>
                <w:color w:val="auto"/>
              </w:rPr>
            </w:pPr>
          </w:p>
        </w:tc>
        <w:tc>
          <w:tcPr>
            <w:tcW w:w="1180" w:type="dxa"/>
            <w:vAlign w:val="bottom"/>
          </w:tcPr>
          <w:p>
            <w:pPr>
              <w:jc w:val="right"/>
              <w:ind w:right="476"/>
              <w:spacing w:after="0"/>
              <w:rPr>
                <w:sz w:val="20"/>
                <w:szCs w:val="20"/>
                <w:color w:val="auto"/>
              </w:rPr>
            </w:pPr>
            <w:r>
              <w:rPr>
                <w:rFonts w:ascii="Arial" w:cs="Arial" w:eastAsia="Arial" w:hAnsi="Arial"/>
                <w:sz w:val="15"/>
                <w:szCs w:val="15"/>
                <w:b w:val="1"/>
                <w:bCs w:val="1"/>
                <w:color w:val="auto"/>
              </w:rPr>
              <w:t>2016</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414"/>
              <w:spacing w:after="0"/>
              <w:rPr>
                <w:sz w:val="20"/>
                <w:szCs w:val="20"/>
                <w:color w:val="auto"/>
              </w:rPr>
            </w:pPr>
            <w:r>
              <w:rPr>
                <w:rFonts w:ascii="Arial" w:cs="Arial" w:eastAsia="Arial" w:hAnsi="Arial"/>
                <w:sz w:val="15"/>
                <w:szCs w:val="15"/>
                <w:b w:val="1"/>
                <w:bCs w:val="1"/>
                <w:color w:val="auto"/>
              </w:rPr>
              <w:t>2015</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5"/>
                <w:szCs w:val="15"/>
                <w:b w:val="1"/>
                <w:bCs w:val="1"/>
                <w:color w:val="auto"/>
              </w:rPr>
              <w:t>Expiration</w:t>
            </w:r>
          </w:p>
        </w:tc>
        <w:tc>
          <w:tcPr>
            <w:tcW w:w="0" w:type="dxa"/>
            <w:vAlign w:val="bottom"/>
          </w:tcPr>
          <w:p>
            <w:pPr>
              <w:spacing w:after="0"/>
              <w:rPr>
                <w:sz w:val="1"/>
                <w:szCs w:val="1"/>
                <w:color w:val="auto"/>
              </w:rPr>
            </w:pPr>
          </w:p>
        </w:tc>
      </w:tr>
      <w:tr>
        <w:trPr>
          <w:trHeight w:val="216"/>
        </w:trPr>
        <w:tc>
          <w:tcPr>
            <w:tcW w:w="70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State only (A)</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616,366</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540,865</w:t>
            </w: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December 31, 2036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(494,940)</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(403,973)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State only, net of valuation allowance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121,426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136,892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Amount subject to Annual Limitation, federal only (B)</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10,200</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13,600</w:t>
            </w:r>
          </w:p>
        </w:tc>
        <w:tc>
          <w:tcPr>
            <w:tcW w:w="1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w w:val="88"/>
              </w:rPr>
              <w:t>December 31, 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 from net operating loss carryovers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131,626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150,492</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8"/>
        <w:spacing w:after="0" w:line="294" w:lineRule="auto"/>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Kingstone generates operating losses for state purposes and has prior year NOLs available. The state NOL as of September 30, 2016 and December 31, 2015 was approximately $9,483,000 and $8,321,000, respectively. KICO, the Company’s insurance underwriting subsidiary, is not subject to state income taxes. KICO’s state tax obligations are paid through a gross premiums tax, which is included in the condensed consolidated statements of income and comprehensive income within other underwriting expenses. A valuation allowance has been recorded due to the uncertainty of generating enough state taxable income to utilize 100% of the available state NOLs over their remaining lives, which expire between 2027 and 2036.</w:t>
      </w:r>
    </w:p>
    <w:p>
      <w:pPr>
        <w:spacing w:after="0" w:line="196" w:lineRule="exact"/>
        <w:rPr>
          <w:rFonts w:ascii="Arial" w:cs="Arial" w:eastAsia="Arial" w:hAnsi="Arial"/>
          <w:sz w:val="16"/>
          <w:szCs w:val="16"/>
          <w:color w:val="auto"/>
        </w:rPr>
      </w:pPr>
    </w:p>
    <w:p>
      <w:pPr>
        <w:jc w:val="both"/>
        <w:ind w:firstLine="8"/>
        <w:spacing w:after="0" w:line="259" w:lineRule="auto"/>
        <w:tabs>
          <w:tab w:leader="none" w:pos="28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an NOL of $30,000 that is subject to Internal Revenue Code Section 382, which places a limitation on the utilization of the federal NOL loss to approximately $10,000 per year (“Annual Limitation”) as a result of a greater than 50% ownership change of the Company in 1999. The losses subject to the Annual Limitation will be available for future years, expiring through December 31, 2019.</w:t>
      </w:r>
    </w:p>
    <w:p>
      <w:pPr>
        <w:spacing w:after="0" w:line="221" w:lineRule="exact"/>
        <w:rPr>
          <w:rFonts w:ascii="Arial" w:cs="Arial" w:eastAsia="Arial" w:hAnsi="Arial"/>
          <w:sz w:val="18"/>
          <w:szCs w:val="18"/>
          <w:color w:val="auto"/>
        </w:rPr>
      </w:pPr>
    </w:p>
    <w:p>
      <w:pPr>
        <w:ind w:left="980" w:hanging="292"/>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Deferred tax liability – investment in KICO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31" w:name="page32"/>
    <w:bookmarkEnd w:id="31"/>
    <w:p>
      <w:pPr>
        <w:jc w:val="both"/>
        <w:spacing w:after="0" w:line="289" w:lineRule="auto"/>
        <w:rPr>
          <w:sz w:val="20"/>
          <w:szCs w:val="20"/>
          <w:color w:val="auto"/>
        </w:rPr>
      </w:pPr>
      <w:r>
        <w:rPr>
          <w:rFonts w:ascii="Arial" w:cs="Arial" w:eastAsia="Arial" w:hAnsi="Arial"/>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Company is required to maintain its deferred tax liability of $1,169,000 related to this temporary difference until the stock of KICO is sold, or the assets of KICO are sold or KICO and the parent are merged.</w:t>
      </w:r>
    </w:p>
    <w:p>
      <w:pPr>
        <w:spacing w:after="0" w:line="199"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had no material unrecognized tax benefit and no adjustments to liabilities or operations were required. There were no interest or penalties related to income taxes that have been accrued or recognized as of and for the nine months ended September 30, 2016 and 2015. If any had been recognized these would have been reported in income tax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tax returns for years ended December 31, 2013 through 2015 are subject to examination, generally for three years after filing.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Common Share</w:t>
      </w:r>
    </w:p>
    <w:p>
      <w:pPr>
        <w:spacing w:after="0" w:line="2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net earnings per common share is computed by dividing income available to common shareholders by the weighted-average number of common shares outstanding. Diluted earnings per common share reflect, in periods in which they have a dilutive effect, the impact of common shares issuable upon exercise of stock options. The computation of diluted earnings per common share excludes those options with an exercise price in excess of the average market price of the Company’s common shares during the periods presented.</w:t>
      </w:r>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three months ended September 30, 2016 and 2015, the inclusion of 27,500 and 50,000 options, respectively, in the computation of diluted earnings per common share would have been anti-dilutive for the periods and, as a result, the weighted average number of common shares used in the calculation of diluted earnings per common share has not been adjusted for the effect of such options. The computation of diluted earnings per common share excludes outstanding options in periods where the exercise of such options would be anti-dilutive. For the nine months ended September 30, 2016 and 2015, the inclusion of 22,664 and 50,000 options, respectively, in the computation of diluted earnings per common share would have been anti-dilutive for the periods and, as a result, the weighted average number of common shares used in the calculation of diluted earnings per common share has not been adjusted for the effect of such options.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The reconciliation of the weighted average number of common shares used in the calculation of basic and diluted earnings per common share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920" w:type="dxa"/>
            <w:vAlign w:val="bottom"/>
            <w:gridSpan w:val="2"/>
          </w:tcPr>
          <w:p>
            <w:pPr>
              <w:jc w:val="right"/>
              <w:ind w:right="816"/>
              <w:spacing w:after="0"/>
              <w:rPr>
                <w:sz w:val="20"/>
                <w:szCs w:val="20"/>
                <w:color w:val="auto"/>
              </w:rPr>
            </w:pPr>
            <w:r>
              <w:rPr>
                <w:rFonts w:ascii="Arial" w:cs="Arial" w:eastAsia="Arial" w:hAnsi="Arial"/>
                <w:sz w:val="15"/>
                <w:szCs w:val="15"/>
                <w:b w:val="1"/>
                <w:bCs w:val="1"/>
                <w:color w:val="auto"/>
              </w:rPr>
              <w:t>Three months ended</w:t>
            </w:r>
          </w:p>
        </w:tc>
        <w:tc>
          <w:tcPr>
            <w:tcW w:w="2540" w:type="dxa"/>
            <w:vAlign w:val="bottom"/>
            <w:gridSpan w:val="2"/>
          </w:tcPr>
          <w:p>
            <w:pPr>
              <w:jc w:val="right"/>
              <w:ind w:right="656"/>
              <w:spacing w:after="0"/>
              <w:rPr>
                <w:sz w:val="20"/>
                <w:szCs w:val="20"/>
                <w:color w:val="auto"/>
              </w:rPr>
            </w:pPr>
            <w:r>
              <w:rPr>
                <w:rFonts w:ascii="Arial" w:cs="Arial" w:eastAsia="Arial" w:hAnsi="Arial"/>
                <w:sz w:val="15"/>
                <w:szCs w:val="15"/>
                <w:b w:val="1"/>
                <w:bCs w:val="1"/>
                <w:color w:val="auto"/>
              </w:rPr>
              <w:t>Nine months ended</w:t>
            </w:r>
          </w:p>
        </w:tc>
      </w:tr>
      <w:tr>
        <w:trPr>
          <w:trHeight w:val="206"/>
        </w:trPr>
        <w:tc>
          <w:tcPr>
            <w:tcW w:w="5960" w:type="dxa"/>
            <w:vAlign w:val="bottom"/>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September 30,</w:t>
            </w:r>
          </w:p>
        </w:tc>
        <w:tc>
          <w:tcPr>
            <w:tcW w:w="10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223"/>
        </w:trPr>
        <w:tc>
          <w:tcPr>
            <w:tcW w:w="5960" w:type="dxa"/>
            <w:vAlign w:val="bottom"/>
          </w:tcPr>
          <w:p>
            <w:pPr>
              <w:spacing w:after="0"/>
              <w:rPr>
                <w:sz w:val="19"/>
                <w:szCs w:val="19"/>
                <w:color w:val="auto"/>
              </w:rPr>
            </w:pPr>
          </w:p>
        </w:tc>
        <w:tc>
          <w:tcPr>
            <w:tcW w:w="1860" w:type="dxa"/>
            <w:vAlign w:val="bottom"/>
            <w:tcBorders>
              <w:bottom w:val="single" w:sz="8" w:color="auto"/>
            </w:tcBorders>
          </w:tcPr>
          <w:p>
            <w:pPr>
              <w:jc w:val="right"/>
              <w:ind w:right="939"/>
              <w:spacing w:after="0"/>
              <w:rPr>
                <w:sz w:val="20"/>
                <w:szCs w:val="20"/>
                <w:color w:val="auto"/>
              </w:rPr>
            </w:pPr>
            <w:r>
              <w:rPr>
                <w:rFonts w:ascii="Arial" w:cs="Arial" w:eastAsia="Arial" w:hAnsi="Arial"/>
                <w:sz w:val="15"/>
                <w:szCs w:val="15"/>
                <w:b w:val="1"/>
                <w:bCs w:val="1"/>
                <w:color w:val="auto"/>
              </w:rPr>
              <w:t>2016</w:t>
            </w:r>
          </w:p>
        </w:tc>
        <w:tc>
          <w:tcPr>
            <w:tcW w:w="1060" w:type="dxa"/>
            <w:vAlign w:val="bottom"/>
            <w:tcBorders>
              <w:bottom w:val="single" w:sz="8" w:color="auto"/>
            </w:tcBorders>
          </w:tcPr>
          <w:p>
            <w:pPr>
              <w:jc w:val="right"/>
              <w:ind w:right="616"/>
              <w:spacing w:after="0"/>
              <w:rPr>
                <w:sz w:val="20"/>
                <w:szCs w:val="20"/>
                <w:color w:val="auto"/>
              </w:rPr>
            </w:pPr>
            <w:r>
              <w:rPr>
                <w:rFonts w:ascii="Arial" w:cs="Arial" w:eastAsia="Arial" w:hAnsi="Arial"/>
                <w:sz w:val="15"/>
                <w:szCs w:val="15"/>
                <w:b w:val="1"/>
                <w:bCs w:val="1"/>
                <w:color w:val="auto"/>
              </w:rPr>
              <w:t>2015</w:t>
            </w:r>
          </w:p>
        </w:tc>
        <w:tc>
          <w:tcPr>
            <w:tcW w:w="1680" w:type="dxa"/>
            <w:vAlign w:val="bottom"/>
            <w:tcBorders>
              <w:bottom w:val="single" w:sz="8" w:color="auto"/>
            </w:tcBorders>
          </w:tcPr>
          <w:p>
            <w:pPr>
              <w:jc w:val="right"/>
              <w:ind w:right="939"/>
              <w:spacing w:after="0"/>
              <w:rPr>
                <w:sz w:val="20"/>
                <w:szCs w:val="20"/>
                <w:color w:val="auto"/>
              </w:rPr>
            </w:pPr>
            <w:r>
              <w:rPr>
                <w:rFonts w:ascii="Arial" w:cs="Arial" w:eastAsia="Arial" w:hAnsi="Arial"/>
                <w:sz w:val="15"/>
                <w:szCs w:val="15"/>
                <w:b w:val="1"/>
                <w:bCs w:val="1"/>
                <w:color w:val="auto"/>
              </w:rPr>
              <w:t>2016</w:t>
            </w:r>
          </w:p>
        </w:tc>
        <w:tc>
          <w:tcPr>
            <w:tcW w:w="86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w w:val="95"/>
              </w:rPr>
              <w:t>2015</w:t>
            </w:r>
          </w:p>
        </w:tc>
      </w:tr>
      <w:tr>
        <w:trPr>
          <w:trHeight w:val="216"/>
        </w:trPr>
        <w:tc>
          <w:tcPr>
            <w:tcW w:w="5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w:t>
            </w:r>
          </w:p>
        </w:tc>
        <w:tc>
          <w:tcPr>
            <w:tcW w:w="1860" w:type="dxa"/>
            <w:vAlign w:val="bottom"/>
          </w:tcPr>
          <w:p>
            <w:pPr>
              <w:jc w:val="right"/>
              <w:ind w:right="559"/>
              <w:spacing w:after="0"/>
              <w:rPr>
                <w:sz w:val="20"/>
                <w:szCs w:val="20"/>
                <w:color w:val="auto"/>
              </w:rPr>
            </w:pPr>
            <w:r>
              <w:rPr>
                <w:rFonts w:ascii="Arial" w:cs="Arial" w:eastAsia="Arial" w:hAnsi="Arial"/>
                <w:sz w:val="18"/>
                <w:szCs w:val="18"/>
                <w:color w:val="auto"/>
              </w:rPr>
              <w:t>7,911,353</w:t>
            </w:r>
          </w:p>
        </w:tc>
        <w:tc>
          <w:tcPr>
            <w:tcW w:w="1060" w:type="dxa"/>
            <w:vAlign w:val="bottom"/>
          </w:tcPr>
          <w:p>
            <w:pPr>
              <w:jc w:val="right"/>
              <w:ind w:right="236"/>
              <w:spacing w:after="0"/>
              <w:rPr>
                <w:sz w:val="20"/>
                <w:szCs w:val="20"/>
                <w:color w:val="auto"/>
              </w:rPr>
            </w:pPr>
            <w:r>
              <w:rPr>
                <w:rFonts w:ascii="Arial" w:cs="Arial" w:eastAsia="Arial" w:hAnsi="Arial"/>
                <w:sz w:val="18"/>
                <w:szCs w:val="18"/>
                <w:color w:val="auto"/>
                <w:w w:val="89"/>
              </w:rPr>
              <w:t>7,334,269</w:t>
            </w:r>
          </w:p>
        </w:tc>
        <w:tc>
          <w:tcPr>
            <w:tcW w:w="1680" w:type="dxa"/>
            <w:vAlign w:val="bottom"/>
          </w:tcPr>
          <w:p>
            <w:pPr>
              <w:jc w:val="right"/>
              <w:ind w:right="559"/>
              <w:spacing w:after="0"/>
              <w:rPr>
                <w:sz w:val="20"/>
                <w:szCs w:val="20"/>
                <w:color w:val="auto"/>
              </w:rPr>
            </w:pPr>
            <w:r>
              <w:rPr>
                <w:rFonts w:ascii="Arial" w:cs="Arial" w:eastAsia="Arial" w:hAnsi="Arial"/>
                <w:sz w:val="18"/>
                <w:szCs w:val="18"/>
                <w:color w:val="auto"/>
              </w:rPr>
              <w:t>7,676,887</w:t>
            </w:r>
          </w:p>
        </w:tc>
        <w:tc>
          <w:tcPr>
            <w:tcW w:w="860" w:type="dxa"/>
            <w:vAlign w:val="bottom"/>
          </w:tcPr>
          <w:p>
            <w:pPr>
              <w:jc w:val="right"/>
              <w:ind w:right="56"/>
              <w:spacing w:after="0"/>
              <w:rPr>
                <w:sz w:val="20"/>
                <w:szCs w:val="20"/>
                <w:color w:val="auto"/>
              </w:rPr>
            </w:pPr>
            <w:r>
              <w:rPr>
                <w:rFonts w:ascii="Arial" w:cs="Arial" w:eastAsia="Arial" w:hAnsi="Arial"/>
                <w:sz w:val="18"/>
                <w:szCs w:val="18"/>
                <w:color w:val="auto"/>
                <w:w w:val="87"/>
              </w:rPr>
              <w:t>7,330,178</w:t>
            </w:r>
          </w:p>
        </w:tc>
      </w:tr>
      <w:tr>
        <w:trPr>
          <w:trHeight w:val="223"/>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Effect of dilutive securities, common share equivalents</w:t>
            </w:r>
          </w:p>
        </w:tc>
        <w:tc>
          <w:tcPr>
            <w:tcW w:w="18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rPr>
              <w:t>61,572</w:t>
            </w:r>
          </w:p>
        </w:tc>
        <w:tc>
          <w:tcPr>
            <w:tcW w:w="10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47,357</w:t>
            </w:r>
          </w:p>
        </w:tc>
        <w:tc>
          <w:tcPr>
            <w:tcW w:w="168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rPr>
              <w:t>52,825</w:t>
            </w:r>
          </w:p>
        </w:tc>
        <w:tc>
          <w:tcPr>
            <w:tcW w:w="8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37,536</w:t>
            </w:r>
          </w:p>
        </w:tc>
      </w:tr>
      <w:tr>
        <w:trPr>
          <w:trHeight w:val="216"/>
        </w:trPr>
        <w:tc>
          <w:tcPr>
            <w:tcW w:w="5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w:t>
            </w:r>
          </w:p>
        </w:tc>
        <w:tc>
          <w:tcPr>
            <w:tcW w:w="1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used for computing diluted earnings per share</w:t>
            </w:r>
          </w:p>
        </w:tc>
        <w:tc>
          <w:tcPr>
            <w:tcW w:w="1860" w:type="dxa"/>
            <w:vAlign w:val="bottom"/>
            <w:tcBorders>
              <w:bottom w:val="single" w:sz="8" w:color="auto"/>
            </w:tcBorders>
          </w:tcPr>
          <w:p>
            <w:pPr>
              <w:jc w:val="right"/>
              <w:ind w:right="559"/>
              <w:spacing w:after="0"/>
              <w:rPr>
                <w:sz w:val="20"/>
                <w:szCs w:val="20"/>
                <w:color w:val="auto"/>
              </w:rPr>
            </w:pPr>
            <w:r>
              <w:rPr>
                <w:rFonts w:ascii="Arial" w:cs="Arial" w:eastAsia="Arial" w:hAnsi="Arial"/>
                <w:sz w:val="18"/>
                <w:szCs w:val="18"/>
                <w:color w:val="auto"/>
              </w:rPr>
              <w:t>7,972,925</w:t>
            </w:r>
          </w:p>
        </w:tc>
        <w:tc>
          <w:tcPr>
            <w:tcW w:w="106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89"/>
              </w:rPr>
              <w:t>7,381,626</w:t>
            </w:r>
          </w:p>
        </w:tc>
        <w:tc>
          <w:tcPr>
            <w:tcW w:w="1680" w:type="dxa"/>
            <w:vAlign w:val="bottom"/>
            <w:tcBorders>
              <w:bottom w:val="single" w:sz="8" w:color="auto"/>
            </w:tcBorders>
          </w:tcPr>
          <w:p>
            <w:pPr>
              <w:jc w:val="right"/>
              <w:ind w:right="559"/>
              <w:spacing w:after="0"/>
              <w:rPr>
                <w:sz w:val="20"/>
                <w:szCs w:val="20"/>
                <w:color w:val="auto"/>
              </w:rPr>
            </w:pPr>
            <w:r>
              <w:rPr>
                <w:rFonts w:ascii="Arial" w:cs="Arial" w:eastAsia="Arial" w:hAnsi="Arial"/>
                <w:sz w:val="18"/>
                <w:szCs w:val="18"/>
                <w:color w:val="auto"/>
              </w:rPr>
              <w:t>7,729,712</w:t>
            </w: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87"/>
              </w:rPr>
              <w:t>7,367,714</w:t>
            </w:r>
          </w:p>
        </w:tc>
      </w:tr>
      <w:tr>
        <w:trPr>
          <w:trHeight w:val="21"/>
        </w:trPr>
        <w:tc>
          <w:tcPr>
            <w:tcW w:w="59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5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From time to time, the Company is involved in various legal proceedings in the ordinary course of business. For example, to the extent a claim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 The Company is not subject to any other pending legal proceedings that management believes are likely to have a material adverse effect on the condensed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Lease</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June 2016, the Company entered into a lease modification agreement for its office facility for KICO located in Valley Stream, NY under a non-cancelable operating lease dated March 27, 2015. The original lease had a term of seven years and nine months. The lease modification increased the space occupied by KICO and extended the lease term to seven years and nine months to be measured from the additional premises commencement date. The additional premises commencement date was September 19, 2016, and additional rent will be payable beginning March 19, 2017. The original lease commencement date was July 1, 2015 and rent commencement began January 1, 2016.</w:t>
      </w:r>
    </w:p>
    <w:p>
      <w:pPr>
        <w:spacing w:after="0" w:line="22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to the base rental costs, occupancy lease agreements generally provide for rent escalations resulting from increased assessments from real estate taxes and other charges. Rent expense under the lease will be recognized on a straight-line basis over the lease term. At September 30, 2016, cumulative rent expense exceeded cumulative rent payments by $55,067. This difference is recorded as deferred rent and is included in accounts payable, accrued expenses and other liabilities in the accompanying condensed consolidated balance sheets.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2"/>
        </w:trPr>
        <w:tc>
          <w:tcPr>
            <w:tcW w:w="10060" w:type="dxa"/>
            <w:vAlign w:val="bottom"/>
            <w:gridSpan w:val="2"/>
          </w:tcPr>
          <w:p>
            <w:pPr>
              <w:spacing w:after="0"/>
              <w:rPr>
                <w:sz w:val="20"/>
                <w:szCs w:val="20"/>
                <w:color w:val="auto"/>
              </w:rPr>
            </w:pPr>
            <w:r>
              <w:rPr>
                <w:rFonts w:ascii="Arial" w:cs="Arial" w:eastAsia="Arial" w:hAnsi="Arial"/>
                <w:sz w:val="18"/>
                <w:szCs w:val="18"/>
                <w:color w:val="auto"/>
                <w:w w:val="91"/>
              </w:rPr>
              <w:t>As of September 30, 2016, aggregate future minimum rental commitments under the Company’s modified lease agreement are as follows:</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20"/>
        </w:trPr>
        <w:tc>
          <w:tcPr>
            <w:tcW w:w="20" w:type="dxa"/>
            <w:vAlign w:val="bottom"/>
          </w:tcPr>
          <w:p>
            <w:pPr>
              <w:spacing w:after="0"/>
              <w:rPr>
                <w:sz w:val="24"/>
                <w:szCs w:val="24"/>
                <w:color w:val="auto"/>
              </w:rPr>
            </w:pPr>
          </w:p>
        </w:tc>
        <w:tc>
          <w:tcPr>
            <w:tcW w:w="10040" w:type="dxa"/>
            <w:vAlign w:val="bottom"/>
          </w:tcPr>
          <w:p>
            <w:pPr>
              <w:jc w:val="center"/>
              <w:spacing w:after="0"/>
              <w:rPr>
                <w:sz w:val="20"/>
                <w:szCs w:val="20"/>
                <w:color w:val="auto"/>
              </w:rPr>
            </w:pPr>
            <w:r>
              <w:rPr>
                <w:rFonts w:ascii="Arial" w:cs="Arial" w:eastAsia="Arial" w:hAnsi="Arial"/>
                <w:sz w:val="18"/>
                <w:szCs w:val="18"/>
                <w:b w:val="1"/>
                <w:bCs w:val="1"/>
                <w:color w:val="auto"/>
                <w:w w:val="89"/>
              </w:rPr>
              <w:t>For the Year</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040" w:type="dxa"/>
            <w:vAlign w:val="bottom"/>
          </w:tcPr>
          <w:p>
            <w:pPr>
              <w:jc w:val="center"/>
              <w:spacing w:after="0"/>
              <w:rPr>
                <w:sz w:val="20"/>
                <w:szCs w:val="20"/>
                <w:color w:val="auto"/>
              </w:rPr>
            </w:pPr>
            <w:r>
              <w:rPr>
                <w:rFonts w:ascii="Arial" w:cs="Arial" w:eastAsia="Arial" w:hAnsi="Arial"/>
                <w:sz w:val="18"/>
                <w:szCs w:val="18"/>
                <w:b w:val="1"/>
                <w:bCs w:val="1"/>
                <w:color w:val="auto"/>
                <w:w w:val="88"/>
              </w:rPr>
              <w:t>Ending</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0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2016 (three months)</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25,188</w:t>
            </w: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146,008</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164,117</w:t>
            </w: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169,861</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175,806</w:t>
            </w:r>
          </w:p>
        </w:tc>
      </w:tr>
      <w:tr>
        <w:trPr>
          <w:trHeight w:val="223"/>
        </w:trPr>
        <w:tc>
          <w:tcPr>
            <w:tcW w:w="20" w:type="dxa"/>
            <w:vAlign w:val="bottom"/>
          </w:tcPr>
          <w:p>
            <w:pPr>
              <w:spacing w:after="0"/>
              <w:rPr>
                <w:sz w:val="19"/>
                <w:szCs w:val="19"/>
                <w:color w:val="auto"/>
              </w:rPr>
            </w:pPr>
          </w:p>
        </w:tc>
        <w:tc>
          <w:tcPr>
            <w:tcW w:w="10040" w:type="dxa"/>
            <w:vAlign w:val="bottom"/>
          </w:tcPr>
          <w:p>
            <w:pPr>
              <w:ind w:left="20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614,351</w:t>
            </w:r>
          </w:p>
        </w:tc>
      </w:tr>
      <w:tr>
        <w:trPr>
          <w:trHeight w:val="257"/>
        </w:trPr>
        <w:tc>
          <w:tcPr>
            <w:tcW w:w="20" w:type="dxa"/>
            <w:vAlign w:val="bottom"/>
          </w:tcPr>
          <w:p>
            <w:pPr>
              <w:spacing w:after="0"/>
              <w:rPr>
                <w:sz w:val="22"/>
                <w:szCs w:val="22"/>
                <w:color w:val="auto"/>
              </w:rPr>
            </w:pPr>
          </w:p>
        </w:tc>
        <w:tc>
          <w:tcPr>
            <w:tcW w:w="10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1,295,331</w:t>
            </w:r>
          </w:p>
        </w:tc>
      </w:tr>
    </w:tbl>
    <w:p>
      <w:pPr>
        <w:spacing w:after="0" w:line="23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Rent expense for the three months and nine months ended September 30, 2016 amounted to $26,126 and $78,377, respectively, and is included in the condensed consolidated statements of income and comprehensive income within other underwriting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Premium Finance Placement Fees</w:t>
      </w:r>
    </w:p>
    <w:p>
      <w:pPr>
        <w:spacing w:after="0" w:line="25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Company’s wholly owned subsidiary, Payments Inc. (“Payments”), is licensed as a premium finance agency in the state of New York. Prior to February 1, 2008, Payments provided premium financing in connection with the obtaining of insurance policies. Effective February 1, 2008, Payments sold its outstanding premium finance loan portfolio. The purchaser of the portfolio (the “Purchaser”) agreed that, during the five year period ended February 1, 2013 (which period was extended to February 1, 2015), it would purchase, assume and service all eligible premium finance contracts originated by Payments in the state of New York (the “Agreement”). In connection with such purchases, Payments was entitled to receive a fee generally equal to a percentage of the amount financed.</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July 2014, the Purchaser terminated the Agreement effective February 1, 2015. Following any expiration or termination of the obligation of the Purchaser to purchase premium finance contracts, Payments was entitled to receive the fees for an additional two years (“Termination Period”) with regard to contracts for policies from the Company’s producers. On March 26, 2015, the Company and the Purchaser agreed to amend the Termination Period to end as of March 31, 2015. The Company received a one-time payment of $350,000 in exchange for the fees that the Company would have received during the Termination Period. The Company’s premium financing business consisted of the placement fees that Payments earned from placing contracts.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34" w:name="page35"/>
    <w:bookmarkEnd w:id="34"/>
    <w:p>
      <w:pPr>
        <w:spacing w:after="0" w:line="268" w:lineRule="auto"/>
        <w:rPr>
          <w:sz w:val="20"/>
          <w:szCs w:val="20"/>
          <w:color w:val="auto"/>
        </w:rPr>
      </w:pPr>
      <w:r>
        <w:rPr>
          <w:rFonts w:ascii="Arial" w:cs="Arial" w:eastAsia="Arial" w:hAnsi="Arial"/>
          <w:sz w:val="18"/>
          <w:szCs w:val="18"/>
          <w:color w:val="auto"/>
        </w:rPr>
        <w:t>Placement fee revenue included in other income and the related direct expenses included in other operating expenses in the condensed consolidated statements of net income and comprehensive income are as follows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420" w:type="dxa"/>
            <w:vAlign w:val="bottom"/>
            <w:gridSpan w:val="3"/>
          </w:tcPr>
          <w:p>
            <w:pPr>
              <w:jc w:val="right"/>
              <w:ind w:right="37"/>
              <w:spacing w:after="0"/>
              <w:rPr>
                <w:sz w:val="20"/>
                <w:szCs w:val="20"/>
                <w:color w:val="auto"/>
              </w:rPr>
            </w:pPr>
            <w:r>
              <w:rPr>
                <w:rFonts w:ascii="Arial" w:cs="Arial" w:eastAsia="Arial" w:hAnsi="Arial"/>
                <w:sz w:val="15"/>
                <w:szCs w:val="15"/>
                <w:b w:val="1"/>
                <w:bCs w:val="1"/>
                <w:color w:val="auto"/>
              </w:rPr>
              <w:t>For the Three Months Ended</w:t>
            </w:r>
          </w:p>
        </w:tc>
        <w:tc>
          <w:tcPr>
            <w:tcW w:w="320" w:type="dxa"/>
            <w:vAlign w:val="bottom"/>
          </w:tcPr>
          <w:p>
            <w:pPr>
              <w:spacing w:after="0"/>
              <w:rPr>
                <w:sz w:val="16"/>
                <w:szCs w:val="16"/>
                <w:color w:val="auto"/>
              </w:rPr>
            </w:pPr>
          </w:p>
        </w:tc>
        <w:tc>
          <w:tcPr>
            <w:tcW w:w="2720" w:type="dxa"/>
            <w:vAlign w:val="bottom"/>
            <w:gridSpan w:val="4"/>
          </w:tcPr>
          <w:p>
            <w:pPr>
              <w:jc w:val="right"/>
              <w:ind w:right="375"/>
              <w:spacing w:after="0"/>
              <w:rPr>
                <w:sz w:val="20"/>
                <w:szCs w:val="20"/>
                <w:color w:val="auto"/>
              </w:rPr>
            </w:pPr>
            <w:r>
              <w:rPr>
                <w:rFonts w:ascii="Arial" w:cs="Arial" w:eastAsia="Arial" w:hAnsi="Arial"/>
                <w:sz w:val="15"/>
                <w:szCs w:val="15"/>
                <w:b w:val="1"/>
                <w:bCs w:val="1"/>
                <w:color w:val="auto"/>
              </w:rPr>
              <w:t>For the Nine Months Ended</w:t>
            </w:r>
          </w:p>
        </w:tc>
      </w:tr>
      <w:tr>
        <w:trPr>
          <w:trHeight w:val="206"/>
        </w:trPr>
        <w:tc>
          <w:tcPr>
            <w:tcW w:w="59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577"/>
              <w:spacing w:after="0"/>
              <w:rPr>
                <w:sz w:val="20"/>
                <w:szCs w:val="20"/>
                <w:color w:val="auto"/>
              </w:rPr>
            </w:pPr>
            <w:r>
              <w:rPr>
                <w:rFonts w:ascii="Arial" w:cs="Arial" w:eastAsia="Arial" w:hAnsi="Arial"/>
                <w:sz w:val="15"/>
                <w:szCs w:val="15"/>
                <w:b w:val="1"/>
                <w:bCs w:val="1"/>
                <w:color w:val="auto"/>
                <w:w w:val="87"/>
              </w:rPr>
              <w:t>September 30,</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87"/>
              </w:rPr>
              <w:t>September 30,</w:t>
            </w:r>
          </w:p>
        </w:tc>
        <w:tc>
          <w:tcPr>
            <w:tcW w:w="880" w:type="dxa"/>
            <w:vAlign w:val="bottom"/>
            <w:tcBorders>
              <w:bottom w:val="single" w:sz="8" w:color="auto"/>
            </w:tcBorders>
          </w:tcPr>
          <w:p>
            <w:pPr>
              <w:spacing w:after="0"/>
              <w:rPr>
                <w:sz w:val="17"/>
                <w:szCs w:val="17"/>
                <w:color w:val="auto"/>
              </w:rPr>
            </w:pPr>
          </w:p>
        </w:tc>
      </w:tr>
      <w:tr>
        <w:trPr>
          <w:trHeight w:val="223"/>
        </w:trPr>
        <w:tc>
          <w:tcPr>
            <w:tcW w:w="59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2016</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5"/>
                <w:szCs w:val="15"/>
                <w:b w:val="1"/>
                <w:bCs w:val="1"/>
                <w:color w:val="auto"/>
              </w:rPr>
              <w:t>2015</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2016</w:t>
            </w: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2015</w:t>
            </w:r>
          </w:p>
        </w:tc>
      </w:tr>
      <w:tr>
        <w:trPr>
          <w:trHeight w:val="216"/>
        </w:trPr>
        <w:tc>
          <w:tcPr>
            <w:tcW w:w="5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Placement fee revenue</w:t>
            </w:r>
          </w:p>
        </w:tc>
        <w:tc>
          <w:tcPr>
            <w:tcW w:w="840" w:type="dxa"/>
            <w:vAlign w:val="bottom"/>
          </w:tcPr>
          <w:p>
            <w:pPr>
              <w:jc w:val="right"/>
              <w:ind w:right="539"/>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39"/>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54,343</w:t>
            </w: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Early termination fee</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350,000</w:t>
            </w:r>
          </w:p>
        </w:tc>
      </w:tr>
      <w:tr>
        <w:trPr>
          <w:trHeight w:val="223"/>
        </w:trPr>
        <w:tc>
          <w:tcPr>
            <w:tcW w:w="5960" w:type="dxa"/>
            <w:vAlign w:val="bottom"/>
          </w:tcPr>
          <w:p>
            <w:pPr>
              <w:ind w:left="60"/>
              <w:spacing w:after="0"/>
              <w:rPr>
                <w:sz w:val="20"/>
                <w:szCs w:val="20"/>
                <w:color w:val="auto"/>
              </w:rPr>
            </w:pPr>
            <w:r>
              <w:rPr>
                <w:rFonts w:ascii="Arial" w:cs="Arial" w:eastAsia="Arial" w:hAnsi="Arial"/>
                <w:sz w:val="18"/>
                <w:szCs w:val="18"/>
                <w:color w:val="auto"/>
              </w:rPr>
              <w:t>Direct expenses</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(12,989)</w:t>
            </w:r>
          </w:p>
        </w:tc>
      </w:tr>
      <w:tr>
        <w:trPr>
          <w:trHeight w:val="257"/>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income before taxes from placement fees</w:t>
            </w:r>
          </w:p>
        </w:tc>
        <w:tc>
          <w:tcPr>
            <w:tcW w:w="8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391,354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25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Company has evaluated events that occurred subsequent to September 30, 2016 through the date these condensed consolidated financial statements were issued for matters that required disclosure or adjustment in these condensed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 and Paid</w:t>
      </w:r>
    </w:p>
    <w:p>
      <w:pPr>
        <w:spacing w:after="0" w:line="252"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On November 9, 2016, the Company’s Board of Directors approved a quarterly dividend of $.0625 per share payable in cash on December 15, 2016 to stockholders of record as of November 30, 2016.</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ITEM 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MANAGEMENT’S DISCUSSION AND ANALYSIS OF FINANCIAL CONDITION AND RESULTS OF OPERATIONS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offer property and casualty insurance products to individuals and small businesses in New York State through our wholly owned subsidiary, Kingstone Insurance Company (“KICO”). KICO’s insureds are located primarily in downstate New York, consisting of New York City, Long Island and Westchester County. We are also licensed in the States of New Jersey, Connecticut, Pennsylvania, Rhode Island and Texas. In October 2016, we submitted a rate filing with the State of New Jersey, and anticipate writing business in early 2017.</w:t>
      </w:r>
    </w:p>
    <w:p>
      <w:pPr>
        <w:spacing w:after="0" w:line="2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for a one year period. Earned premiums represent premiums received from insureds, which are recognized as revenue over the period of time that insurance coverage is provided (i.e., ratably over the one year life of the policy). A significant period of time normally elapses between the receipt of insurance premiums and the payment of insurance claims. During this time, KICO invests the premiums, earns investment income and generates net realized and unrealized investment gains and losses on investments.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expenses include the insurance underwriting expenses of KICO and other operating expenses. Insurance companies incur a significant amount of their total expenses from losses incurred by policyholders, which are commonly referred to as claims. In settling these claims for losses, various loss adjustment expenses (“LAE”) are incurred such as insurance adjusters’ fees and litigation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224"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Other operating expenses include our corporate expenses as a holding company. These expenses include legal and auditing fees, executive employment costs, and other costs directly associated with being a public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Lines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 lines include the following:</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 xml:space="preserve">Personal lines: </w:t>
      </w:r>
      <w:r>
        <w:rPr>
          <w:rFonts w:ascii="Arial" w:cs="Arial" w:eastAsia="Arial" w:hAnsi="Arial"/>
          <w:sz w:val="18"/>
          <w:szCs w:val="18"/>
          <w:color w:val="auto"/>
        </w:rPr>
        <w:t>Our largest line of business is personal lines, consisting of homeowners, dwelling fire, 3-4 family dwelling package, cooperative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condominium, renters, equipment breakdown and service line endorsements, and personal umbrella policies.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6" w:name="page37"/>
    <w:bookmarkEnd w:id="36"/>
    <w:p>
      <w:pPr>
        <w:jc w:val="both"/>
        <w:ind w:firstLine="692"/>
        <w:spacing w:after="0" w:line="306" w:lineRule="auto"/>
        <w:rPr>
          <w:sz w:val="20"/>
          <w:szCs w:val="20"/>
          <w:color w:val="auto"/>
        </w:rPr>
      </w:pPr>
      <w:r>
        <w:rPr>
          <w:rFonts w:ascii="Arial" w:cs="Arial" w:eastAsia="Arial" w:hAnsi="Arial"/>
          <w:sz w:val="16"/>
          <w:szCs w:val="16"/>
          <w:b w:val="1"/>
          <w:bCs w:val="1"/>
          <w:i w:val="1"/>
          <w:iCs w:val="1"/>
          <w:color w:val="auto"/>
        </w:rPr>
        <w:t xml:space="preserve">Commercial liability: </w:t>
      </w:r>
      <w:r>
        <w:rPr>
          <w:rFonts w:ascii="Arial" w:cs="Arial" w:eastAsia="Arial" w:hAnsi="Arial"/>
          <w:sz w:val="16"/>
          <w:szCs w:val="16"/>
          <w:color w:val="auto"/>
        </w:rPr>
        <w:t>We offer business owners policies, which consist primarily of small business retail, service, and office risks without a residential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exposure. We also write artisan’s liability policies for small independent contractors with seven or fewer employees. In addition, we write special multi-peril policies for larger and more specialized business owners’ risks, including those with limited residential exposures.</w:t>
      </w:r>
    </w:p>
    <w:p>
      <w:pPr>
        <w:spacing w:after="0" w:line="18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i w:val="1"/>
          <w:iCs w:val="1"/>
          <w:color w:val="auto"/>
        </w:rPr>
        <w:t xml:space="preserve">Commercial automobile: </w:t>
      </w:r>
      <w:r>
        <w:rPr>
          <w:rFonts w:ascii="Arial" w:cs="Arial" w:eastAsia="Arial" w:hAnsi="Arial"/>
          <w:sz w:val="16"/>
          <w:szCs w:val="16"/>
          <w:color w:val="auto"/>
        </w:rPr>
        <w:t>Until recently we provided liability and physical damage coverage for light vehicles owned by small contractors and artisans.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However, due to the poor performance of this line, effective October 1, 2014, we decided to no longer accept new commercial auto policies. In February 2015, we decided to no longer offer renewals to our existing commercial auto policies beginning with those that expired on or after May 1, 2015. As of April 30, 2016 we have no commercial auto policies in force and the 41 open claims as of September 30, 2016 related to this product line will be run-off over time.</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 xml:space="preserve">Livery physical damage: </w:t>
      </w:r>
      <w:r>
        <w:rPr>
          <w:rFonts w:ascii="Arial" w:cs="Arial" w:eastAsia="Arial" w:hAnsi="Arial"/>
          <w:sz w:val="18"/>
          <w:szCs w:val="18"/>
          <w:color w:val="auto"/>
        </w:rPr>
        <w:t>We write for-hire vehicle physical damage only policies for livery and car service vehicles and taxicabs. These policies insure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the physical damage portion of insurance for such vehicles, with no liability coverage included.</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We write canine legal liability policies and also have a small participation in mandatory state joint underwriting associations.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utilize the following key measures in analyzing the results of our insurance underwriting business:</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 xml:space="preserve">Net loss ratio: </w:t>
      </w:r>
      <w:r>
        <w:rPr>
          <w:rFonts w:ascii="Arial" w:cs="Arial" w:eastAsia="Arial" w:hAnsi="Arial"/>
          <w:sz w:val="18"/>
          <w:szCs w:val="18"/>
          <w:color w:val="auto"/>
        </w:rPr>
        <w:t>The net loss ratio is a measure of the underwriting profitability of an insurance company’s business. Expressed as a percentage, this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ratio of net losses and loss adjustment expenses (“LAE”) incurred to net premiums earned.</w:t>
      </w:r>
    </w:p>
    <w:p>
      <w:pPr>
        <w:spacing w:after="0" w:line="2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 underwriting expense ratio: </w:t>
      </w:r>
      <w:r>
        <w:rPr>
          <w:rFonts w:ascii="Arial" w:cs="Arial" w:eastAsia="Arial" w:hAnsi="Arial"/>
          <w:sz w:val="18"/>
          <w:szCs w:val="18"/>
          <w:color w:val="auto"/>
        </w:rPr>
        <w:t>The net underwriting expense ratio is a measure of an insurance company’s operational efficiency in administering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22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 combined ratio: </w:t>
      </w:r>
      <w:r>
        <w:rPr>
          <w:rFonts w:ascii="Arial" w:cs="Arial" w:eastAsia="Arial" w:hAnsi="Arial"/>
          <w:sz w:val="18"/>
          <w:szCs w:val="18"/>
          <w:color w:val="auto"/>
        </w:rPr>
        <w:t>The net combined ratio is a measure of an insurance company’s overall underwriting profit. This is the sum of the net loss and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underwriting expense ratios. If the net combined ratio is at or above 100 percent, an insurance company cannot be profitable without investment income, and may not be profitable if investment income is insufficient.</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 xml:space="preserve">Underwriting income: </w:t>
      </w:r>
      <w:r>
        <w:rPr>
          <w:rFonts w:ascii="Arial" w:cs="Arial" w:eastAsia="Arial" w:hAnsi="Arial"/>
          <w:sz w:val="18"/>
          <w:szCs w:val="18"/>
          <w:color w:val="auto"/>
        </w:rPr>
        <w:t>Underwriting income is net pre-tax income attributable to our insurance underwriting business before investment activity.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8" w:lineRule="exact"/>
        <w:rPr>
          <w:sz w:val="20"/>
          <w:szCs w:val="20"/>
          <w:color w:val="auto"/>
        </w:rPr>
      </w:pPr>
    </w:p>
    <w:p>
      <w:pPr>
        <w:jc w:val="both"/>
        <w:ind w:firstLine="692"/>
        <w:spacing w:after="0" w:line="288" w:lineRule="auto"/>
        <w:rPr>
          <w:sz w:val="20"/>
          <w:szCs w:val="20"/>
          <w:color w:val="auto"/>
        </w:rPr>
      </w:pPr>
      <w:r>
        <w:rPr>
          <w:rFonts w:ascii="Arial" w:cs="Arial" w:eastAsia="Arial" w:hAnsi="Arial"/>
          <w:sz w:val="16"/>
          <w:szCs w:val="16"/>
          <w:color w:val="auto"/>
        </w:rPr>
        <w:t>Our condensed consolidated financial statements include the accounts of Kingstone Companies, Inc. and all majority-owned and controlled subsidiaries. The preparation of financial statements in conformity with accounting principles generally accepted in the United States requires our management to make estimates and assumptions in certain circumstances that affect amounts reported in our consolidated financial statements and related notes. In preparing these condensed consolidated financial statements, our management has utilized information available including our past history, industry standards and the current economic environment, among other factors, in forming its estimates and judgments of certain amounts included in the consolidated financial statements, giving due consideration to materiality. It is possible that the ultimate outcome as anticipated by our management in formulating its estimates inherent in these financial statements might not materialize. However,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companies in similar businesses.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7" w:name="page38"/>
    <w:bookmarkEnd w:id="37"/>
    <w:p>
      <w:pPr>
        <w:jc w:val="both"/>
        <w:ind w:firstLine="692"/>
        <w:spacing w:after="0" w:line="298" w:lineRule="auto"/>
        <w:rPr>
          <w:sz w:val="20"/>
          <w:szCs w:val="20"/>
          <w:color w:val="auto"/>
        </w:rPr>
      </w:pPr>
      <w:r>
        <w:rPr>
          <w:rFonts w:ascii="Arial" w:cs="Arial" w:eastAsia="Arial" w:hAnsi="Arial"/>
          <w:sz w:val="16"/>
          <w:szCs w:val="16"/>
          <w:color w:val="auto"/>
        </w:rPr>
        <w:t>We believe that the most critical accounting policies relate to the reporting of reserves for loss and LAE, including losses that have occurred but have not been reported prior to the reporting date, amounts recoverable from third party reinsurers, deferred ceding commission revenue, deferred policy acquisition costs, deferred income taxes, the impairment of investment securities, intangible assets and the valuation of stock-based compensation. See Note 2 to the condensed consolidated financial statements - “Accounting Policies” for information related to updated accounting policies.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Compared to Nine Months Ended September 30, 2015</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the results of our operations (in thousands)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7"/>
        </w:trPr>
        <w:tc>
          <w:tcPr>
            <w:tcW w:w="5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8"/>
                <w:szCs w:val="18"/>
                <w:b w:val="1"/>
                <w:bCs w:val="1"/>
                <w:color w:val="auto"/>
                <w:w w:val="90"/>
              </w:rPr>
              <w:t>Nine months ended September 30,</w:t>
            </w:r>
          </w:p>
        </w:tc>
        <w:tc>
          <w:tcPr>
            <w:tcW w:w="1360" w:type="dxa"/>
            <w:vAlign w:val="bottom"/>
            <w:tcBorders>
              <w:bottom w:val="single" w:sz="8" w:color="auto"/>
            </w:tcBorders>
          </w:tcPr>
          <w:p>
            <w:pPr>
              <w:spacing w:after="0"/>
              <w:rPr>
                <w:sz w:val="20"/>
                <w:szCs w:val="20"/>
                <w:color w:val="auto"/>
              </w:rPr>
            </w:pPr>
          </w:p>
        </w:tc>
      </w:tr>
      <w:tr>
        <w:trPr>
          <w:trHeight w:val="223"/>
        </w:trPr>
        <w:tc>
          <w:tcPr>
            <w:tcW w:w="59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 in thousands)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w w:val="90"/>
              </w:rPr>
              <w:t>Change</w:t>
            </w:r>
          </w:p>
        </w:tc>
        <w:tc>
          <w:tcPr>
            <w:tcW w:w="13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Percent</w:t>
            </w: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Revenue</w:t>
            </w:r>
            <w:r>
              <w:rPr>
                <w:rFonts w:ascii="Arial" w:cs="Arial" w:eastAsia="Arial" w:hAnsi="Arial"/>
                <w:sz w:val="18"/>
                <w:szCs w:val="18"/>
                <w:color w:val="auto"/>
              </w:rPr>
              <w:t>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Direct written premiums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76,375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67,226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9,149</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13.6%</w:t>
            </w:r>
          </w:p>
        </w:tc>
      </w:tr>
      <w:tr>
        <w:trPr>
          <w:trHeight w:val="223"/>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Assumed written premiums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35</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(20)</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 %</w:t>
            </w:r>
          </w:p>
        </w:tc>
      </w:tr>
      <w:tr>
        <w:trPr>
          <w:trHeight w:val="223"/>
        </w:trPr>
        <w:tc>
          <w:tcPr>
            <w:tcW w:w="59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76,390</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67,261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9,129</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13.6%</w:t>
            </w: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Ceded written premiums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960" w:type="dxa"/>
            <w:vAlign w:val="bottom"/>
          </w:tcPr>
          <w:p>
            <w:pPr>
              <w:ind w:left="380"/>
              <w:spacing w:after="0"/>
              <w:rPr>
                <w:sz w:val="20"/>
                <w:szCs w:val="20"/>
                <w:color w:val="auto"/>
              </w:rPr>
            </w:pPr>
            <w:r>
              <w:rPr>
                <w:rFonts w:ascii="Arial" w:cs="Arial" w:eastAsia="Arial" w:hAnsi="Arial"/>
                <w:sz w:val="18"/>
                <w:szCs w:val="18"/>
                <w:color w:val="auto"/>
              </w:rPr>
              <w:t>Ceded to quota share treaties in force during the period</w:t>
            </w:r>
          </w:p>
        </w:tc>
        <w:tc>
          <w:tcPr>
            <w:tcW w:w="30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19,463</w:t>
            </w:r>
          </w:p>
        </w:tc>
        <w:tc>
          <w:tcPr>
            <w:tcW w:w="480" w:type="dxa"/>
            <w:vAlign w:val="bottom"/>
          </w:tcPr>
          <w:p>
            <w:pPr>
              <w:spacing w:after="0"/>
              <w:rPr>
                <w:sz w:val="18"/>
                <w:szCs w:val="18"/>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22,427</w:t>
            </w:r>
          </w:p>
        </w:tc>
        <w:tc>
          <w:tcPr>
            <w:tcW w:w="320" w:type="dxa"/>
            <w:vAlign w:val="bottom"/>
          </w:tcPr>
          <w:p>
            <w:pPr>
              <w:spacing w:after="0"/>
              <w:rPr>
                <w:sz w:val="18"/>
                <w:szCs w:val="18"/>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(2,964)</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(13.2) %</w:t>
            </w:r>
          </w:p>
        </w:tc>
      </w:tr>
      <w:tr>
        <w:trPr>
          <w:trHeight w:val="223"/>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premiums previously ceded to prior quota share treaties (1)</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(5,866)</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5,866</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 %</w:t>
            </w:r>
          </w:p>
        </w:tc>
      </w:tr>
      <w:tr>
        <w:trPr>
          <w:trHeight w:val="216"/>
        </w:trPr>
        <w:tc>
          <w:tcPr>
            <w:tcW w:w="5960" w:type="dxa"/>
            <w:vAlign w:val="bottom"/>
          </w:tcPr>
          <w:p>
            <w:pPr>
              <w:ind w:left="540"/>
              <w:spacing w:after="0"/>
              <w:rPr>
                <w:sz w:val="20"/>
                <w:szCs w:val="20"/>
                <w:color w:val="auto"/>
              </w:rPr>
            </w:pPr>
            <w:r>
              <w:rPr>
                <w:rFonts w:ascii="Arial" w:cs="Arial" w:eastAsia="Arial" w:hAnsi="Arial"/>
                <w:sz w:val="18"/>
                <w:szCs w:val="18"/>
                <w:color w:val="auto"/>
              </w:rPr>
              <w:t>Ceded to quota share treaties</w:t>
            </w:r>
          </w:p>
        </w:tc>
        <w:tc>
          <w:tcPr>
            <w:tcW w:w="30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19,463</w:t>
            </w:r>
          </w:p>
        </w:tc>
        <w:tc>
          <w:tcPr>
            <w:tcW w:w="480" w:type="dxa"/>
            <w:vAlign w:val="bottom"/>
          </w:tcPr>
          <w:p>
            <w:pPr>
              <w:spacing w:after="0"/>
              <w:rPr>
                <w:sz w:val="18"/>
                <w:szCs w:val="18"/>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16,561</w:t>
            </w:r>
          </w:p>
        </w:tc>
        <w:tc>
          <w:tcPr>
            <w:tcW w:w="320" w:type="dxa"/>
            <w:vAlign w:val="bottom"/>
          </w:tcPr>
          <w:p>
            <w:pPr>
              <w:spacing w:after="0"/>
              <w:rPr>
                <w:sz w:val="18"/>
                <w:szCs w:val="18"/>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2,902</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17.5%</w:t>
            </w:r>
          </w:p>
        </w:tc>
      </w:tr>
      <w:tr>
        <w:trPr>
          <w:trHeight w:val="216"/>
        </w:trPr>
        <w:tc>
          <w:tcPr>
            <w:tcW w:w="5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Ceded to excess of loss treaties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1,078</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967</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111</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11.5%</w:t>
            </w:r>
          </w:p>
        </w:tc>
      </w:tr>
      <w:tr>
        <w:trPr>
          <w:trHeight w:val="216"/>
        </w:trPr>
        <w:tc>
          <w:tcPr>
            <w:tcW w:w="5960" w:type="dxa"/>
            <w:vAlign w:val="bottom"/>
          </w:tcPr>
          <w:p>
            <w:pPr>
              <w:ind w:left="540"/>
              <w:spacing w:after="0"/>
              <w:rPr>
                <w:sz w:val="20"/>
                <w:szCs w:val="20"/>
                <w:color w:val="auto"/>
              </w:rPr>
            </w:pPr>
            <w:r>
              <w:rPr>
                <w:rFonts w:ascii="Arial" w:cs="Arial" w:eastAsia="Arial" w:hAnsi="Arial"/>
                <w:sz w:val="18"/>
                <w:szCs w:val="18"/>
                <w:color w:val="auto"/>
              </w:rPr>
              <w:t>Ceded to catastrophe treaties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January 1 - June 30 (Net basis in 2016, Gross basis in 2015) (2)</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4,575</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2,079</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2,496</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120.1%</w:t>
            </w:r>
          </w:p>
        </w:tc>
      </w:tr>
      <w:tr>
        <w:trPr>
          <w:trHeight w:val="223"/>
        </w:trPr>
        <w:tc>
          <w:tcPr>
            <w:tcW w:w="5960" w:type="dxa"/>
            <w:vAlign w:val="bottom"/>
          </w:tcPr>
          <w:p>
            <w:pPr>
              <w:ind w:left="740"/>
              <w:spacing w:after="0"/>
              <w:rPr>
                <w:sz w:val="20"/>
                <w:szCs w:val="20"/>
                <w:color w:val="auto"/>
              </w:rPr>
            </w:pPr>
            <w:r>
              <w:rPr>
                <w:rFonts w:ascii="Arial" w:cs="Arial" w:eastAsia="Arial" w:hAnsi="Arial"/>
                <w:sz w:val="18"/>
                <w:szCs w:val="18"/>
                <w:color w:val="auto"/>
              </w:rPr>
              <w:t>July 1 - September 30 (Net basis in 2016 and 2015) (2)</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2,427</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2,307</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120</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5.2%</w:t>
            </w:r>
          </w:p>
        </w:tc>
      </w:tr>
      <w:tr>
        <w:trPr>
          <w:trHeight w:val="223"/>
        </w:trPr>
        <w:tc>
          <w:tcPr>
            <w:tcW w:w="5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ceded to catastrophe treaties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7,002</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4,386</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2,616</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59.6%</w:t>
            </w:r>
          </w:p>
        </w:tc>
      </w:tr>
      <w:tr>
        <w:trPr>
          <w:trHeight w:val="216"/>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ceded written premiums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27,543</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21,914</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5,629</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25.7%</w:t>
            </w:r>
          </w:p>
        </w:tc>
      </w:tr>
      <w:tr>
        <w:trPr>
          <w:trHeight w:val="216"/>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written premiums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48,847</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45,347</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3,500</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7.7%</w:t>
            </w:r>
          </w:p>
        </w:tc>
      </w:tr>
      <w:tr>
        <w:trPr>
          <w:trHeight w:val="216"/>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960" w:type="dxa"/>
            <w:vAlign w:val="bottom"/>
          </w:tcPr>
          <w:p>
            <w:pPr>
              <w:ind w:left="380"/>
              <w:spacing w:after="0"/>
              <w:rPr>
                <w:sz w:val="20"/>
                <w:szCs w:val="20"/>
                <w:color w:val="auto"/>
              </w:rPr>
            </w:pPr>
            <w:r>
              <w:rPr>
                <w:rFonts w:ascii="Arial" w:cs="Arial" w:eastAsia="Arial" w:hAnsi="Arial"/>
                <w:sz w:val="18"/>
                <w:szCs w:val="18"/>
                <w:color w:val="auto"/>
              </w:rPr>
              <w:t>Direct and assumed</w:t>
            </w:r>
          </w:p>
        </w:tc>
        <w:tc>
          <w:tcPr>
            <w:tcW w:w="30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(4,874)</w:t>
            </w:r>
          </w:p>
        </w:tc>
        <w:tc>
          <w:tcPr>
            <w:tcW w:w="480" w:type="dxa"/>
            <w:vAlign w:val="bottom"/>
          </w:tcPr>
          <w:p>
            <w:pPr>
              <w:spacing w:after="0"/>
              <w:rPr>
                <w:sz w:val="18"/>
                <w:szCs w:val="18"/>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(6,983)</w:t>
            </w:r>
          </w:p>
        </w:tc>
        <w:tc>
          <w:tcPr>
            <w:tcW w:w="320" w:type="dxa"/>
            <w:vAlign w:val="bottom"/>
          </w:tcPr>
          <w:p>
            <w:pPr>
              <w:spacing w:after="0"/>
              <w:rPr>
                <w:sz w:val="18"/>
                <w:szCs w:val="18"/>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2,109</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(30.2) %</w:t>
            </w:r>
          </w:p>
        </w:tc>
      </w:tr>
      <w:tr>
        <w:trPr>
          <w:trHeight w:val="223"/>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Ceded to quota share treaties (1)</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1,216</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(3,983)</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5,199</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(130.5) %</w:t>
            </w:r>
          </w:p>
        </w:tc>
      </w:tr>
      <w:tr>
        <w:trPr>
          <w:trHeight w:val="223"/>
        </w:trPr>
        <w:tc>
          <w:tcPr>
            <w:tcW w:w="5960" w:type="dxa"/>
            <w:vAlign w:val="bottom"/>
          </w:tcPr>
          <w:p>
            <w:pPr>
              <w:ind w:left="220"/>
              <w:spacing w:after="0"/>
              <w:rPr>
                <w:sz w:val="20"/>
                <w:szCs w:val="20"/>
                <w:color w:val="auto"/>
              </w:rPr>
            </w:pPr>
            <w:r>
              <w:rPr>
                <w:rFonts w:ascii="Arial" w:cs="Arial" w:eastAsia="Arial" w:hAnsi="Arial"/>
                <w:sz w:val="18"/>
                <w:szCs w:val="18"/>
                <w:color w:val="auto"/>
              </w:rPr>
              <w:t>Change in net unearned premiums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(3,658)</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(10,966)</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7,308</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(66.6) %</w:t>
            </w:r>
          </w:p>
        </w:tc>
      </w:tr>
      <w:tr>
        <w:trPr>
          <w:trHeight w:val="216"/>
        </w:trPr>
        <w:tc>
          <w:tcPr>
            <w:tcW w:w="5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Premiums earned</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Direct and assumed</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71,516</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60,277</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11,239</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18.6%</w:t>
            </w:r>
          </w:p>
        </w:tc>
      </w:tr>
      <w:tr>
        <w:trPr>
          <w:trHeight w:val="223"/>
        </w:trPr>
        <w:tc>
          <w:tcPr>
            <w:tcW w:w="5960" w:type="dxa"/>
            <w:vAlign w:val="bottom"/>
          </w:tcPr>
          <w:p>
            <w:pPr>
              <w:ind w:left="380"/>
              <w:spacing w:after="0"/>
              <w:rPr>
                <w:sz w:val="20"/>
                <w:szCs w:val="20"/>
                <w:color w:val="auto"/>
              </w:rPr>
            </w:pPr>
            <w:r>
              <w:rPr>
                <w:rFonts w:ascii="Arial" w:cs="Arial" w:eastAsia="Arial" w:hAnsi="Arial"/>
                <w:sz w:val="18"/>
                <w:szCs w:val="18"/>
                <w:color w:val="auto"/>
              </w:rPr>
              <w:t>Ceded to quota share treaties (1)</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(26,327)</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(25,896)</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(431)</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1.7%</w:t>
            </w:r>
          </w:p>
        </w:tc>
      </w:tr>
      <w:tr>
        <w:trPr>
          <w:trHeight w:val="223"/>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45,189</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34,381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10,808</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31.4%</w:t>
            </w:r>
          </w:p>
        </w:tc>
      </w:tr>
      <w:tr>
        <w:trPr>
          <w:trHeight w:val="216"/>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Ceding commission revenue</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960" w:type="dxa"/>
            <w:vAlign w:val="bottom"/>
          </w:tcPr>
          <w:p>
            <w:pPr>
              <w:ind w:left="380"/>
              <w:spacing w:after="0"/>
              <w:rPr>
                <w:sz w:val="20"/>
                <w:szCs w:val="20"/>
                <w:color w:val="auto"/>
              </w:rPr>
            </w:pPr>
            <w:r>
              <w:rPr>
                <w:rFonts w:ascii="Arial" w:cs="Arial" w:eastAsia="Arial" w:hAnsi="Arial"/>
                <w:sz w:val="18"/>
                <w:szCs w:val="18"/>
                <w:color w:val="auto"/>
              </w:rPr>
              <w:t>Excluding the effect of catastrophes</w:t>
            </w:r>
          </w:p>
        </w:tc>
        <w:tc>
          <w:tcPr>
            <w:tcW w:w="30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8,274</w:t>
            </w:r>
          </w:p>
        </w:tc>
        <w:tc>
          <w:tcPr>
            <w:tcW w:w="480" w:type="dxa"/>
            <w:vAlign w:val="bottom"/>
          </w:tcPr>
          <w:p>
            <w:pPr>
              <w:spacing w:after="0"/>
              <w:rPr>
                <w:sz w:val="18"/>
                <w:szCs w:val="18"/>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10,669</w:t>
            </w:r>
          </w:p>
        </w:tc>
        <w:tc>
          <w:tcPr>
            <w:tcW w:w="320" w:type="dxa"/>
            <w:vAlign w:val="bottom"/>
          </w:tcPr>
          <w:p>
            <w:pPr>
              <w:spacing w:after="0"/>
              <w:rPr>
                <w:sz w:val="18"/>
                <w:szCs w:val="18"/>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(2,395)</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(22.4) %</w:t>
            </w:r>
          </w:p>
        </w:tc>
      </w:tr>
      <w:tr>
        <w:trPr>
          <w:trHeight w:val="223"/>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catastrophes (3)</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(1,281)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1,281</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 %</w:t>
            </w: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Total ceding commission revenue</w:t>
            </w:r>
          </w:p>
        </w:tc>
        <w:tc>
          <w:tcPr>
            <w:tcW w:w="30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8,274</w:t>
            </w:r>
          </w:p>
        </w:tc>
        <w:tc>
          <w:tcPr>
            <w:tcW w:w="480" w:type="dxa"/>
            <w:vAlign w:val="bottom"/>
          </w:tcPr>
          <w:p>
            <w:pPr>
              <w:spacing w:after="0"/>
              <w:rPr>
                <w:sz w:val="18"/>
                <w:szCs w:val="18"/>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9,388</w:t>
            </w:r>
          </w:p>
        </w:tc>
        <w:tc>
          <w:tcPr>
            <w:tcW w:w="320" w:type="dxa"/>
            <w:vAlign w:val="bottom"/>
          </w:tcPr>
          <w:p>
            <w:pPr>
              <w:spacing w:after="0"/>
              <w:rPr>
                <w:sz w:val="18"/>
                <w:szCs w:val="18"/>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(1,114)</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(11.9) %</w:t>
            </w: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2,286</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1,850</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436</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23.6%</w:t>
            </w: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Net realized gain (loss) on investments</w:t>
            </w:r>
          </w:p>
        </w:tc>
        <w:tc>
          <w:tcPr>
            <w:tcW w:w="30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605</w:t>
            </w:r>
          </w:p>
        </w:tc>
        <w:tc>
          <w:tcPr>
            <w:tcW w:w="480" w:type="dxa"/>
            <w:vAlign w:val="bottom"/>
          </w:tcPr>
          <w:p>
            <w:pPr>
              <w:spacing w:after="0"/>
              <w:rPr>
                <w:sz w:val="18"/>
                <w:szCs w:val="18"/>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711</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(670.8) %</w:t>
            </w:r>
          </w:p>
        </w:tc>
      </w:tr>
      <w:tr>
        <w:trPr>
          <w:trHeight w:val="223"/>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831</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1,300</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(469)</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 %</w:t>
            </w:r>
          </w:p>
        </w:tc>
      </w:tr>
      <w:tr>
        <w:trPr>
          <w:trHeight w:val="223"/>
        </w:trPr>
        <w:tc>
          <w:tcPr>
            <w:tcW w:w="59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57,185</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46,813</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10,372</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22.2%</w:t>
            </w:r>
          </w:p>
        </w:tc>
      </w:tr>
    </w:tbl>
    <w:p>
      <w:pPr>
        <w:spacing w:after="0" w:line="235" w:lineRule="exact"/>
        <w:rPr>
          <w:sz w:val="20"/>
          <w:szCs w:val="20"/>
          <w:color w:val="auto"/>
        </w:rPr>
      </w:pPr>
    </w:p>
    <w:p>
      <w:pPr>
        <w:jc w:val="both"/>
        <w:ind w:firstLine="8"/>
        <w:spacing w:after="0" w:line="256" w:lineRule="auto"/>
        <w:tabs>
          <w:tab w:leader="none" w:pos="25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 July 1, 2015, we decreased the quota share ceding rate in our personal lines quota share treaty from 55% to 40% (the “Cut-off”). The Cut-off on July 1, 2015 resulted in a $5,866,000 return of unearned premiums from our reinsurers that were previously ceded under the personal lines quota share treaty that expired on June 30, 2015. The $5,866,000 return of premiums previously ceded reduced earned premiums under our quota share, which, in turn, increased our net premiums earned during the twelve month period after the Cut-off.</w:t>
      </w:r>
    </w:p>
    <w:p>
      <w:pPr>
        <w:spacing w:after="0" w:line="224" w:lineRule="exact"/>
        <w:rPr>
          <w:rFonts w:ascii="Arial" w:cs="Arial" w:eastAsia="Arial" w:hAnsi="Arial"/>
          <w:sz w:val="18"/>
          <w:szCs w:val="18"/>
          <w:color w:val="auto"/>
        </w:rPr>
      </w:pPr>
    </w:p>
    <w:p>
      <w:pPr>
        <w:jc w:val="both"/>
        <w:ind w:firstLine="8"/>
        <w:spacing w:after="0" w:line="255" w:lineRule="auto"/>
        <w:tabs>
          <w:tab w:leader="none" w:pos="262"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 a “gross” basis catastrophe reinsurance treaty, catastrophe reinsurance coverage is purchased by us only on the net written premiums after the quota share. Under a “gross” basis, catastrophe losses affect the ceded loss ratio and contingent ceding commissions from quota share reinsurance. Under a “net” basis catastrophe reinsurance treaty, all catastrophe reinsurance coverage is purchased by us directly, eliminating the impact of a catastrophe on quota share results. The “net” basis increases our ceded premium for catastrophe reinsurance. See discussion below for Net Written Premiums, Net Premiums Earned and Contingent Ceding Commissions Earned.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8"/>
                <w:szCs w:val="18"/>
                <w:b w:val="1"/>
                <w:bCs w:val="1"/>
                <w:color w:val="auto"/>
                <w:w w:val="91"/>
              </w:rPr>
              <w:t>Nine months ended September 30,</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5"/>
                <w:szCs w:val="15"/>
                <w:b w:val="1"/>
                <w:bCs w:val="1"/>
                <w:color w:val="auto"/>
              </w:rPr>
              <w:t>($ in thousands)</w:t>
            </w:r>
          </w:p>
        </w:tc>
        <w:tc>
          <w:tcPr>
            <w:tcW w:w="300" w:type="dxa"/>
            <w:vAlign w:val="bottom"/>
          </w:tcPr>
          <w:p>
            <w:pPr>
              <w:spacing w:after="0"/>
              <w:rPr>
                <w:sz w:val="19"/>
                <w:szCs w:val="19"/>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19"/>
                <w:szCs w:val="19"/>
                <w:color w:val="auto"/>
              </w:rPr>
            </w:pPr>
          </w:p>
        </w:tc>
        <w:tc>
          <w:tcPr>
            <w:tcW w:w="940" w:type="dxa"/>
            <w:vAlign w:val="bottom"/>
          </w:tcPr>
          <w:p>
            <w:pPr>
              <w:jc w:val="right"/>
              <w:ind w:right="412"/>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19"/>
                <w:szCs w:val="19"/>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b w:val="1"/>
                <w:bCs w:val="1"/>
                <w:color w:val="auto"/>
                <w:w w:val="90"/>
              </w:rPr>
              <w:t>Change</w:t>
            </w:r>
          </w:p>
        </w:tc>
        <w:tc>
          <w:tcPr>
            <w:tcW w:w="1360" w:type="dxa"/>
            <w:vAlign w:val="bottom"/>
          </w:tcPr>
          <w:p>
            <w:pPr>
              <w:jc w:val="right"/>
              <w:ind w:right="392"/>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57,185</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46,813</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10,372</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Expense</w:t>
            </w:r>
            <w:r>
              <w:rPr>
                <w:rFonts w:ascii="Arial" w:cs="Arial" w:eastAsia="Arial" w:hAnsi="Arial"/>
                <w:sz w:val="18"/>
                <w:szCs w:val="18"/>
                <w:color w:val="auto"/>
              </w:rPr>
              <w:t>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and loss adjustment expenses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Direct and assumed:</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26,746</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23,264</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3,482</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Losses from catastrophes (3)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2,337</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4,646</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(2,309)</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(49.7)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direct and assumed loss and loss adjustment expenses</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29,083</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27,910</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1,173</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Ceded loss and loss adjustment expenses: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30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7,742</w:t>
            </w:r>
          </w:p>
        </w:tc>
        <w:tc>
          <w:tcPr>
            <w:tcW w:w="50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8,471</w:t>
            </w:r>
          </w:p>
        </w:tc>
        <w:tc>
          <w:tcPr>
            <w:tcW w:w="360" w:type="dxa"/>
            <w:vAlign w:val="bottom"/>
          </w:tcPr>
          <w:p>
            <w:pPr>
              <w:spacing w:after="0"/>
              <w:rPr>
                <w:sz w:val="18"/>
                <w:szCs w:val="18"/>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(729)</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Losses from catastrophes (3)</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935</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2,555</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(1,620)</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Total ceded loss and loss adjustment expenses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8,677</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11,026</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(2,349)</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Net loss and loss adjustment expenses: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19,004</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14,793</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4,211</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Losses from catastrophes (3)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1,402</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2,091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(689)</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(33.0)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 and loss adjustment expenses</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20,406</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16,884</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3,522</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Commission expense</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13,400</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11,034</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2,366</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Other underwriting expenses</w:t>
            </w:r>
          </w:p>
        </w:tc>
        <w:tc>
          <w:tcPr>
            <w:tcW w:w="30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10,982</w:t>
            </w:r>
          </w:p>
        </w:tc>
        <w:tc>
          <w:tcPr>
            <w:tcW w:w="50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9,350</w:t>
            </w:r>
          </w:p>
        </w:tc>
        <w:tc>
          <w:tcPr>
            <w:tcW w:w="360" w:type="dxa"/>
            <w:vAlign w:val="bottom"/>
          </w:tcPr>
          <w:p>
            <w:pPr>
              <w:spacing w:after="0"/>
              <w:rPr>
                <w:sz w:val="18"/>
                <w:szCs w:val="18"/>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1,632</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1,292</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1,174</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118</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835</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749</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86</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46,915</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39,192</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7,724</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 before taxes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10,270</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7,621</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2,649</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Provision for income tax</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3,426</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2,514</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912</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6,844</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5,107</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1,737</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8"/>
        <w:spacing w:after="0" w:line="255" w:lineRule="auto"/>
        <w:tabs>
          <w:tab w:leader="none" w:pos="269"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nine months ended September 30, 2016and 2015, includes the effects of severe winter weather (which we define as a catastrophe). We define a “catastrophe” as an event or series of related events that involve multiple first party policyholders, or an event or series of events that produce a number of claims in excess of a preset, per-event threshold of average claims in a specific area, occurring within a certain amount of time constituting the event or series of events. Catastrophes are caused by various natural events including high winds, excessive rain, winter storms, severe winter weather, tornadoes, hailstorms, wildfires, tropical storms, and hurricanes.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2"/>
          </w:tcPr>
          <w:p>
            <w:pPr>
              <w:jc w:val="right"/>
              <w:ind w:right="318"/>
              <w:spacing w:after="0"/>
              <w:rPr>
                <w:sz w:val="20"/>
                <w:szCs w:val="20"/>
                <w:color w:val="auto"/>
              </w:rPr>
            </w:pPr>
            <w:r>
              <w:rPr>
                <w:rFonts w:ascii="Arial" w:cs="Arial" w:eastAsia="Arial" w:hAnsi="Arial"/>
                <w:sz w:val="15"/>
                <w:szCs w:val="15"/>
                <w:b w:val="1"/>
                <w:bCs w:val="1"/>
                <w:color w:val="auto"/>
                <w:w w:val="94"/>
              </w:rPr>
              <w:t>Nine months ended September 30,</w:t>
            </w:r>
          </w:p>
        </w:tc>
        <w:tc>
          <w:tcPr>
            <w:tcW w:w="1360" w:type="dxa"/>
            <w:vAlign w:val="bottom"/>
            <w:tcBorders>
              <w:bottom w:val="single" w:sz="8" w:color="auto"/>
            </w:tcBorders>
          </w:tcPr>
          <w:p>
            <w:pPr>
              <w:spacing w:after="0"/>
              <w:rPr>
                <w:sz w:val="15"/>
                <w:szCs w:val="15"/>
                <w:color w:val="auto"/>
              </w:rPr>
            </w:pPr>
          </w:p>
        </w:tc>
      </w:tr>
      <w:tr>
        <w:trPr>
          <w:trHeight w:val="149"/>
        </w:trPr>
        <w:tc>
          <w:tcPr>
            <w:tcW w:w="5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0" w:type="dxa"/>
            <w:vAlign w:val="bottom"/>
          </w:tcPr>
          <w:p>
            <w:pPr>
              <w:jc w:val="right"/>
              <w:ind w:right="358"/>
              <w:spacing w:after="0" w:line="149" w:lineRule="exact"/>
              <w:rPr>
                <w:sz w:val="20"/>
                <w:szCs w:val="20"/>
                <w:color w:val="auto"/>
              </w:rPr>
            </w:pPr>
            <w:r>
              <w:rPr>
                <w:rFonts w:ascii="Arial" w:cs="Arial" w:eastAsia="Arial" w:hAnsi="Arial"/>
                <w:sz w:val="15"/>
                <w:szCs w:val="15"/>
                <w:b w:val="1"/>
                <w:bCs w:val="1"/>
                <w:color w:val="auto"/>
              </w:rPr>
              <w:t>Percentage</w:t>
            </w:r>
          </w:p>
        </w:tc>
        <w:tc>
          <w:tcPr>
            <w:tcW w:w="1360" w:type="dxa"/>
            <w:vAlign w:val="bottom"/>
          </w:tcPr>
          <w:p>
            <w:pPr>
              <w:jc w:val="right"/>
              <w:ind w:right="438"/>
              <w:spacing w:after="0" w:line="149" w:lineRule="exact"/>
              <w:rPr>
                <w:sz w:val="20"/>
                <w:szCs w:val="20"/>
                <w:color w:val="auto"/>
              </w:rPr>
            </w:pPr>
            <w:r>
              <w:rPr>
                <w:rFonts w:ascii="Arial" w:cs="Arial" w:eastAsia="Arial" w:hAnsi="Arial"/>
                <w:sz w:val="15"/>
                <w:szCs w:val="15"/>
                <w:b w:val="1"/>
                <w:bCs w:val="1"/>
                <w:color w:val="auto"/>
              </w:rPr>
              <w:t>Percent</w:t>
            </w:r>
          </w:p>
        </w:tc>
      </w:tr>
      <w:tr>
        <w:trPr>
          <w:trHeight w:val="182"/>
        </w:trPr>
        <w:tc>
          <w:tcPr>
            <w:tcW w:w="5960" w:type="dxa"/>
            <w:vAlign w:val="bottom"/>
          </w:tcPr>
          <w:p>
            <w:pPr>
              <w:spacing w:after="0"/>
              <w:rPr>
                <w:sz w:val="15"/>
                <w:szCs w:val="15"/>
                <w:color w:val="auto"/>
              </w:rPr>
            </w:pPr>
          </w:p>
        </w:tc>
        <w:tc>
          <w:tcPr>
            <w:tcW w:w="1360" w:type="dxa"/>
            <w:vAlign w:val="bottom"/>
            <w:tcBorders>
              <w:bottom w:val="single" w:sz="8" w:color="auto"/>
            </w:tcBorders>
          </w:tcPr>
          <w:p>
            <w:pPr>
              <w:jc w:val="right"/>
              <w:ind w:right="556"/>
              <w:spacing w:after="0"/>
              <w:rPr>
                <w:sz w:val="20"/>
                <w:szCs w:val="20"/>
                <w:color w:val="auto"/>
              </w:rPr>
            </w:pPr>
            <w:r>
              <w:rPr>
                <w:rFonts w:ascii="Arial" w:cs="Arial" w:eastAsia="Arial" w:hAnsi="Arial"/>
                <w:sz w:val="15"/>
                <w:szCs w:val="15"/>
                <w:b w:val="1"/>
                <w:bCs w:val="1"/>
                <w:color w:val="auto"/>
              </w:rPr>
              <w:t>2016</w:t>
            </w:r>
          </w:p>
        </w:tc>
        <w:tc>
          <w:tcPr>
            <w:tcW w:w="134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2015</w:t>
            </w:r>
          </w:p>
        </w:tc>
        <w:tc>
          <w:tcPr>
            <w:tcW w:w="1400" w:type="dxa"/>
            <w:vAlign w:val="bottom"/>
            <w:tcBorders>
              <w:bottom w:val="single" w:sz="8" w:color="auto"/>
            </w:tcBorders>
          </w:tcPr>
          <w:p>
            <w:pPr>
              <w:jc w:val="right"/>
              <w:ind w:right="278"/>
              <w:spacing w:after="0"/>
              <w:rPr>
                <w:sz w:val="20"/>
                <w:szCs w:val="20"/>
                <w:color w:val="auto"/>
              </w:rPr>
            </w:pPr>
            <w:r>
              <w:rPr>
                <w:rFonts w:ascii="Arial" w:cs="Arial" w:eastAsia="Arial" w:hAnsi="Arial"/>
                <w:sz w:val="15"/>
                <w:szCs w:val="15"/>
                <w:b w:val="1"/>
                <w:bCs w:val="1"/>
                <w:color w:val="auto"/>
              </w:rPr>
              <w:t>Point Change</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Change</w:t>
            </w:r>
          </w:p>
        </w:tc>
      </w:tr>
      <w:tr>
        <w:trPr>
          <w:trHeight w:val="216"/>
        </w:trPr>
        <w:tc>
          <w:tcPr>
            <w:tcW w:w="5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b w:val="1"/>
                <w:bCs w:val="1"/>
                <w:color w:val="auto"/>
              </w:rPr>
              <w:t>Key ratios:</w:t>
            </w: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ratio</w:t>
            </w:r>
          </w:p>
        </w:tc>
        <w:tc>
          <w:tcPr>
            <w:tcW w:w="13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45.2%</w:t>
            </w:r>
          </w:p>
        </w:tc>
        <w:tc>
          <w:tcPr>
            <w:tcW w:w="13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49.1%</w:t>
            </w:r>
          </w:p>
        </w:tc>
        <w:tc>
          <w:tcPr>
            <w:tcW w:w="140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(3.9)</w:t>
            </w: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(7.9) %</w:t>
            </w:r>
          </w:p>
        </w:tc>
      </w:tr>
      <w:tr>
        <w:trPr>
          <w:trHeight w:val="223"/>
        </w:trPr>
        <w:tc>
          <w:tcPr>
            <w:tcW w:w="5960" w:type="dxa"/>
            <w:vAlign w:val="bottom"/>
          </w:tcPr>
          <w:p>
            <w:pPr>
              <w:ind w:left="220"/>
              <w:spacing w:after="0"/>
              <w:rPr>
                <w:sz w:val="20"/>
                <w:szCs w:val="20"/>
                <w:color w:val="auto"/>
              </w:rPr>
            </w:pPr>
            <w:r>
              <w:rPr>
                <w:rFonts w:ascii="Arial" w:cs="Arial" w:eastAsia="Arial" w:hAnsi="Arial"/>
                <w:sz w:val="18"/>
                <w:szCs w:val="18"/>
                <w:color w:val="auto"/>
              </w:rPr>
              <w:t>Net underwriting expense ratio</w:t>
            </w:r>
          </w:p>
        </w:tc>
        <w:tc>
          <w:tcPr>
            <w:tcW w:w="13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33.8%</w:t>
            </w:r>
          </w:p>
        </w:tc>
        <w:tc>
          <w:tcPr>
            <w:tcW w:w="13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29.9%</w:t>
            </w:r>
          </w:p>
        </w:tc>
        <w:tc>
          <w:tcPr>
            <w:tcW w:w="1400" w:type="dxa"/>
            <w:vAlign w:val="bottom"/>
            <w:tcBorders>
              <w:bottom w:val="single" w:sz="8" w:color="auto"/>
            </w:tcBorders>
          </w:tcPr>
          <w:p>
            <w:pPr>
              <w:jc w:val="right"/>
              <w:ind w:right="258"/>
              <w:spacing w:after="0"/>
              <w:rPr>
                <w:sz w:val="20"/>
                <w:szCs w:val="20"/>
                <w:color w:val="auto"/>
              </w:rPr>
            </w:pPr>
            <w:r>
              <w:rPr>
                <w:rFonts w:ascii="Arial" w:cs="Arial" w:eastAsia="Arial" w:hAnsi="Arial"/>
                <w:sz w:val="18"/>
                <w:szCs w:val="18"/>
                <w:color w:val="auto"/>
              </w:rPr>
              <w:t>3.9</w:t>
            </w:r>
          </w:p>
        </w:tc>
        <w:tc>
          <w:tcPr>
            <w:tcW w:w="1360" w:type="dxa"/>
            <w:vAlign w:val="bottom"/>
          </w:tcPr>
          <w:p>
            <w:pPr>
              <w:jc w:val="right"/>
              <w:ind w:right="118"/>
              <w:spacing w:after="0"/>
              <w:rPr>
                <w:sz w:val="20"/>
                <w:szCs w:val="20"/>
                <w:color w:val="auto"/>
              </w:rPr>
            </w:pPr>
            <w:r>
              <w:rPr>
                <w:rFonts w:ascii="Arial" w:cs="Arial" w:eastAsia="Arial" w:hAnsi="Arial"/>
                <w:sz w:val="18"/>
                <w:szCs w:val="18"/>
                <w:color w:val="auto"/>
              </w:rPr>
              <w:t>13.0%</w:t>
            </w:r>
          </w:p>
        </w:tc>
      </w:tr>
      <w:tr>
        <w:trPr>
          <w:trHeight w:val="257"/>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combined ratio</w:t>
            </w:r>
          </w:p>
        </w:tc>
        <w:tc>
          <w:tcPr>
            <w:tcW w:w="13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79.0%</w:t>
            </w:r>
          </w:p>
        </w:tc>
        <w:tc>
          <w:tcPr>
            <w:tcW w:w="13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79.0%</w:t>
            </w:r>
          </w:p>
        </w:tc>
        <w:tc>
          <w:tcPr>
            <w:tcW w:w="140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52" w:lineRule="exact"/>
        <w:rPr>
          <w:sz w:val="20"/>
          <w:szCs w:val="20"/>
          <w:color w:val="auto"/>
        </w:rPr>
      </w:pPr>
    </w:p>
    <w:p>
      <w:pPr>
        <w:jc w:val="both"/>
        <w:ind w:firstLine="706"/>
        <w:spacing w:after="0" w:line="256" w:lineRule="auto"/>
        <w:rPr>
          <w:sz w:val="20"/>
          <w:szCs w:val="20"/>
          <w:color w:val="auto"/>
        </w:rPr>
      </w:pPr>
      <w:r>
        <w:rPr>
          <w:rFonts w:ascii="Arial" w:cs="Arial" w:eastAsia="Arial" w:hAnsi="Arial"/>
          <w:sz w:val="18"/>
          <w:szCs w:val="18"/>
          <w:color w:val="auto"/>
        </w:rPr>
        <w:t>Direct written premiums during the nine months ended September 30, 2016 (“2016”) were $76,375,000 compared to $67,227,000 during the nine months ended September 30, 2015 (“2015”). The increase of $9,149,000, or 13.6%, was primarily due to an increase in policies in-force during 2016 as compared to 2015. We wrote more new policies as a result of continued demand for our products in the markets that we serve. Policies in-force increased by 13.7% as of September 30, 2016 compared to September 30, 2015.</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0" w:name="page41"/>
    <w:bookmarkEnd w:id="40"/>
    <w:p>
      <w:pPr>
        <w:jc w:val="both"/>
        <w:ind w:firstLine="692"/>
        <w:spacing w:after="0" w:line="294" w:lineRule="auto"/>
        <w:rPr>
          <w:sz w:val="20"/>
          <w:szCs w:val="20"/>
          <w:color w:val="auto"/>
        </w:rPr>
      </w:pPr>
      <w:r>
        <w:rPr>
          <w:rFonts w:ascii="Arial" w:cs="Arial" w:eastAsia="Arial" w:hAnsi="Arial"/>
          <w:sz w:val="16"/>
          <w:szCs w:val="16"/>
          <w:color w:val="auto"/>
        </w:rPr>
        <w:t>Our growth rate in direct written premiums was dampened somewhat due to the: (1) slowing of growth in our livery physical damage line of business, and (2) suspension, effective October 1, 2014, of the writing of new policies in our commercial auto line of business due to a history of poor underwriting results. In February 2015, we made the decision to no longer offer renewals on our existing commercial auto policies beginning with those that expired on or after May 1, 2015. Our direct written premiums in our continuing lines of business grew by 14.5% in 2016 compared to 2015. Policies-in-force in our continuing lines of business increased by 14.2% as of September 30, 2016 compared to September 30,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52" w:lineRule="exact"/>
        <w:rPr>
          <w:sz w:val="20"/>
          <w:szCs w:val="20"/>
          <w:color w:val="auto"/>
        </w:rPr>
      </w:pPr>
    </w:p>
    <w:p>
      <w:pPr>
        <w:jc w:val="both"/>
        <w:ind w:firstLine="692"/>
        <w:spacing w:after="0" w:line="306" w:lineRule="auto"/>
        <w:rPr>
          <w:sz w:val="20"/>
          <w:szCs w:val="20"/>
          <w:color w:val="auto"/>
        </w:rPr>
      </w:pPr>
      <w:r>
        <w:rPr>
          <w:rFonts w:ascii="Arial" w:cs="Arial" w:eastAsia="Arial" w:hAnsi="Arial"/>
          <w:sz w:val="16"/>
          <w:szCs w:val="16"/>
          <w:color w:val="auto"/>
        </w:rPr>
        <w:t>The following table details the quota share reinsurance ceding rates in effect during 2016 and 2015. For purposes of the discussion herein, the change in quota share ceding rates on July 1 of each year will be referred to as “the Cut-off”. This table should be referred to in conjunction with the discussions for net written premiums, net premiums earned, ceding commission revenue and net loss and loss adjustment expenses that follow.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40" w:type="dxa"/>
            <w:vAlign w:val="bottom"/>
          </w:tcPr>
          <w:p>
            <w:pPr>
              <w:spacing w:after="0"/>
              <w:rPr>
                <w:sz w:val="18"/>
                <w:szCs w:val="18"/>
                <w:color w:val="auto"/>
              </w:rPr>
            </w:pPr>
          </w:p>
        </w:tc>
        <w:tc>
          <w:tcPr>
            <w:tcW w:w="3900" w:type="dxa"/>
            <w:vAlign w:val="bottom"/>
            <w:tcBorders>
              <w:bottom w:val="single" w:sz="8" w:color="auto"/>
            </w:tcBorders>
            <w:gridSpan w:val="2"/>
          </w:tcPr>
          <w:p>
            <w:pPr>
              <w:ind w:left="840"/>
              <w:spacing w:after="0"/>
              <w:rPr>
                <w:sz w:val="20"/>
                <w:szCs w:val="20"/>
                <w:color w:val="auto"/>
              </w:rPr>
            </w:pPr>
            <w:r>
              <w:rPr>
                <w:rFonts w:ascii="Arial" w:cs="Arial" w:eastAsia="Arial" w:hAnsi="Arial"/>
                <w:sz w:val="15"/>
                <w:szCs w:val="15"/>
                <w:b w:val="1"/>
                <w:bCs w:val="1"/>
                <w:color w:val="auto"/>
              </w:rPr>
              <w:t>Nine months ended September 30, 2016</w:t>
            </w:r>
          </w:p>
        </w:tc>
        <w:tc>
          <w:tcPr>
            <w:tcW w:w="22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2"/>
          </w:tcPr>
          <w:p>
            <w:pPr>
              <w:ind w:left="720"/>
              <w:spacing w:after="0"/>
              <w:rPr>
                <w:sz w:val="20"/>
                <w:szCs w:val="20"/>
                <w:color w:val="auto"/>
              </w:rPr>
            </w:pPr>
            <w:r>
              <w:rPr>
                <w:rFonts w:ascii="Arial" w:cs="Arial" w:eastAsia="Arial" w:hAnsi="Arial"/>
                <w:sz w:val="15"/>
                <w:szCs w:val="15"/>
                <w:b w:val="1"/>
                <w:bCs w:val="1"/>
                <w:color w:val="auto"/>
              </w:rPr>
              <w:t>Nine months ended September 30, 2015</w:t>
            </w:r>
          </w:p>
        </w:tc>
      </w:tr>
      <w:tr>
        <w:trPr>
          <w:trHeight w:val="192"/>
        </w:trPr>
        <w:tc>
          <w:tcPr>
            <w:tcW w:w="3440" w:type="dxa"/>
            <w:vAlign w:val="bottom"/>
          </w:tcPr>
          <w:p>
            <w:pPr>
              <w:spacing w:after="0"/>
              <w:rPr>
                <w:sz w:val="16"/>
                <w:szCs w:val="16"/>
                <w:color w:val="auto"/>
              </w:rPr>
            </w:pPr>
          </w:p>
        </w:tc>
        <w:tc>
          <w:tcPr>
            <w:tcW w:w="1940" w:type="dxa"/>
            <w:vAlign w:val="bottom"/>
          </w:tcPr>
          <w:p>
            <w:pPr>
              <w:jc w:val="center"/>
              <w:ind w:right="23"/>
              <w:spacing w:after="0"/>
              <w:rPr>
                <w:sz w:val="20"/>
                <w:szCs w:val="20"/>
                <w:color w:val="auto"/>
              </w:rPr>
            </w:pPr>
            <w:r>
              <w:rPr>
                <w:rFonts w:ascii="Arial" w:cs="Arial" w:eastAsia="Arial" w:hAnsi="Arial"/>
                <w:sz w:val="15"/>
                <w:szCs w:val="15"/>
                <w:b w:val="1"/>
                <w:bCs w:val="1"/>
                <w:color w:val="auto"/>
                <w:w w:val="91"/>
              </w:rPr>
              <w:t>January 1,</w:t>
            </w:r>
          </w:p>
        </w:tc>
        <w:tc>
          <w:tcPr>
            <w:tcW w:w="1960" w:type="dxa"/>
            <w:vAlign w:val="bottom"/>
          </w:tcPr>
          <w:p>
            <w:pPr>
              <w:jc w:val="center"/>
              <w:ind w:left="63"/>
              <w:spacing w:after="0"/>
              <w:rPr>
                <w:sz w:val="20"/>
                <w:szCs w:val="20"/>
                <w:color w:val="auto"/>
              </w:rPr>
            </w:pPr>
            <w:r>
              <w:rPr>
                <w:rFonts w:ascii="Arial" w:cs="Arial" w:eastAsia="Arial" w:hAnsi="Arial"/>
                <w:sz w:val="15"/>
                <w:szCs w:val="15"/>
                <w:b w:val="1"/>
                <w:bCs w:val="1"/>
                <w:color w:val="auto"/>
                <w:w w:val="89"/>
              </w:rPr>
              <w:t>July 1,</w:t>
            </w:r>
          </w:p>
        </w:tc>
        <w:tc>
          <w:tcPr>
            <w:tcW w:w="220" w:type="dxa"/>
            <w:vAlign w:val="bottom"/>
          </w:tcPr>
          <w:p>
            <w:pPr>
              <w:spacing w:after="0"/>
              <w:rPr>
                <w:sz w:val="16"/>
                <w:szCs w:val="16"/>
                <w:color w:val="auto"/>
              </w:rPr>
            </w:pPr>
          </w:p>
        </w:tc>
        <w:tc>
          <w:tcPr>
            <w:tcW w:w="1920" w:type="dxa"/>
            <w:vAlign w:val="bottom"/>
          </w:tcPr>
          <w:p>
            <w:pPr>
              <w:jc w:val="center"/>
              <w:ind w:right="26"/>
              <w:spacing w:after="0"/>
              <w:rPr>
                <w:sz w:val="20"/>
                <w:szCs w:val="20"/>
                <w:color w:val="auto"/>
              </w:rPr>
            </w:pPr>
            <w:r>
              <w:rPr>
                <w:rFonts w:ascii="Arial" w:cs="Arial" w:eastAsia="Arial" w:hAnsi="Arial"/>
                <w:sz w:val="15"/>
                <w:szCs w:val="15"/>
                <w:b w:val="1"/>
                <w:bCs w:val="1"/>
                <w:color w:val="auto"/>
                <w:w w:val="88"/>
              </w:rPr>
              <w:t>January 1,</w:t>
            </w:r>
          </w:p>
        </w:tc>
        <w:tc>
          <w:tcPr>
            <w:tcW w:w="1940" w:type="dxa"/>
            <w:vAlign w:val="bottom"/>
          </w:tcPr>
          <w:p>
            <w:pPr>
              <w:jc w:val="center"/>
              <w:ind w:left="43"/>
              <w:spacing w:after="0"/>
              <w:rPr>
                <w:sz w:val="20"/>
                <w:szCs w:val="20"/>
                <w:color w:val="auto"/>
              </w:rPr>
            </w:pPr>
            <w:r>
              <w:rPr>
                <w:rFonts w:ascii="Arial" w:cs="Arial" w:eastAsia="Arial" w:hAnsi="Arial"/>
                <w:sz w:val="15"/>
                <w:szCs w:val="15"/>
                <w:b w:val="1"/>
                <w:bCs w:val="1"/>
                <w:color w:val="auto"/>
                <w:w w:val="89"/>
              </w:rPr>
              <w:t>July 1,</w:t>
            </w:r>
          </w:p>
        </w:tc>
      </w:tr>
      <w:tr>
        <w:trPr>
          <w:trHeight w:val="203"/>
        </w:trPr>
        <w:tc>
          <w:tcPr>
            <w:tcW w:w="344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5"/>
                <w:szCs w:val="15"/>
                <w:b w:val="1"/>
                <w:bCs w:val="1"/>
                <w:color w:val="auto"/>
                <w:w w:val="84"/>
              </w:rPr>
              <w:t>to</w:t>
            </w:r>
          </w:p>
        </w:tc>
        <w:tc>
          <w:tcPr>
            <w:tcW w:w="1960" w:type="dxa"/>
            <w:vAlign w:val="bottom"/>
          </w:tcPr>
          <w:p>
            <w:pPr>
              <w:jc w:val="center"/>
              <w:ind w:left="83"/>
              <w:spacing w:after="0"/>
              <w:rPr>
                <w:sz w:val="20"/>
                <w:szCs w:val="20"/>
                <w:color w:val="auto"/>
              </w:rPr>
            </w:pPr>
            <w:r>
              <w:rPr>
                <w:rFonts w:ascii="Arial" w:cs="Arial" w:eastAsia="Arial" w:hAnsi="Arial"/>
                <w:sz w:val="15"/>
                <w:szCs w:val="15"/>
                <w:b w:val="1"/>
                <w:bCs w:val="1"/>
                <w:color w:val="auto"/>
                <w:w w:val="84"/>
              </w:rPr>
              <w:t>to</w:t>
            </w:r>
          </w:p>
        </w:tc>
        <w:tc>
          <w:tcPr>
            <w:tcW w:w="220" w:type="dxa"/>
            <w:vAlign w:val="bottom"/>
          </w:tcPr>
          <w:p>
            <w:pPr>
              <w:spacing w:after="0"/>
              <w:rPr>
                <w:sz w:val="17"/>
                <w:szCs w:val="17"/>
                <w:color w:val="auto"/>
              </w:rPr>
            </w:pPr>
          </w:p>
        </w:tc>
        <w:tc>
          <w:tcPr>
            <w:tcW w:w="1920" w:type="dxa"/>
            <w:vAlign w:val="bottom"/>
          </w:tcPr>
          <w:p>
            <w:pPr>
              <w:jc w:val="center"/>
              <w:ind w:right="6"/>
              <w:spacing w:after="0"/>
              <w:rPr>
                <w:sz w:val="20"/>
                <w:szCs w:val="20"/>
                <w:color w:val="auto"/>
              </w:rPr>
            </w:pPr>
            <w:r>
              <w:rPr>
                <w:rFonts w:ascii="Arial" w:cs="Arial" w:eastAsia="Arial" w:hAnsi="Arial"/>
                <w:sz w:val="15"/>
                <w:szCs w:val="15"/>
                <w:b w:val="1"/>
                <w:bCs w:val="1"/>
                <w:color w:val="auto"/>
                <w:w w:val="84"/>
              </w:rPr>
              <w:t>to</w:t>
            </w:r>
          </w:p>
        </w:tc>
        <w:tc>
          <w:tcPr>
            <w:tcW w:w="1940" w:type="dxa"/>
            <w:vAlign w:val="bottom"/>
          </w:tcPr>
          <w:p>
            <w:pPr>
              <w:jc w:val="center"/>
              <w:ind w:left="63"/>
              <w:spacing w:after="0"/>
              <w:rPr>
                <w:sz w:val="20"/>
                <w:szCs w:val="20"/>
                <w:color w:val="auto"/>
              </w:rPr>
            </w:pPr>
            <w:r>
              <w:rPr>
                <w:rFonts w:ascii="Arial" w:cs="Arial" w:eastAsia="Arial" w:hAnsi="Arial"/>
                <w:sz w:val="15"/>
                <w:szCs w:val="15"/>
                <w:b w:val="1"/>
                <w:bCs w:val="1"/>
                <w:color w:val="auto"/>
                <w:w w:val="84"/>
              </w:rPr>
              <w:t>to</w:t>
            </w:r>
          </w:p>
        </w:tc>
      </w:tr>
      <w:tr>
        <w:trPr>
          <w:trHeight w:val="233"/>
        </w:trPr>
        <w:tc>
          <w:tcPr>
            <w:tcW w:w="3440" w:type="dxa"/>
            <w:vAlign w:val="bottom"/>
          </w:tcPr>
          <w:p>
            <w:pPr>
              <w:spacing w:after="0"/>
              <w:rPr>
                <w:sz w:val="20"/>
                <w:szCs w:val="20"/>
                <w:color w:val="auto"/>
              </w:rPr>
            </w:pPr>
          </w:p>
        </w:tc>
        <w:tc>
          <w:tcPr>
            <w:tcW w:w="194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86"/>
              </w:rPr>
              <w:t>June 30,</w:t>
            </w:r>
          </w:p>
        </w:tc>
        <w:tc>
          <w:tcPr>
            <w:tcW w:w="1960" w:type="dxa"/>
            <w:vAlign w:val="bottom"/>
            <w:tcBorders>
              <w:bottom w:val="single" w:sz="8" w:color="auto"/>
            </w:tcBorders>
          </w:tcPr>
          <w:p>
            <w:pPr>
              <w:jc w:val="center"/>
              <w:ind w:left="43"/>
              <w:spacing w:after="0"/>
              <w:rPr>
                <w:sz w:val="20"/>
                <w:szCs w:val="20"/>
                <w:color w:val="auto"/>
              </w:rPr>
            </w:pPr>
            <w:r>
              <w:rPr>
                <w:rFonts w:ascii="Arial" w:cs="Arial" w:eastAsia="Arial" w:hAnsi="Arial"/>
                <w:sz w:val="15"/>
                <w:szCs w:val="15"/>
                <w:b w:val="1"/>
                <w:bCs w:val="1"/>
                <w:color w:val="auto"/>
                <w:w w:val="89"/>
              </w:rPr>
              <w:t>September 30,</w:t>
            </w:r>
          </w:p>
        </w:tc>
        <w:tc>
          <w:tcPr>
            <w:tcW w:w="220" w:type="dxa"/>
            <w:vAlign w:val="bottom"/>
          </w:tcPr>
          <w:p>
            <w:pPr>
              <w:spacing w:after="0"/>
              <w:rPr>
                <w:sz w:val="20"/>
                <w:szCs w:val="20"/>
                <w:color w:val="auto"/>
              </w:rPr>
            </w:pPr>
          </w:p>
        </w:tc>
        <w:tc>
          <w:tcPr>
            <w:tcW w:w="1920" w:type="dxa"/>
            <w:vAlign w:val="bottom"/>
            <w:tcBorders>
              <w:bottom w:val="single" w:sz="8" w:color="auto"/>
            </w:tcBorders>
          </w:tcPr>
          <w:p>
            <w:pPr>
              <w:jc w:val="center"/>
              <w:ind w:right="26"/>
              <w:spacing w:after="0"/>
              <w:rPr>
                <w:sz w:val="20"/>
                <w:szCs w:val="20"/>
                <w:color w:val="auto"/>
              </w:rPr>
            </w:pPr>
            <w:r>
              <w:rPr>
                <w:rFonts w:ascii="Arial" w:cs="Arial" w:eastAsia="Arial" w:hAnsi="Arial"/>
                <w:sz w:val="15"/>
                <w:szCs w:val="15"/>
                <w:b w:val="1"/>
                <w:bCs w:val="1"/>
                <w:color w:val="auto"/>
                <w:w w:val="89"/>
              </w:rPr>
              <w:t>June 30,</w:t>
            </w:r>
          </w:p>
        </w:tc>
        <w:tc>
          <w:tcPr>
            <w:tcW w:w="1940" w:type="dxa"/>
            <w:vAlign w:val="bottom"/>
            <w:tcBorders>
              <w:bottom w:val="single" w:sz="8" w:color="auto"/>
            </w:tcBorders>
          </w:tcPr>
          <w:p>
            <w:pPr>
              <w:jc w:val="center"/>
              <w:ind w:left="43"/>
              <w:spacing w:after="0"/>
              <w:rPr>
                <w:sz w:val="20"/>
                <w:szCs w:val="20"/>
                <w:color w:val="auto"/>
              </w:rPr>
            </w:pPr>
            <w:r>
              <w:rPr>
                <w:rFonts w:ascii="Arial" w:cs="Arial" w:eastAsia="Arial" w:hAnsi="Arial"/>
                <w:sz w:val="15"/>
                <w:szCs w:val="15"/>
                <w:b w:val="1"/>
                <w:bCs w:val="1"/>
                <w:color w:val="auto"/>
                <w:w w:val="87"/>
              </w:rPr>
              <w:t>September 30,</w:t>
            </w:r>
          </w:p>
        </w:tc>
      </w:tr>
      <w:tr>
        <w:trPr>
          <w:trHeight w:val="192"/>
        </w:trPr>
        <w:tc>
          <w:tcPr>
            <w:tcW w:w="3440" w:type="dxa"/>
            <w:vAlign w:val="bottom"/>
          </w:tcPr>
          <w:p>
            <w:pPr>
              <w:spacing w:after="0"/>
              <w:rPr>
                <w:sz w:val="16"/>
                <w:szCs w:val="16"/>
                <w:color w:val="auto"/>
              </w:rPr>
            </w:pPr>
          </w:p>
        </w:tc>
        <w:tc>
          <w:tcPr>
            <w:tcW w:w="1940" w:type="dxa"/>
            <w:vAlign w:val="bottom"/>
          </w:tcPr>
          <w:p>
            <w:pPr>
              <w:jc w:val="center"/>
              <w:ind w:right="23"/>
              <w:spacing w:after="0"/>
              <w:rPr>
                <w:sz w:val="20"/>
                <w:szCs w:val="20"/>
                <w:color w:val="auto"/>
              </w:rPr>
            </w:pPr>
            <w:r>
              <w:rPr>
                <w:rFonts w:ascii="Arial" w:cs="Arial" w:eastAsia="Arial" w:hAnsi="Arial"/>
                <w:sz w:val="15"/>
                <w:szCs w:val="15"/>
                <w:b w:val="1"/>
                <w:bCs w:val="1"/>
                <w:color w:val="auto"/>
                <w:w w:val="94"/>
              </w:rPr>
              <w:t>("2015/2016 Treaty")</w:t>
            </w:r>
          </w:p>
        </w:tc>
        <w:tc>
          <w:tcPr>
            <w:tcW w:w="1960" w:type="dxa"/>
            <w:vAlign w:val="bottom"/>
          </w:tcPr>
          <w:p>
            <w:pPr>
              <w:jc w:val="center"/>
              <w:ind w:left="43"/>
              <w:spacing w:after="0"/>
              <w:rPr>
                <w:sz w:val="20"/>
                <w:szCs w:val="20"/>
                <w:color w:val="auto"/>
              </w:rPr>
            </w:pPr>
            <w:r>
              <w:rPr>
                <w:rFonts w:ascii="Arial" w:cs="Arial" w:eastAsia="Arial" w:hAnsi="Arial"/>
                <w:sz w:val="15"/>
                <w:szCs w:val="15"/>
                <w:b w:val="1"/>
                <w:bCs w:val="1"/>
                <w:color w:val="auto"/>
                <w:w w:val="94"/>
              </w:rPr>
              <w:t>("2016/2017 Treaty")</w:t>
            </w:r>
          </w:p>
        </w:tc>
        <w:tc>
          <w:tcPr>
            <w:tcW w:w="220" w:type="dxa"/>
            <w:vAlign w:val="bottom"/>
          </w:tcPr>
          <w:p>
            <w:pPr>
              <w:spacing w:after="0"/>
              <w:rPr>
                <w:sz w:val="16"/>
                <w:szCs w:val="16"/>
                <w:color w:val="auto"/>
              </w:rPr>
            </w:pPr>
          </w:p>
        </w:tc>
        <w:tc>
          <w:tcPr>
            <w:tcW w:w="1920" w:type="dxa"/>
            <w:vAlign w:val="bottom"/>
          </w:tcPr>
          <w:p>
            <w:pPr>
              <w:jc w:val="center"/>
              <w:ind w:right="26"/>
              <w:spacing w:after="0"/>
              <w:rPr>
                <w:sz w:val="20"/>
                <w:szCs w:val="20"/>
                <w:color w:val="auto"/>
              </w:rPr>
            </w:pPr>
            <w:r>
              <w:rPr>
                <w:rFonts w:ascii="Arial" w:cs="Arial" w:eastAsia="Arial" w:hAnsi="Arial"/>
                <w:sz w:val="15"/>
                <w:szCs w:val="15"/>
                <w:b w:val="1"/>
                <w:bCs w:val="1"/>
                <w:color w:val="auto"/>
                <w:w w:val="92"/>
              </w:rPr>
              <w:t>("2014/2015 Treaty")</w:t>
            </w:r>
          </w:p>
        </w:tc>
        <w:tc>
          <w:tcPr>
            <w:tcW w:w="1940" w:type="dxa"/>
            <w:vAlign w:val="bottom"/>
          </w:tcPr>
          <w:p>
            <w:pPr>
              <w:jc w:val="center"/>
              <w:ind w:left="43"/>
              <w:spacing w:after="0"/>
              <w:rPr>
                <w:sz w:val="20"/>
                <w:szCs w:val="20"/>
                <w:color w:val="auto"/>
              </w:rPr>
            </w:pPr>
            <w:r>
              <w:rPr>
                <w:rFonts w:ascii="Arial" w:cs="Arial" w:eastAsia="Arial" w:hAnsi="Arial"/>
                <w:sz w:val="15"/>
                <w:szCs w:val="15"/>
                <w:b w:val="1"/>
                <w:bCs w:val="1"/>
                <w:color w:val="auto"/>
                <w:w w:val="92"/>
              </w:rPr>
              <w:t>("2015/2016 Treaty")</w:t>
            </w:r>
          </w:p>
        </w:tc>
      </w:tr>
      <w:tr>
        <w:trPr>
          <w:trHeight w:val="455"/>
        </w:trPr>
        <w:tc>
          <w:tcPr>
            <w:tcW w:w="3440" w:type="dxa"/>
            <w:vAlign w:val="bottom"/>
          </w:tcPr>
          <w:p>
            <w:pPr>
              <w:ind w:left="60"/>
              <w:spacing w:after="0"/>
              <w:rPr>
                <w:sz w:val="20"/>
                <w:szCs w:val="20"/>
                <w:color w:val="auto"/>
              </w:rPr>
            </w:pPr>
            <w:r>
              <w:rPr>
                <w:rFonts w:ascii="Arial" w:cs="Arial" w:eastAsia="Arial" w:hAnsi="Arial"/>
                <w:sz w:val="18"/>
                <w:szCs w:val="18"/>
                <w:b w:val="1"/>
                <w:bCs w:val="1"/>
                <w:color w:val="auto"/>
              </w:rPr>
              <w:t>Quota share reinsurance rates</w:t>
            </w:r>
          </w:p>
        </w:tc>
        <w:tc>
          <w:tcPr>
            <w:tcW w:w="1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7"/>
        </w:trPr>
        <w:tc>
          <w:tcPr>
            <w:tcW w:w="3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Personal lines</w:t>
            </w:r>
          </w:p>
        </w:tc>
        <w:tc>
          <w:tcPr>
            <w:tcW w:w="1940" w:type="dxa"/>
            <w:vAlign w:val="bottom"/>
            <w:shd w:val="clear" w:color="auto" w:fill="CCEEFF"/>
          </w:tcPr>
          <w:p>
            <w:pPr>
              <w:jc w:val="center"/>
              <w:ind w:right="23"/>
              <w:spacing w:after="0"/>
              <w:rPr>
                <w:sz w:val="20"/>
                <w:szCs w:val="20"/>
                <w:color w:val="auto"/>
              </w:rPr>
            </w:pPr>
            <w:r>
              <w:rPr>
                <w:rFonts w:ascii="Arial" w:cs="Arial" w:eastAsia="Arial" w:hAnsi="Arial"/>
                <w:sz w:val="18"/>
                <w:szCs w:val="18"/>
                <w:color w:val="auto"/>
                <w:w w:val="88"/>
              </w:rPr>
              <w:t>40%</w:t>
            </w:r>
          </w:p>
        </w:tc>
        <w:tc>
          <w:tcPr>
            <w:tcW w:w="1960" w:type="dxa"/>
            <w:vAlign w:val="bottom"/>
            <w:shd w:val="clear" w:color="auto" w:fill="CCEEFF"/>
          </w:tcPr>
          <w:p>
            <w:pPr>
              <w:jc w:val="center"/>
              <w:ind w:left="43"/>
              <w:spacing w:after="0"/>
              <w:rPr>
                <w:sz w:val="20"/>
                <w:szCs w:val="20"/>
                <w:color w:val="auto"/>
              </w:rPr>
            </w:pPr>
            <w:r>
              <w:rPr>
                <w:rFonts w:ascii="Arial" w:cs="Arial" w:eastAsia="Arial" w:hAnsi="Arial"/>
                <w:sz w:val="18"/>
                <w:szCs w:val="18"/>
                <w:color w:val="auto"/>
                <w:w w:val="88"/>
              </w:rPr>
              <w:t>40%</w:t>
            </w:r>
          </w:p>
        </w:tc>
        <w:tc>
          <w:tcPr>
            <w:tcW w:w="21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55%</w:t>
            </w:r>
          </w:p>
        </w:tc>
        <w:tc>
          <w:tcPr>
            <w:tcW w:w="1940" w:type="dxa"/>
            <w:vAlign w:val="bottom"/>
            <w:shd w:val="clear" w:color="auto" w:fill="CCEEFF"/>
          </w:tcPr>
          <w:p>
            <w:pPr>
              <w:jc w:val="center"/>
              <w:ind w:left="23"/>
              <w:spacing w:after="0"/>
              <w:rPr>
                <w:sz w:val="20"/>
                <w:szCs w:val="20"/>
                <w:color w:val="auto"/>
              </w:rPr>
            </w:pPr>
            <w:r>
              <w:rPr>
                <w:rFonts w:ascii="Arial" w:cs="Arial" w:eastAsia="Arial" w:hAnsi="Arial"/>
                <w:sz w:val="18"/>
                <w:szCs w:val="18"/>
                <w:color w:val="auto"/>
                <w:w w:val="88"/>
              </w:rPr>
              <w:t>40%</w:t>
            </w:r>
          </w:p>
        </w:tc>
      </w:tr>
    </w:tbl>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“Reinsurance” below for changes to our personal lines quota share treaty effective July 1, 2016.</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written premiums increased $3,500,000, or 7.7%, to $48,847,000 in 2016 from $45,347,000 in 2015. Net written premiums include direct and assumed premiums, less the amount of written premiums ceded under our reinsurance treaties (quota share, excess of loss, and catastrophe). Our personal lines business is currently subject to a quota share treaty. A reduction to the quota share percentage or elimination of a quota share treaty will reduce our ceded written premiums, which will result in a corresponding increase to our net written premiums.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i w:val="1"/>
          <w:iCs w:val="1"/>
          <w:color w:val="auto"/>
        </w:rPr>
        <w:t>Change in quota share ceding rate</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July 1, 2015, we decreased the quota share ceding rate in our personal lines quota share treaty from 55% to 40%. The Cut-off of this treaty on July 1, 2015 resulted in a $5,866,000 return of unearned premiums from our reinsurers that were previously ceded under the expiring personal lines quota share treaty. We did not change our quota share ceding rates on July 1, 2016, and accordingly, there was no return of unearned premiums from our reinsurers (in contrast with what occurred on July 1, 2015), thus diminishing the increase in net written premiums in 2016. The table below shows the effect of the $5,866,000 return of ceded premiums on net written premiums for 2016 and 2015: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vMerge w:val="restart"/>
          </w:tcPr>
          <w:p>
            <w:pPr>
              <w:spacing w:after="0"/>
              <w:rPr>
                <w:sz w:val="20"/>
                <w:szCs w:val="20"/>
                <w:color w:val="auto"/>
              </w:rPr>
            </w:pPr>
            <w:r>
              <w:rPr>
                <w:rFonts w:ascii="Arial" w:cs="Arial" w:eastAsia="Arial" w:hAnsi="Arial"/>
                <w:sz w:val="15"/>
                <w:szCs w:val="15"/>
                <w:b w:val="1"/>
                <w:bCs w:val="1"/>
                <w:color w:val="auto"/>
              </w:rPr>
              <w:t>($ in thousands)</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5"/>
                <w:szCs w:val="15"/>
                <w:b w:val="1"/>
                <w:bCs w:val="1"/>
                <w:color w:val="auto"/>
                <w:w w:val="87"/>
              </w:rPr>
              <w:t>Nine months ended September 30,</w:t>
            </w: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6"/>
              <w:spacing w:after="0" w:line="162" w:lineRule="exact"/>
              <w:rPr>
                <w:sz w:val="20"/>
                <w:szCs w:val="20"/>
                <w:color w:val="auto"/>
              </w:rPr>
            </w:pPr>
            <w:r>
              <w:rPr>
                <w:rFonts w:ascii="Arial" w:cs="Arial" w:eastAsia="Arial" w:hAnsi="Arial"/>
                <w:sz w:val="15"/>
                <w:szCs w:val="15"/>
                <w:b w:val="1"/>
                <w:bCs w:val="1"/>
                <w:color w:val="auto"/>
              </w:rPr>
              <w:t>2016</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8"/>
              <w:spacing w:after="0" w:line="162" w:lineRule="exact"/>
              <w:rPr>
                <w:sz w:val="20"/>
                <w:szCs w:val="20"/>
                <w:color w:val="auto"/>
              </w:rPr>
            </w:pPr>
            <w:r>
              <w:rPr>
                <w:rFonts w:ascii="Arial" w:cs="Arial" w:eastAsia="Arial" w:hAnsi="Arial"/>
                <w:sz w:val="15"/>
                <w:szCs w:val="15"/>
                <w:b w:val="1"/>
                <w:bCs w:val="1"/>
                <w:color w:val="auto"/>
              </w:rPr>
              <w:t>2015</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6"/>
              <w:spacing w:after="0" w:line="162" w:lineRule="exact"/>
              <w:rPr>
                <w:sz w:val="20"/>
                <w:szCs w:val="20"/>
                <w:color w:val="auto"/>
              </w:rPr>
            </w:pPr>
            <w:r>
              <w:rPr>
                <w:rFonts w:ascii="Arial" w:cs="Arial" w:eastAsia="Arial" w:hAnsi="Arial"/>
                <w:sz w:val="15"/>
                <w:szCs w:val="15"/>
                <w:b w:val="1"/>
                <w:bCs w:val="1"/>
                <w:color w:val="auto"/>
              </w:rPr>
              <w:t>Change</w:t>
            </w:r>
          </w:p>
        </w:tc>
        <w:tc>
          <w:tcPr>
            <w:tcW w:w="1360" w:type="dxa"/>
            <w:vAlign w:val="bottom"/>
            <w:tcBorders>
              <w:bottom w:val="single" w:sz="8" w:color="auto"/>
            </w:tcBorders>
          </w:tcPr>
          <w:p>
            <w:pPr>
              <w:jc w:val="right"/>
              <w:ind w:right="376"/>
              <w:spacing w:after="0" w:line="162" w:lineRule="exact"/>
              <w:rPr>
                <w:sz w:val="20"/>
                <w:szCs w:val="20"/>
                <w:color w:val="auto"/>
              </w:rPr>
            </w:pPr>
            <w:r>
              <w:rPr>
                <w:rFonts w:ascii="Arial" w:cs="Arial" w:eastAsia="Arial" w:hAnsi="Arial"/>
                <w:sz w:val="15"/>
                <w:szCs w:val="15"/>
                <w:b w:val="1"/>
                <w:bCs w:val="1"/>
                <w:color w:val="auto"/>
              </w:rPr>
              <w:t>Percent</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written premiums</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48,847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45,347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3,500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5960" w:type="dxa"/>
            <w:vAlign w:val="bottom"/>
          </w:tcPr>
          <w:p>
            <w:pPr>
              <w:ind w:left="100"/>
              <w:spacing w:after="0"/>
              <w:rPr>
                <w:sz w:val="20"/>
                <w:szCs w:val="20"/>
                <w:color w:val="auto"/>
              </w:rPr>
            </w:pPr>
            <w:r>
              <w:rPr>
                <w:rFonts w:ascii="Arial" w:cs="Arial" w:eastAsia="Arial" w:hAnsi="Arial"/>
                <w:sz w:val="18"/>
                <w:szCs w:val="18"/>
                <w:color w:val="auto"/>
              </w:rPr>
              <w:t>Return of premiums previously ceded to prior quota share treaties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5,866</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(5,866)</w:t>
            </w: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written premiums without the effect of the July 1, 2015 Cut-off</w:t>
            </w:r>
          </w:p>
        </w:tc>
        <w:tc>
          <w:tcPr>
            <w:tcW w:w="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48,847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39,481</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9,366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Without the $5,866,000 effect of the Cut-off in 2015, net written premiums increased by $9,366,000, or 23.7%, in 2016 compared to 2015.</w:t>
      </w:r>
    </w:p>
    <w:p>
      <w:pPr>
        <w:spacing w:after="0" w:line="275"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The 2016/2017 Treaty and 2015/2016 Treaty are on a “net” of catastrophe reinsurance basis, as opposed to the “gross” arrangement that existed in periods before July 1, 2015.</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 in catastrophe reinsurance from “gross” basis to “net” basis</w:t>
      </w:r>
    </w:p>
    <w:p>
      <w:pPr>
        <w:spacing w:after="0" w:line="25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Most of the premiums written under our personal lines are also subject to our catastrophe treaty. An increase in our personal lines business gives rise to more property exposure, which increases our exposure to catastrophe risk; therefore, our premiums for catastrophe insurance will increase. This results in an increase in premiums ceded under our catastrophe treaty, which reduces net written premiums. With the inception of our personal lines quota share treaty being on a “net” basis effective July 1, 2015, our catastrophe premiums are paid based on all of our direct written premiums subject to the quota share, compared to catastrophe premiums being paid only on the amount of written premiums that we retained under the “gross” basis that expired on June 30, 2015.</w:t>
      </w:r>
    </w:p>
    <w:p>
      <w:pPr>
        <w:spacing w:after="0" w:line="19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From January 1, 2016 through June 30, 2016, catastrophe reinsurance was on a “net” basis and from January 1, 2015 through June 30, 2015, catastrophe reinsurance was on a “gross” basis. For the three month periods ended September 30, 2016 and 2015, catastrophe reinsurance was on a “net” basis for both periods. As a result of the mid-year change from “gross” to “net”, comparison between periods in 2016 and 2015 are separated between the six month periods ended June 30 and the three month periods ended September 30. Ceded catastrophe premiums from January 1, 2016 through June 30, 2016 increased by $2,496,000, or 120.1%, to $4,575,000 for the six months ended June 30, 2016 from $2,079,000 for the six months ended June 30, 2015. The increase was primarily due the change from “gross” to “net”. Ceded catastrophe premiums from July 1, 2016 through September 30, 2016 increased by $120,000, or 5.2%, to $2,427,000 for the three months ended September 30, 2016 from $2,307,000 for the three months ended September 30, 2015. The increase was primarily due to an increase in premiums subject to catastrophe reinsurance.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i w:val="1"/>
          <w:iCs w:val="1"/>
          <w:color w:val="auto"/>
        </w:rPr>
        <w:t>Excess of loss reinsurance treaty</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An increase in written premiums will also increase the premiums ceded under our excess of loss treaties, which incrementally reduces our net written premiums. In 2016, our ceded excess of loss reinsurance premiums increased by $111,000 over the ceded premiums for 2015.</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premiums earned increased $10,808,000, or 31.4%, to $45,189,000 in 2016 from $34,381,000 in 2015. The increase was primarily due to us retaining more earned premiums effective July 1, 2015, as a result of the reduction of the quota share percentage in our personal lines quota share treaty. The decrease in our quota share ceding percentage from the July 1, 2015 Cut-off gave us a $5,866,000 return of premiums previously ceded, which increased our net premiums earned during the twelve month periods after the Cut-off. In addition, as premiums written earn ratably over a twelve month period, net premiums earned in 2016 increased due to the higher net written premiums generated for the twelve months ended September 30, 2016 compared to the twelve months ended September 30,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following table details the quota share provisional ceding commission rates in effect during 2016 and 2015. This table should be referred to in conjunction with the discussion for ceding commission revenue that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2"/>
          </w:tcPr>
          <w:p>
            <w:pPr>
              <w:ind w:left="560"/>
              <w:spacing w:after="0"/>
              <w:rPr>
                <w:sz w:val="20"/>
                <w:szCs w:val="20"/>
                <w:color w:val="auto"/>
              </w:rPr>
            </w:pPr>
            <w:r>
              <w:rPr>
                <w:rFonts w:ascii="Arial" w:cs="Arial" w:eastAsia="Arial" w:hAnsi="Arial"/>
                <w:sz w:val="15"/>
                <w:szCs w:val="15"/>
                <w:b w:val="1"/>
                <w:bCs w:val="1"/>
                <w:color w:val="auto"/>
              </w:rPr>
              <w:t>Nine months ended September 30, 2016</w:t>
            </w:r>
          </w:p>
        </w:tc>
        <w:tc>
          <w:tcPr>
            <w:tcW w:w="22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2"/>
          </w:tcPr>
          <w:p>
            <w:pPr>
              <w:ind w:left="720"/>
              <w:spacing w:after="0"/>
              <w:rPr>
                <w:sz w:val="20"/>
                <w:szCs w:val="20"/>
                <w:color w:val="auto"/>
              </w:rPr>
            </w:pPr>
            <w:r>
              <w:rPr>
                <w:rFonts w:ascii="Arial" w:cs="Arial" w:eastAsia="Arial" w:hAnsi="Arial"/>
                <w:sz w:val="15"/>
                <w:szCs w:val="15"/>
                <w:b w:val="1"/>
                <w:bCs w:val="1"/>
                <w:color w:val="auto"/>
              </w:rPr>
              <w:t>Nine months ended September 30, 2015</w:t>
            </w:r>
          </w:p>
        </w:tc>
      </w:tr>
      <w:tr>
        <w:trPr>
          <w:trHeight w:val="192"/>
        </w:trPr>
        <w:tc>
          <w:tcPr>
            <w:tcW w:w="3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jc w:val="center"/>
              <w:ind w:right="423"/>
              <w:spacing w:after="0"/>
              <w:rPr>
                <w:sz w:val="20"/>
                <w:szCs w:val="20"/>
                <w:color w:val="auto"/>
              </w:rPr>
            </w:pPr>
            <w:r>
              <w:rPr>
                <w:rFonts w:ascii="Arial" w:cs="Arial" w:eastAsia="Arial" w:hAnsi="Arial"/>
                <w:sz w:val="15"/>
                <w:szCs w:val="15"/>
                <w:b w:val="1"/>
                <w:bCs w:val="1"/>
                <w:color w:val="auto"/>
                <w:w w:val="91"/>
              </w:rPr>
              <w:t>January 1,</w:t>
            </w:r>
          </w:p>
        </w:tc>
        <w:tc>
          <w:tcPr>
            <w:tcW w:w="1840" w:type="dxa"/>
            <w:vAlign w:val="bottom"/>
          </w:tcPr>
          <w:p>
            <w:pPr>
              <w:jc w:val="center"/>
              <w:spacing w:after="0"/>
              <w:rPr>
                <w:sz w:val="20"/>
                <w:szCs w:val="20"/>
                <w:color w:val="auto"/>
              </w:rPr>
            </w:pPr>
            <w:r>
              <w:rPr>
                <w:rFonts w:ascii="Arial" w:cs="Arial" w:eastAsia="Arial" w:hAnsi="Arial"/>
                <w:sz w:val="15"/>
                <w:szCs w:val="15"/>
                <w:b w:val="1"/>
                <w:bCs w:val="1"/>
                <w:color w:val="auto"/>
                <w:w w:val="89"/>
              </w:rPr>
              <w:t>July 1,</w:t>
            </w:r>
          </w:p>
        </w:tc>
        <w:tc>
          <w:tcPr>
            <w:tcW w:w="220" w:type="dxa"/>
            <w:vAlign w:val="bottom"/>
          </w:tcPr>
          <w:p>
            <w:pPr>
              <w:spacing w:after="0"/>
              <w:rPr>
                <w:sz w:val="16"/>
                <w:szCs w:val="16"/>
                <w:color w:val="auto"/>
              </w:rPr>
            </w:pPr>
          </w:p>
        </w:tc>
        <w:tc>
          <w:tcPr>
            <w:tcW w:w="1980" w:type="dxa"/>
            <w:vAlign w:val="bottom"/>
          </w:tcPr>
          <w:p>
            <w:pPr>
              <w:jc w:val="center"/>
              <w:ind w:right="86"/>
              <w:spacing w:after="0"/>
              <w:rPr>
                <w:sz w:val="20"/>
                <w:szCs w:val="20"/>
                <w:color w:val="auto"/>
              </w:rPr>
            </w:pPr>
            <w:r>
              <w:rPr>
                <w:rFonts w:ascii="Arial" w:cs="Arial" w:eastAsia="Arial" w:hAnsi="Arial"/>
                <w:sz w:val="15"/>
                <w:szCs w:val="15"/>
                <w:b w:val="1"/>
                <w:bCs w:val="1"/>
                <w:color w:val="auto"/>
                <w:w w:val="88"/>
              </w:rPr>
              <w:t>January 1,</w:t>
            </w:r>
          </w:p>
        </w:tc>
        <w:tc>
          <w:tcPr>
            <w:tcW w:w="1880" w:type="dxa"/>
            <w:vAlign w:val="bottom"/>
          </w:tcPr>
          <w:p>
            <w:pPr>
              <w:jc w:val="center"/>
              <w:spacing w:after="0"/>
              <w:rPr>
                <w:sz w:val="20"/>
                <w:szCs w:val="20"/>
                <w:color w:val="auto"/>
              </w:rPr>
            </w:pPr>
            <w:r>
              <w:rPr>
                <w:rFonts w:ascii="Arial" w:cs="Arial" w:eastAsia="Arial" w:hAnsi="Arial"/>
                <w:sz w:val="15"/>
                <w:szCs w:val="15"/>
                <w:b w:val="1"/>
                <w:bCs w:val="1"/>
                <w:color w:val="auto"/>
                <w:w w:val="89"/>
              </w:rPr>
              <w:t>July 1,</w:t>
            </w:r>
          </w:p>
        </w:tc>
      </w:tr>
      <w:tr>
        <w:trPr>
          <w:trHeight w:val="203"/>
        </w:trPr>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jc w:val="center"/>
              <w:ind w:right="383"/>
              <w:spacing w:after="0"/>
              <w:rPr>
                <w:sz w:val="20"/>
                <w:szCs w:val="20"/>
                <w:color w:val="auto"/>
              </w:rPr>
            </w:pPr>
            <w:r>
              <w:rPr>
                <w:rFonts w:ascii="Arial" w:cs="Arial" w:eastAsia="Arial" w:hAnsi="Arial"/>
                <w:sz w:val="15"/>
                <w:szCs w:val="15"/>
                <w:b w:val="1"/>
                <w:bCs w:val="1"/>
                <w:color w:val="auto"/>
                <w:w w:val="84"/>
              </w:rPr>
              <w:t>to</w:t>
            </w:r>
          </w:p>
        </w:tc>
        <w:tc>
          <w:tcPr>
            <w:tcW w:w="1840" w:type="dxa"/>
            <w:vAlign w:val="bottom"/>
          </w:tcPr>
          <w:p>
            <w:pPr>
              <w:jc w:val="center"/>
              <w:spacing w:after="0"/>
              <w:rPr>
                <w:sz w:val="20"/>
                <w:szCs w:val="20"/>
                <w:color w:val="auto"/>
              </w:rPr>
            </w:pPr>
            <w:r>
              <w:rPr>
                <w:rFonts w:ascii="Arial" w:cs="Arial" w:eastAsia="Arial" w:hAnsi="Arial"/>
                <w:sz w:val="15"/>
                <w:szCs w:val="15"/>
                <w:b w:val="1"/>
                <w:bCs w:val="1"/>
                <w:color w:val="auto"/>
                <w:w w:val="84"/>
              </w:rPr>
              <w:t>to</w:t>
            </w:r>
          </w:p>
        </w:tc>
        <w:tc>
          <w:tcPr>
            <w:tcW w:w="220" w:type="dxa"/>
            <w:vAlign w:val="bottom"/>
          </w:tcPr>
          <w:p>
            <w:pPr>
              <w:spacing w:after="0"/>
              <w:rPr>
                <w:sz w:val="17"/>
                <w:szCs w:val="17"/>
                <w:color w:val="auto"/>
              </w:rPr>
            </w:pPr>
          </w:p>
        </w:tc>
        <w:tc>
          <w:tcPr>
            <w:tcW w:w="1980" w:type="dxa"/>
            <w:vAlign w:val="bottom"/>
          </w:tcPr>
          <w:p>
            <w:pPr>
              <w:jc w:val="center"/>
              <w:ind w:right="66"/>
              <w:spacing w:after="0"/>
              <w:rPr>
                <w:sz w:val="20"/>
                <w:szCs w:val="20"/>
                <w:color w:val="auto"/>
              </w:rPr>
            </w:pPr>
            <w:r>
              <w:rPr>
                <w:rFonts w:ascii="Arial" w:cs="Arial" w:eastAsia="Arial" w:hAnsi="Arial"/>
                <w:sz w:val="15"/>
                <w:szCs w:val="15"/>
                <w:b w:val="1"/>
                <w:bCs w:val="1"/>
                <w:color w:val="auto"/>
                <w:w w:val="84"/>
              </w:rPr>
              <w:t>to</w:t>
            </w:r>
          </w:p>
        </w:tc>
        <w:tc>
          <w:tcPr>
            <w:tcW w:w="1880" w:type="dxa"/>
            <w:vAlign w:val="bottom"/>
          </w:tcPr>
          <w:p>
            <w:pPr>
              <w:jc w:val="center"/>
              <w:ind w:left="3"/>
              <w:spacing w:after="0"/>
              <w:rPr>
                <w:sz w:val="20"/>
                <w:szCs w:val="20"/>
                <w:color w:val="auto"/>
              </w:rPr>
            </w:pPr>
            <w:r>
              <w:rPr>
                <w:rFonts w:ascii="Arial" w:cs="Arial" w:eastAsia="Arial" w:hAnsi="Arial"/>
                <w:sz w:val="15"/>
                <w:szCs w:val="15"/>
                <w:b w:val="1"/>
                <w:bCs w:val="1"/>
                <w:color w:val="auto"/>
                <w:w w:val="84"/>
              </w:rPr>
              <w:t>to</w:t>
            </w:r>
          </w:p>
        </w:tc>
      </w:tr>
      <w:tr>
        <w:trPr>
          <w:trHeight w:val="233"/>
        </w:trPr>
        <w:tc>
          <w:tcPr>
            <w:tcW w:w="3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423"/>
              <w:spacing w:after="0"/>
              <w:rPr>
                <w:sz w:val="20"/>
                <w:szCs w:val="20"/>
                <w:color w:val="auto"/>
              </w:rPr>
            </w:pPr>
            <w:r>
              <w:rPr>
                <w:rFonts w:ascii="Arial" w:cs="Arial" w:eastAsia="Arial" w:hAnsi="Arial"/>
                <w:sz w:val="15"/>
                <w:szCs w:val="15"/>
                <w:b w:val="1"/>
                <w:bCs w:val="1"/>
                <w:color w:val="auto"/>
                <w:w w:val="86"/>
              </w:rPr>
              <w:t>June 30,</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September 30,</w:t>
            </w:r>
          </w:p>
        </w:tc>
        <w:tc>
          <w:tcPr>
            <w:tcW w:w="220" w:type="dxa"/>
            <w:vAlign w:val="bottom"/>
          </w:tcPr>
          <w:p>
            <w:pPr>
              <w:spacing w:after="0"/>
              <w:rPr>
                <w:sz w:val="20"/>
                <w:szCs w:val="20"/>
                <w:color w:val="auto"/>
              </w:rPr>
            </w:pPr>
          </w:p>
        </w:tc>
        <w:tc>
          <w:tcPr>
            <w:tcW w:w="1980" w:type="dxa"/>
            <w:vAlign w:val="bottom"/>
            <w:tcBorders>
              <w:bottom w:val="single" w:sz="8" w:color="auto"/>
            </w:tcBorders>
          </w:tcPr>
          <w:p>
            <w:pPr>
              <w:jc w:val="center"/>
              <w:ind w:right="86"/>
              <w:spacing w:after="0"/>
              <w:rPr>
                <w:sz w:val="20"/>
                <w:szCs w:val="20"/>
                <w:color w:val="auto"/>
              </w:rPr>
            </w:pPr>
            <w:r>
              <w:rPr>
                <w:rFonts w:ascii="Arial" w:cs="Arial" w:eastAsia="Arial" w:hAnsi="Arial"/>
                <w:sz w:val="15"/>
                <w:szCs w:val="15"/>
                <w:b w:val="1"/>
                <w:bCs w:val="1"/>
                <w:color w:val="auto"/>
                <w:w w:val="89"/>
              </w:rPr>
              <w:t>June 30,</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September 30,</w:t>
            </w:r>
          </w:p>
        </w:tc>
      </w:tr>
      <w:tr>
        <w:trPr>
          <w:trHeight w:val="192"/>
        </w:trPr>
        <w:tc>
          <w:tcPr>
            <w:tcW w:w="3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("2015/2016 Treaty")</w:t>
            </w:r>
          </w:p>
        </w:tc>
        <w:tc>
          <w:tcPr>
            <w:tcW w:w="1840" w:type="dxa"/>
            <w:vAlign w:val="bottom"/>
          </w:tcPr>
          <w:p>
            <w:pPr>
              <w:ind w:left="360"/>
              <w:spacing w:after="0"/>
              <w:rPr>
                <w:sz w:val="20"/>
                <w:szCs w:val="20"/>
                <w:color w:val="auto"/>
              </w:rPr>
            </w:pPr>
            <w:r>
              <w:rPr>
                <w:rFonts w:ascii="Arial" w:cs="Arial" w:eastAsia="Arial" w:hAnsi="Arial"/>
                <w:sz w:val="15"/>
                <w:szCs w:val="15"/>
                <w:b w:val="1"/>
                <w:bCs w:val="1"/>
                <w:color w:val="auto"/>
              </w:rPr>
              <w:t>("2016/2017 Treaty")</w:t>
            </w:r>
          </w:p>
        </w:tc>
        <w:tc>
          <w:tcPr>
            <w:tcW w:w="220" w:type="dxa"/>
            <w:vAlign w:val="bottom"/>
          </w:tcPr>
          <w:p>
            <w:pPr>
              <w:spacing w:after="0"/>
              <w:rPr>
                <w:sz w:val="16"/>
                <w:szCs w:val="16"/>
                <w:color w:val="auto"/>
              </w:rPr>
            </w:pPr>
          </w:p>
        </w:tc>
        <w:tc>
          <w:tcPr>
            <w:tcW w:w="1980" w:type="dxa"/>
            <w:vAlign w:val="bottom"/>
          </w:tcPr>
          <w:p>
            <w:pPr>
              <w:ind w:left="340"/>
              <w:spacing w:after="0"/>
              <w:rPr>
                <w:sz w:val="20"/>
                <w:szCs w:val="20"/>
                <w:color w:val="auto"/>
              </w:rPr>
            </w:pPr>
            <w:r>
              <w:rPr>
                <w:rFonts w:ascii="Arial" w:cs="Arial" w:eastAsia="Arial" w:hAnsi="Arial"/>
                <w:sz w:val="15"/>
                <w:szCs w:val="15"/>
                <w:b w:val="1"/>
                <w:bCs w:val="1"/>
                <w:color w:val="auto"/>
              </w:rPr>
              <w:t>("2014/2015 Treaty")</w:t>
            </w:r>
          </w:p>
        </w:tc>
        <w:tc>
          <w:tcPr>
            <w:tcW w:w="1880" w:type="dxa"/>
            <w:vAlign w:val="bottom"/>
          </w:tcPr>
          <w:p>
            <w:pPr>
              <w:jc w:val="center"/>
              <w:spacing w:after="0"/>
              <w:rPr>
                <w:sz w:val="20"/>
                <w:szCs w:val="20"/>
                <w:color w:val="auto"/>
              </w:rPr>
            </w:pPr>
            <w:r>
              <w:rPr>
                <w:rFonts w:ascii="Arial" w:cs="Arial" w:eastAsia="Arial" w:hAnsi="Arial"/>
                <w:sz w:val="15"/>
                <w:szCs w:val="15"/>
                <w:b w:val="1"/>
                <w:bCs w:val="1"/>
                <w:color w:val="auto"/>
                <w:w w:val="92"/>
              </w:rPr>
              <w:t>("2015/2016 Treaty")</w:t>
            </w:r>
          </w:p>
        </w:tc>
      </w:tr>
      <w:tr>
        <w:trPr>
          <w:trHeight w:val="455"/>
        </w:trPr>
        <w:tc>
          <w:tcPr>
            <w:tcW w:w="3720" w:type="dxa"/>
            <w:vAlign w:val="bottom"/>
            <w:gridSpan w:val="2"/>
          </w:tcPr>
          <w:p>
            <w:pPr>
              <w:ind w:left="60"/>
              <w:spacing w:after="0"/>
              <w:rPr>
                <w:sz w:val="20"/>
                <w:szCs w:val="20"/>
                <w:color w:val="auto"/>
              </w:rPr>
            </w:pPr>
            <w:r>
              <w:rPr>
                <w:rFonts w:ascii="Arial" w:cs="Arial" w:eastAsia="Arial" w:hAnsi="Arial"/>
                <w:sz w:val="18"/>
                <w:szCs w:val="18"/>
                <w:b w:val="1"/>
                <w:bCs w:val="1"/>
                <w:color w:val="auto"/>
                <w:w w:val="87"/>
              </w:rPr>
              <w:t>Quota share provisional ceding commission rate</w:t>
            </w:r>
          </w:p>
        </w:tc>
        <w:tc>
          <w:tcPr>
            <w:tcW w:w="1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7"/>
        </w:trPr>
        <w:tc>
          <w:tcPr>
            <w:tcW w:w="3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Personal lines</w:t>
            </w:r>
          </w:p>
        </w:tc>
        <w:tc>
          <w:tcPr>
            <w:tcW w:w="1780" w:type="dxa"/>
            <w:vAlign w:val="bottom"/>
            <w:shd w:val="clear" w:color="auto" w:fill="CCEEFF"/>
          </w:tcPr>
          <w:p>
            <w:pPr>
              <w:jc w:val="center"/>
              <w:ind w:right="423"/>
              <w:spacing w:after="0"/>
              <w:rPr>
                <w:sz w:val="20"/>
                <w:szCs w:val="20"/>
                <w:color w:val="auto"/>
              </w:rPr>
            </w:pPr>
            <w:r>
              <w:rPr>
                <w:rFonts w:ascii="Arial" w:cs="Arial" w:eastAsia="Arial" w:hAnsi="Arial"/>
                <w:sz w:val="18"/>
                <w:szCs w:val="18"/>
                <w:color w:val="auto"/>
                <w:w w:val="88"/>
              </w:rPr>
              <w:t>55%</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52%</w:t>
            </w:r>
          </w:p>
        </w:tc>
        <w:tc>
          <w:tcPr>
            <w:tcW w:w="2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55%</w:t>
            </w: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changes in the components of ceding commission revenue (in thousands) for the periods indicated: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8"/>
                <w:szCs w:val="18"/>
                <w:b w:val="1"/>
                <w:bCs w:val="1"/>
                <w:color w:val="auto"/>
                <w:w w:val="90"/>
              </w:rPr>
              <w:t>Nine months ended September 30,</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 in thousands)</w:t>
            </w:r>
          </w:p>
        </w:tc>
        <w:tc>
          <w:tcPr>
            <w:tcW w:w="1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w w:val="90"/>
              </w:rPr>
              <w:t>Change</w:t>
            </w:r>
          </w:p>
        </w:tc>
        <w:tc>
          <w:tcPr>
            <w:tcW w:w="13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60"/>
              <w:spacing w:after="0"/>
              <w:rPr>
                <w:sz w:val="20"/>
                <w:szCs w:val="20"/>
                <w:color w:val="auto"/>
              </w:rPr>
            </w:pPr>
            <w:r>
              <w:rPr>
                <w:rFonts w:ascii="Arial" w:cs="Arial" w:eastAsia="Arial" w:hAnsi="Arial"/>
                <w:sz w:val="18"/>
                <w:szCs w:val="18"/>
                <w:color w:val="auto"/>
              </w:rPr>
              <w:t>Provisional ceding commissions earned</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9,508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8,734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774</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60"/>
              <w:spacing w:after="0"/>
              <w:rPr>
                <w:sz w:val="20"/>
                <w:szCs w:val="20"/>
                <w:color w:val="auto"/>
              </w:rPr>
            </w:pPr>
            <w:r>
              <w:rPr>
                <w:rFonts w:ascii="Arial" w:cs="Arial" w:eastAsia="Arial" w:hAnsi="Arial"/>
                <w:sz w:val="18"/>
                <w:szCs w:val="18"/>
                <w:color w:val="auto"/>
              </w:rPr>
              <w:t>Contingent ceding commissions earned</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ceding commissions earned excluding</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80"/>
              <w:spacing w:after="0"/>
              <w:rPr>
                <w:sz w:val="20"/>
                <w:szCs w:val="20"/>
                <w:color w:val="auto"/>
              </w:rPr>
            </w:pPr>
            <w:r>
              <w:rPr>
                <w:rFonts w:ascii="Arial" w:cs="Arial" w:eastAsia="Arial" w:hAnsi="Arial"/>
                <w:sz w:val="18"/>
                <w:szCs w:val="18"/>
                <w:color w:val="auto"/>
              </w:rPr>
              <w:t>the effect of catastrophes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(1,234)</w:t>
            </w:r>
          </w:p>
        </w:tc>
        <w:tc>
          <w:tcPr>
            <w:tcW w:w="480" w:type="dxa"/>
            <w:vAlign w:val="bottom"/>
          </w:tcPr>
          <w:p>
            <w:pPr>
              <w:spacing w:after="0"/>
              <w:rPr>
                <w:sz w:val="18"/>
                <w:szCs w:val="18"/>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1,935</w:t>
            </w:r>
          </w:p>
        </w:tc>
        <w:tc>
          <w:tcPr>
            <w:tcW w:w="320" w:type="dxa"/>
            <w:vAlign w:val="bottom"/>
          </w:tcPr>
          <w:p>
            <w:pPr>
              <w:spacing w:after="0"/>
              <w:rPr>
                <w:sz w:val="18"/>
                <w:szCs w:val="18"/>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(3,169)</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(163.8) %</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Effect of catastrophes on ceding commissions earned</w:t>
            </w:r>
          </w:p>
        </w:tc>
        <w:tc>
          <w:tcPr>
            <w:tcW w:w="1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(1,281)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1,281</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3"/>
        </w:trPr>
        <w:tc>
          <w:tcPr>
            <w:tcW w:w="4780" w:type="dxa"/>
            <w:vAlign w:val="bottom"/>
          </w:tcPr>
          <w:p>
            <w:pPr>
              <w:ind w:left="220"/>
              <w:spacing w:after="0"/>
              <w:rPr>
                <w:sz w:val="20"/>
                <w:szCs w:val="20"/>
                <w:color w:val="auto"/>
              </w:rPr>
            </w:pPr>
            <w:r>
              <w:rPr>
                <w:rFonts w:ascii="Arial" w:cs="Arial" w:eastAsia="Arial" w:hAnsi="Arial"/>
                <w:sz w:val="18"/>
                <w:szCs w:val="18"/>
                <w:color w:val="auto"/>
              </w:rPr>
              <w:t>Contingent ceding commissions earned</w:t>
            </w:r>
          </w:p>
        </w:tc>
        <w:tc>
          <w:tcPr>
            <w:tcW w:w="1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(1,234)</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654</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(1,888)</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(288.7) %</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0"/>
              <w:spacing w:after="0"/>
              <w:rPr>
                <w:sz w:val="20"/>
                <w:szCs w:val="20"/>
                <w:color w:val="auto"/>
              </w:rPr>
            </w:pPr>
            <w:r>
              <w:rPr>
                <w:rFonts w:ascii="Arial" w:cs="Arial" w:eastAsia="Arial" w:hAnsi="Arial"/>
                <w:sz w:val="18"/>
                <w:szCs w:val="18"/>
                <w:color w:val="auto"/>
              </w:rPr>
              <w:t>Total ceding commission revenue</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8,274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9,388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(1,114)</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1180" w:type="dxa"/>
            <w:vAlign w:val="bottom"/>
            <w:vMerge w:val="restart"/>
          </w:tcPr>
          <w:p>
            <w:pPr>
              <w:jc w:val="right"/>
              <w:ind w:right="72"/>
              <w:spacing w:after="0"/>
              <w:rPr>
                <w:sz w:val="20"/>
                <w:szCs w:val="20"/>
                <w:color w:val="auto"/>
              </w:rPr>
            </w:pPr>
            <w:r>
              <w:rPr>
                <w:rFonts w:ascii="Arial" w:cs="Arial" w:eastAsia="Arial" w:hAnsi="Arial"/>
                <w:sz w:val="18"/>
                <w:szCs w:val="18"/>
                <w:color w:val="auto"/>
              </w:rPr>
              <w:t>41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47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6" w:right="239" w:bottom="1440" w:gutter="0" w:footer="0" w:header="0"/>
        </w:sectPr>
      </w:pPr>
    </w:p>
    <w:bookmarkStart w:id="43" w:name="page44"/>
    <w:bookmarkEnd w:id="43"/>
    <w:p>
      <w:pPr>
        <w:jc w:val="both"/>
        <w:ind w:firstLine="648"/>
        <w:spacing w:after="0" w:line="268" w:lineRule="auto"/>
        <w:rPr>
          <w:sz w:val="20"/>
          <w:szCs w:val="20"/>
          <w:color w:val="auto"/>
        </w:rPr>
      </w:pPr>
      <w:r>
        <w:rPr>
          <w:rFonts w:ascii="Arial" w:cs="Arial" w:eastAsia="Arial" w:hAnsi="Arial"/>
          <w:sz w:val="18"/>
          <w:szCs w:val="18"/>
          <w:color w:val="auto"/>
        </w:rPr>
        <w:t>Ceding commission revenue was $8,724,000 in 2016 compared to $9,388,000 in 2015. The decrease of $1,114,000, or 11.9%, was due to a decrease in contingent ceding commissions earned, partially offset by an increase in provisional ceding commissions earned.</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5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receive a provisional ceding commission based on ceded written premiums. In 2016 our provisional ceding rate was 55% from January 1 through June 30 under the 2015/2016 Treaty and was reduced to 52% effective July 1, 2016 under the 2016/2017 Treaty. In 2015 our provisional ceding rate was 40% from January 1 through June 30 under the 2014/2015 Treaty and was increased to 55% effective July 1, 2015 under the 2015/2016 Treaty. The variations in the ceding commission rate resulted in weighted average rates during 2016 and 2015 of 54% and 45%, respectively.</w:t>
      </w:r>
    </w:p>
    <w:p>
      <w:pPr>
        <w:spacing w:after="0" w:line="194" w:lineRule="exact"/>
        <w:rPr>
          <w:sz w:val="20"/>
          <w:szCs w:val="20"/>
          <w:color w:val="auto"/>
        </w:rPr>
      </w:pPr>
    </w:p>
    <w:p>
      <w:pPr>
        <w:jc w:val="both"/>
        <w:ind w:firstLine="690"/>
        <w:spacing w:after="0" w:line="255" w:lineRule="auto"/>
        <w:rPr>
          <w:sz w:val="20"/>
          <w:szCs w:val="20"/>
          <w:color w:val="auto"/>
        </w:rPr>
      </w:pPr>
      <w:r>
        <w:rPr>
          <w:rFonts w:ascii="Arial" w:cs="Arial" w:eastAsia="Arial" w:hAnsi="Arial"/>
          <w:sz w:val="18"/>
          <w:szCs w:val="18"/>
          <w:color w:val="auto"/>
        </w:rPr>
        <w:t>The $774,000 increase in provisional ceding commissions earned is due to: (1) an increase in personal lines direct written premiums subject to the quota share and (2) an increase in the weighted average provisional ceding commission rates as discussed above, partially offset by (1) a decrease in the amount of premiums subject to provisional ceding commissions due to the reduction in quota share rates to 40% beginning July 1, 2015 and (2) a decrease in the percentage of ceded premiums subject to quota share under the “net” quota share treaties in effect beginning July 1, 2015 compared to the “gross” 2014/2015 Treaty that expired on June 30, 2015.</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5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As a result of the increase in the provisional ceding commission rates to 52% under the 2016/2017 Treaty and 55% under the 2015/2016 Treaty beginning July 1, 2015, from 40% under the 2014/2015 Treaty, we do not have an opportunity to earn as much contingent ceding commissions. Under the “net” treaty in effect as of July 1, 2015, catastrophe losses in excess of the first $4,000,000 will fall outside of the quota share treaty and such losses will not have an impact on contingent ceding commissions, as was the case under previous “gross” treaties. The new structure eliminates the adverse impact that catastrophe losses above $4,000,000 would have on contingent ceding commissions.</w:t>
      </w:r>
    </w:p>
    <w:p>
      <w:pPr>
        <w:spacing w:after="0" w:line="19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personal lines quota share treaties detailed in the table above that were in effect during 2016 are subject to change based on losses incurred from claims with accident dates beginning July 1, 2015. The amount of contingent ceding commissions we are eligible to receive under our prior years’ quota share treaties is subject to change based on losses incurred related to claims with accident dates before July 1, 2015 under those treaties.</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2015, in addition to the 2015/2016 Treaty, which was effective as of July 1, 2015, our personal lines reinsurance quota share treaty that expired on June 30, 2015 covered the period from July 1, 2013 to June 30, 2015 (“2013/2015 Treaty”). The computation to arrive at contingent ceding commission revenue under the 2013/2015 Treaty included catastrophe losses and LAE incurred from severe winter weather during 2015 (see discussion of “Net Loss and LAE” below). Such losses increased our ceded loss ratio in our 2013/2015 Treaty, which reduced our contingent ceding commission revenue in accordance with the sliding scale discussed above in 2015 by $1,281,000. Catastrophe losses for 2016 have no impact on our contingent ceding commission revenue since the ultimate loss ratio used to determine these commissions was not affected by the 2016 severe winter weather. See “Reinsurance” below for changes to our personal lines quota share treaty effective July 1, 2016.</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Net Investment Income</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Net investment income was $2,286,000 in 2016 compared to $1,850,000 in 2015. The increase of $436,000, or 23.6%, was due to an increase in average invested assets in 2016. The increase in cash and invested assets resulted primarily from increased operating cash flows for the period after June 30, 2015. The increase in operating cash flows is due in part from the reduction in quota share rates on July 1, 2015. The reduction in quota share rates results in a decline in ceded premiums, which leads to more cash flow and more invested funds. The pre-tax equivalent investment yield on estimated annual income, excluding cash, was 4.17% and 4.81% as of September 30, 2016 and 2015, respectively. The decrease in the pre-tax equivalent investment yield is due to a shift toward shorter duration investments, which inherently have a lower yield. A reduction in interest rates resulted in an increase to unrealized gains on our portfolio, which in turn reduced the pre-tax equivalent investment yield.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52" w:lineRule="exact"/>
        <w:rPr>
          <w:sz w:val="20"/>
          <w:szCs w:val="20"/>
          <w:color w:val="auto"/>
        </w:rPr>
      </w:pPr>
    </w:p>
    <w:p>
      <w:pPr>
        <w:jc w:val="both"/>
        <w:ind w:firstLine="692"/>
        <w:spacing w:after="0" w:line="256" w:lineRule="auto"/>
        <w:rPr>
          <w:sz w:val="20"/>
          <w:szCs w:val="20"/>
          <w:color w:val="auto"/>
        </w:rPr>
      </w:pPr>
      <w:r>
        <w:rPr>
          <w:rFonts w:ascii="Arial" w:cs="Arial" w:eastAsia="Arial" w:hAnsi="Arial"/>
          <w:sz w:val="18"/>
          <w:szCs w:val="18"/>
          <w:color w:val="auto"/>
        </w:rPr>
        <w:t>Other income was $831,000 in 2016 compared to $1,300,000 in 2015. The decrease of $469,000, or 36.1%, was primarily due to: (1) the $350,000 we received in 2015 as early settlement of the termination agreement that generated placement fees in our premium finance business (see Note 11 to the Condensed Consolidated Financial Statements), and (2) $154,000 we earned in 2015 in connection with the settlement of a liability, partially offset by an increase in installment and finance fees earned in our insurance underwriting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Net loss and LAE was $20,406,000 in 2016 compared to $16,884,000 in 2015. The net loss ratio was 45.2% in 2016 compared to 49.1% in 2015, a decrease of 3.9 percentage points.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graphs summarize the changes in the components of net loss ratio for the periods indicated: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1537970</wp:posOffset>
            </wp:positionH>
            <wp:positionV relativeFrom="page">
              <wp:posOffset>328930</wp:posOffset>
            </wp:positionV>
            <wp:extent cx="4485005" cy="41509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448500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During 2016, the net loss ratio decreased compared to 2015 due to a combination of several factors. First, there was a reduction in the impact of severe winter weather, defined as the losses incurred above those expected in an average winter. In 2016 we recorded 3.1 points of impact from severe winter weather, compared to 6.1 points in 2015, or a decrease of 3.0 points. We recorded 0.4 points of favorable prior year loss development in 2016 compared to 1.4 points of favorable prior year development in 2015, or a decrease in the favorable impact of 1.0 points year-over-year. In addition, the core loss ratio excluding the impact of severe winter weather and prior year development decreased to 42.5% in 2016 from 44.4% in 2015, or a decrease of 1.9 points. The decrease in the core net loss ratio is driven by reduced claim frequency in our personal lines business, which more than offsets some increase in average claim severity due to the impact of large fires. See table below under “Additional Financial Information” summarizing net loss ratios by line of business.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Commercial Auto Line of Business</w:t>
      </w:r>
    </w:p>
    <w:p>
      <w:pPr>
        <w:spacing w:after="0" w:line="252"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Effective October 1, 2014 we decided to no longer accept applications for new commercial auto coverage. The action was taken following a series of underwriting and pricing measures which were intended to improve the profitability of this line of business. The actions taken did not yield the hoped for results. In February 2015, we decided to no longer offer renewals to our existing commercial auto policies beginning with those that expired on or after May 1, 2015. As of September 30, 2016, we had no commercial auto policies in force, compared to 238 policies in force as of September 30, 2015.</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46" w:name="page47"/>
    <w:bookmarkEnd w:id="46"/>
    <w:p>
      <w:pPr>
        <w:jc w:val="both"/>
        <w:ind w:firstLine="692"/>
        <w:spacing w:after="0" w:line="268" w:lineRule="auto"/>
        <w:rPr>
          <w:sz w:val="20"/>
          <w:szCs w:val="20"/>
          <w:color w:val="auto"/>
        </w:rPr>
      </w:pPr>
      <w:r>
        <w:rPr>
          <w:rFonts w:ascii="Arial" w:cs="Arial" w:eastAsia="Arial" w:hAnsi="Arial"/>
          <w:sz w:val="18"/>
          <w:szCs w:val="18"/>
          <w:color w:val="auto"/>
        </w:rPr>
        <w:t>The decision to exit this line of business has significantly reduced the adverse impact that associated commercial auto liability claims will have on our overall results. The following table displays the impact that this decision has had on our loss and LAE reserves over time: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90"/>
              </w:rPr>
              <w:t>Commercial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740" w:type="dxa"/>
            <w:vAlign w:val="bottom"/>
            <w:tcBorders>
              <w:bottom w:val="single" w:sz="8" w:color="auto"/>
            </w:tcBorders>
            <w:gridSpan w:val="3"/>
          </w:tcPr>
          <w:p>
            <w:pPr>
              <w:jc w:val="right"/>
              <w:ind w:right="758"/>
              <w:spacing w:after="0"/>
              <w:rPr>
                <w:sz w:val="20"/>
                <w:szCs w:val="20"/>
                <w:color w:val="auto"/>
              </w:rPr>
            </w:pPr>
            <w:r>
              <w:rPr>
                <w:rFonts w:ascii="Arial" w:cs="Arial" w:eastAsia="Arial" w:hAnsi="Arial"/>
                <w:sz w:val="15"/>
                <w:szCs w:val="15"/>
                <w:b w:val="1"/>
                <w:bCs w:val="1"/>
                <w:color w:val="auto"/>
              </w:rPr>
              <w:t>Commercial Auto</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88"/>
              </w:rPr>
              <w:t>Auto as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1"/>
              </w:rPr>
              <w:t>Number</w:t>
            </w:r>
          </w:p>
        </w:tc>
        <w:tc>
          <w:tcPr>
            <w:tcW w:w="320" w:type="dxa"/>
            <w:vAlign w:val="bottom"/>
          </w:tcPr>
          <w:p>
            <w:pPr>
              <w:spacing w:after="0"/>
              <w:rPr>
                <w:sz w:val="12"/>
                <w:szCs w:val="12"/>
                <w:color w:val="auto"/>
              </w:rPr>
            </w:pPr>
          </w:p>
        </w:tc>
        <w:tc>
          <w:tcPr>
            <w:tcW w:w="1080" w:type="dxa"/>
            <w:vAlign w:val="bottom"/>
          </w:tcPr>
          <w:p>
            <w:pPr>
              <w:jc w:val="center"/>
              <w:ind w:right="278"/>
              <w:spacing w:after="0" w:line="149" w:lineRule="exact"/>
              <w:rPr>
                <w:sz w:val="20"/>
                <w:szCs w:val="20"/>
                <w:color w:val="auto"/>
              </w:rPr>
            </w:pPr>
            <w:r>
              <w:rPr>
                <w:rFonts w:ascii="Arial" w:cs="Arial" w:eastAsia="Arial" w:hAnsi="Arial"/>
                <w:sz w:val="15"/>
                <w:szCs w:val="15"/>
                <w:b w:val="1"/>
                <w:bCs w:val="1"/>
                <w:color w:val="auto"/>
                <w:w w:val="84"/>
              </w:rPr>
              <w:t>Loss and</w:t>
            </w:r>
          </w:p>
        </w:tc>
        <w:tc>
          <w:tcPr>
            <w:tcW w:w="260" w:type="dxa"/>
            <w:vAlign w:val="bottom"/>
          </w:tcPr>
          <w:p>
            <w:pPr>
              <w:spacing w:after="0"/>
              <w:rPr>
                <w:sz w:val="12"/>
                <w:szCs w:val="12"/>
                <w:color w:val="auto"/>
              </w:rPr>
            </w:pPr>
          </w:p>
        </w:tc>
        <w:tc>
          <w:tcPr>
            <w:tcW w:w="1080" w:type="dxa"/>
            <w:vAlign w:val="bottom"/>
          </w:tcPr>
          <w:p>
            <w:pPr>
              <w:jc w:val="center"/>
              <w:ind w:right="238"/>
              <w:spacing w:after="0" w:line="149" w:lineRule="exact"/>
              <w:rPr>
                <w:sz w:val="20"/>
                <w:szCs w:val="20"/>
                <w:color w:val="auto"/>
              </w:rPr>
            </w:pPr>
            <w:r>
              <w:rPr>
                <w:rFonts w:ascii="Arial" w:cs="Arial" w:eastAsia="Arial" w:hAnsi="Arial"/>
                <w:sz w:val="15"/>
                <w:szCs w:val="15"/>
                <w:b w:val="1"/>
                <w:bCs w:val="1"/>
                <w:color w:val="auto"/>
                <w:w w:val="85"/>
              </w:rPr>
              <w:t>Total Loss</w:t>
            </w:r>
          </w:p>
        </w:tc>
        <w:tc>
          <w:tcPr>
            <w:tcW w:w="13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6"/>
              </w:rPr>
              <w:t>Percentage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of Open</w:t>
            </w:r>
          </w:p>
        </w:tc>
        <w:tc>
          <w:tcPr>
            <w:tcW w:w="320" w:type="dxa"/>
            <w:vAlign w:val="bottom"/>
          </w:tcPr>
          <w:p>
            <w:pPr>
              <w:spacing w:after="0"/>
              <w:rPr>
                <w:sz w:val="14"/>
                <w:szCs w:val="14"/>
                <w:color w:val="auto"/>
              </w:rPr>
            </w:pPr>
          </w:p>
        </w:tc>
        <w:tc>
          <w:tcPr>
            <w:tcW w:w="1080" w:type="dxa"/>
            <w:vAlign w:val="bottom"/>
          </w:tcPr>
          <w:p>
            <w:pPr>
              <w:jc w:val="center"/>
              <w:ind w:right="298"/>
              <w:spacing w:after="0" w:line="162" w:lineRule="exact"/>
              <w:rPr>
                <w:sz w:val="20"/>
                <w:szCs w:val="20"/>
                <w:color w:val="auto"/>
              </w:rPr>
            </w:pPr>
            <w:r>
              <w:rPr>
                <w:rFonts w:ascii="Arial" w:cs="Arial" w:eastAsia="Arial" w:hAnsi="Arial"/>
                <w:sz w:val="15"/>
                <w:szCs w:val="15"/>
                <w:b w:val="1"/>
                <w:bCs w:val="1"/>
                <w:color w:val="auto"/>
                <w:w w:val="99"/>
              </w:rPr>
              <w:t>LAE</w:t>
            </w:r>
          </w:p>
        </w:tc>
        <w:tc>
          <w:tcPr>
            <w:tcW w:w="260" w:type="dxa"/>
            <w:vAlign w:val="bottom"/>
          </w:tcPr>
          <w:p>
            <w:pPr>
              <w:spacing w:after="0"/>
              <w:rPr>
                <w:sz w:val="14"/>
                <w:szCs w:val="14"/>
                <w:color w:val="auto"/>
              </w:rPr>
            </w:pPr>
          </w:p>
        </w:tc>
        <w:tc>
          <w:tcPr>
            <w:tcW w:w="1080" w:type="dxa"/>
            <w:vAlign w:val="bottom"/>
          </w:tcPr>
          <w:p>
            <w:pPr>
              <w:jc w:val="center"/>
              <w:ind w:right="238"/>
              <w:spacing w:after="0" w:line="162" w:lineRule="exact"/>
              <w:rPr>
                <w:sz w:val="20"/>
                <w:szCs w:val="20"/>
                <w:color w:val="auto"/>
              </w:rPr>
            </w:pPr>
            <w:r>
              <w:rPr>
                <w:rFonts w:ascii="Arial" w:cs="Arial" w:eastAsia="Arial" w:hAnsi="Arial"/>
                <w:sz w:val="15"/>
                <w:szCs w:val="15"/>
                <w:b w:val="1"/>
                <w:bCs w:val="1"/>
                <w:color w:val="auto"/>
                <w:w w:val="98"/>
              </w:rPr>
              <w:t>and LAE</w:t>
            </w:r>
          </w:p>
        </w:tc>
        <w:tc>
          <w:tcPr>
            <w:tcW w:w="13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6"/>
              </w:rPr>
              <w:t>Total Loss and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Borders>
              <w:bottom w:val="single" w:sz="8" w:color="auto"/>
            </w:tcBorders>
          </w:tcPr>
          <w:p>
            <w:pPr>
              <w:ind w:left="2800"/>
              <w:spacing w:after="0"/>
              <w:rPr>
                <w:sz w:val="20"/>
                <w:szCs w:val="20"/>
                <w:color w:val="auto"/>
              </w:rPr>
            </w:pPr>
            <w:r>
              <w:rPr>
                <w:rFonts w:ascii="Arial" w:cs="Arial" w:eastAsia="Arial" w:hAnsi="Arial"/>
                <w:sz w:val="15"/>
                <w:szCs w:val="15"/>
                <w:b w:val="1"/>
                <w:bCs w:val="1"/>
                <w:color w:val="auto"/>
              </w:rPr>
              <w:t>As of</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Claims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78"/>
              <w:spacing w:after="0"/>
              <w:rPr>
                <w:sz w:val="20"/>
                <w:szCs w:val="20"/>
                <w:color w:val="auto"/>
              </w:rPr>
            </w:pPr>
            <w:r>
              <w:rPr>
                <w:rFonts w:ascii="Arial" w:cs="Arial" w:eastAsia="Arial" w:hAnsi="Arial"/>
                <w:sz w:val="15"/>
                <w:szCs w:val="15"/>
                <w:b w:val="1"/>
                <w:bCs w:val="1"/>
                <w:color w:val="auto"/>
                <w:w w:val="83"/>
              </w:rPr>
              <w:t>Reserves</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38"/>
              <w:spacing w:after="0"/>
              <w:rPr>
                <w:sz w:val="20"/>
                <w:szCs w:val="20"/>
                <w:color w:val="auto"/>
              </w:rPr>
            </w:pPr>
            <w:r>
              <w:rPr>
                <w:rFonts w:ascii="Arial" w:cs="Arial" w:eastAsia="Arial" w:hAnsi="Arial"/>
                <w:sz w:val="15"/>
                <w:szCs w:val="15"/>
                <w:b w:val="1"/>
                <w:bCs w:val="1"/>
                <w:color w:val="auto"/>
                <w:w w:val="83"/>
              </w:rPr>
              <w:t>Reserves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LAE Reserves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 thousands except number of open claims)</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9,185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34,503</w:t>
            </w:r>
          </w:p>
        </w:tc>
        <w:tc>
          <w:tcPr>
            <w:tcW w:w="13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December 31, 2014</w:t>
            </w:r>
          </w:p>
        </w:tc>
        <w:tc>
          <w:tcPr>
            <w:tcW w:w="1340" w:type="dxa"/>
            <w:vAlign w:val="bottom"/>
          </w:tcPr>
          <w:p>
            <w:pPr>
              <w:jc w:val="right"/>
              <w:ind w:right="99"/>
              <w:spacing w:after="0"/>
              <w:rPr>
                <w:sz w:val="20"/>
                <w:szCs w:val="20"/>
                <w:color w:val="auto"/>
              </w:rPr>
            </w:pPr>
            <w:r>
              <w:rPr>
                <w:rFonts w:ascii="Arial" w:cs="Arial" w:eastAsia="Arial" w:hAnsi="Arial"/>
                <w:sz w:val="18"/>
                <w:szCs w:val="18"/>
                <w:color w:val="auto"/>
              </w:rPr>
              <w:t>114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8"/>
              <w:spacing w:after="0"/>
              <w:rPr>
                <w:sz w:val="20"/>
                <w:szCs w:val="20"/>
                <w:color w:val="auto"/>
              </w:rPr>
            </w:pPr>
            <w:r>
              <w:rPr>
                <w:rFonts w:ascii="Arial" w:cs="Arial" w:eastAsia="Arial" w:hAnsi="Arial"/>
                <w:sz w:val="18"/>
                <w:szCs w:val="18"/>
                <w:color w:val="auto"/>
              </w:rPr>
              <w:t>8,126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8"/>
              <w:spacing w:after="0"/>
              <w:rPr>
                <w:sz w:val="20"/>
                <w:szCs w:val="20"/>
                <w:color w:val="auto"/>
              </w:rPr>
            </w:pPr>
            <w:r>
              <w:rPr>
                <w:rFonts w:ascii="Arial" w:cs="Arial" w:eastAsia="Arial" w:hAnsi="Arial"/>
                <w:sz w:val="18"/>
                <w:szCs w:val="18"/>
                <w:color w:val="auto"/>
              </w:rPr>
              <w:t>39,613</w:t>
            </w:r>
          </w:p>
        </w:tc>
        <w:tc>
          <w:tcPr>
            <w:tcW w:w="1380" w:type="dxa"/>
            <w:vAlign w:val="bottom"/>
          </w:tcPr>
          <w:p>
            <w:pPr>
              <w:ind w:left="860"/>
              <w:spacing w:after="0"/>
              <w:rPr>
                <w:sz w:val="20"/>
                <w:szCs w:val="20"/>
                <w:color w:val="auto"/>
              </w:rPr>
            </w:pPr>
            <w:r>
              <w:rPr>
                <w:rFonts w:ascii="Arial" w:cs="Arial" w:eastAsia="Arial" w:hAnsi="Arial"/>
                <w:sz w:val="18"/>
                <w:szCs w:val="18"/>
                <w:color w:val="auto"/>
                <w:w w:val="97"/>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4,971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39,877</w:t>
            </w:r>
          </w:p>
        </w:tc>
        <w:tc>
          <w:tcPr>
            <w:tcW w:w="13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12.5%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September 30, 2016</w:t>
            </w:r>
          </w:p>
        </w:tc>
        <w:tc>
          <w:tcPr>
            <w:tcW w:w="1340" w:type="dxa"/>
            <w:vAlign w:val="bottom"/>
          </w:tcPr>
          <w:p>
            <w:pPr>
              <w:jc w:val="right"/>
              <w:ind w:right="99"/>
              <w:spacing w:after="0"/>
              <w:rPr>
                <w:sz w:val="20"/>
                <w:szCs w:val="20"/>
                <w:color w:val="auto"/>
              </w:rPr>
            </w:pPr>
            <w:r>
              <w:rPr>
                <w:rFonts w:ascii="Arial" w:cs="Arial" w:eastAsia="Arial" w:hAnsi="Arial"/>
                <w:sz w:val="18"/>
                <w:szCs w:val="18"/>
                <w:color w:val="auto"/>
              </w:rPr>
              <w:t>41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8"/>
              <w:spacing w:after="0"/>
              <w:rPr>
                <w:sz w:val="20"/>
                <w:szCs w:val="20"/>
                <w:color w:val="auto"/>
              </w:rPr>
            </w:pPr>
            <w:r>
              <w:rPr>
                <w:rFonts w:ascii="Arial" w:cs="Arial" w:eastAsia="Arial" w:hAnsi="Arial"/>
                <w:sz w:val="18"/>
                <w:szCs w:val="18"/>
                <w:color w:val="auto"/>
              </w:rPr>
              <w:t>2,470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8"/>
              <w:spacing w:after="0"/>
              <w:rPr>
                <w:sz w:val="20"/>
                <w:szCs w:val="20"/>
                <w:color w:val="auto"/>
              </w:rPr>
            </w:pPr>
            <w:r>
              <w:rPr>
                <w:rFonts w:ascii="Arial" w:cs="Arial" w:eastAsia="Arial" w:hAnsi="Arial"/>
                <w:sz w:val="18"/>
                <w:szCs w:val="18"/>
                <w:color w:val="auto"/>
              </w:rPr>
              <w:t>39,802</w:t>
            </w:r>
          </w:p>
        </w:tc>
        <w:tc>
          <w:tcPr>
            <w:tcW w:w="1380" w:type="dxa"/>
            <w:vAlign w:val="bottom"/>
          </w:tcPr>
          <w:p>
            <w:pPr>
              <w:ind w:left="8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692"/>
        <w:spacing w:after="0" w:line="256" w:lineRule="auto"/>
        <w:rPr>
          <w:sz w:val="20"/>
          <w:szCs w:val="20"/>
          <w:color w:val="auto"/>
        </w:rPr>
      </w:pPr>
      <w:r>
        <w:rPr>
          <w:rFonts w:ascii="Arial" w:cs="Arial" w:eastAsia="Arial" w:hAnsi="Arial"/>
          <w:sz w:val="18"/>
          <w:szCs w:val="18"/>
          <w:color w:val="auto"/>
        </w:rPr>
        <w:t>Commercial auto liability loss and LAE reserves account for a rapidly decreasing percentage of our total loss and LAE reserves, and as of September 30, 2016 comprise 6.2% of our total loss and LAE reserves. This line of business was historically subject to a high level of uncertainty and volatility in claim emergence and loss development. The exit from this line therefore significantly decreases the uncertainty surrounding our overall reserve levels and reduces the associated volatility in financial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Commission expense was $13,400,000 in 2016 or 18.7 % of direct earned premiums. Commission expense was $11,034,000 in 2015 or 18.3% of direct earned premiums. The increase of $2,366,000 is due to the increase in direct written premiums in 2016 as compared to 2015 and an increase in bonus commissions as a result of the decrease in net loss ratio in 2016 as compared to 2015. The increase in the percentage of commission expense to direct earned premiums to 18.7% in 2016 from 18.3% in 2015 is due the additional bonus commission described above and a change in the mix of business to lines of business with higher commission rates.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Underwriting Expenses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Other underwriting expenses were $10,982,000 in 2016 compared to $9,350,000 in 2015. The increase of $1,632,000, or 17.5%, in other underwriting expenses was primarily due to expenses directly and indirectly related to growth in direct written premiums. We are also incurring expenses related to our efforts to expand into the other states in which we recently obtained licensing (“Expansion Expenses”).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Expansion Expenses include salaries and employment costs, professional fees, IT and data services. Salaries and employment costs were $5,124,000 in 2016 compared to $4,361,000 in 2015. The increase of $763,000, or 17.5%, was due to hiring of additional staff to service our current level of business and anticipated growth in volume. In addition, there were annual rate increases in both salaries and the cost of employee benefits. Other underwriting expenses as a percentage of direct written premiums increased to 14.4% in 2016 from 13.9% in 2015. Other underwriting expenses as a percentage of direct earned premiums decreased to 15.4% in 2016 from 15.5% in 2015. Salaries and employment costs, which accounted for 46.7% of other underwriting expenses in 2016, and 46.6% of other underwriting expenses in 2015, were 7.2% of direct earned premiums in both 2016 and 2015.</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7" w:name="page48"/>
    <w:bookmarkEnd w:id="47"/>
    <w:p>
      <w:pPr>
        <w:jc w:val="both"/>
        <w:ind w:firstLine="648"/>
        <w:spacing w:after="0" w:line="268" w:lineRule="auto"/>
        <w:rPr>
          <w:sz w:val="20"/>
          <w:szCs w:val="20"/>
          <w:color w:val="auto"/>
        </w:rPr>
      </w:pPr>
      <w:r>
        <w:rPr>
          <w:rFonts w:ascii="Arial" w:cs="Arial" w:eastAsia="Arial" w:hAnsi="Arial"/>
          <w:sz w:val="18"/>
          <w:szCs w:val="18"/>
          <w:color w:val="auto"/>
        </w:rPr>
        <w:t>Our net underwriting expense ratio in 2016 was 33.8% compared with 29.9% in 2015. The following table shows the individual components of our net underwriting expense ratio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740" w:type="dxa"/>
            <w:vAlign w:val="bottom"/>
            <w:gridSpan w:val="2"/>
          </w:tcPr>
          <w:p>
            <w:pPr>
              <w:jc w:val="right"/>
              <w:ind w:right="754"/>
              <w:spacing w:after="0"/>
              <w:rPr>
                <w:sz w:val="20"/>
                <w:szCs w:val="20"/>
                <w:color w:val="auto"/>
              </w:rPr>
            </w:pPr>
            <w:r>
              <w:rPr>
                <w:rFonts w:ascii="Arial" w:cs="Arial" w:eastAsia="Arial" w:hAnsi="Arial"/>
                <w:sz w:val="15"/>
                <w:szCs w:val="15"/>
                <w:b w:val="1"/>
                <w:bCs w:val="1"/>
                <w:color w:val="auto"/>
              </w:rPr>
              <w:t>Nine months ended</w:t>
            </w:r>
          </w:p>
        </w:tc>
        <w:tc>
          <w:tcPr>
            <w:tcW w:w="1360" w:type="dxa"/>
            <w:vAlign w:val="bottom"/>
          </w:tcPr>
          <w:p>
            <w:pPr>
              <w:spacing w:after="0"/>
              <w:rPr>
                <w:sz w:val="16"/>
                <w:szCs w:val="16"/>
                <w:color w:val="auto"/>
              </w:rPr>
            </w:pPr>
          </w:p>
        </w:tc>
      </w:tr>
      <w:tr>
        <w:trPr>
          <w:trHeight w:val="206"/>
        </w:trPr>
        <w:tc>
          <w:tcPr>
            <w:tcW w:w="7320" w:type="dxa"/>
            <w:vAlign w:val="bottom"/>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1360" w:type="dxa"/>
            <w:vAlign w:val="bottom"/>
          </w:tcPr>
          <w:p>
            <w:pPr>
              <w:jc w:val="center"/>
              <w:ind w:right="137"/>
              <w:spacing w:after="0"/>
              <w:rPr>
                <w:sz w:val="20"/>
                <w:szCs w:val="20"/>
                <w:color w:val="auto"/>
              </w:rPr>
            </w:pPr>
            <w:r>
              <w:rPr>
                <w:rFonts w:ascii="Arial" w:cs="Arial" w:eastAsia="Arial" w:hAnsi="Arial"/>
                <w:sz w:val="15"/>
                <w:szCs w:val="15"/>
                <w:b w:val="1"/>
                <w:bCs w:val="1"/>
                <w:color w:val="auto"/>
                <w:w w:val="86"/>
              </w:rPr>
              <w:t>Percentage</w:t>
            </w:r>
          </w:p>
        </w:tc>
      </w:tr>
      <w:tr>
        <w:trPr>
          <w:trHeight w:val="149"/>
        </w:trPr>
        <w:tc>
          <w:tcPr>
            <w:tcW w:w="7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tcPr>
          <w:p>
            <w:pPr>
              <w:jc w:val="center"/>
              <w:ind w:right="97"/>
              <w:spacing w:after="0" w:line="149" w:lineRule="exact"/>
              <w:rPr>
                <w:sz w:val="20"/>
                <w:szCs w:val="20"/>
                <w:color w:val="auto"/>
              </w:rPr>
            </w:pPr>
            <w:r>
              <w:rPr>
                <w:rFonts w:ascii="Arial" w:cs="Arial" w:eastAsia="Arial" w:hAnsi="Arial"/>
                <w:sz w:val="15"/>
                <w:szCs w:val="15"/>
                <w:b w:val="1"/>
                <w:bCs w:val="1"/>
                <w:color w:val="auto"/>
                <w:w w:val="90"/>
              </w:rPr>
              <w:t>Point</w:t>
            </w:r>
          </w:p>
        </w:tc>
      </w:tr>
      <w:tr>
        <w:trPr>
          <w:trHeight w:val="182"/>
        </w:trPr>
        <w:tc>
          <w:tcPr>
            <w:tcW w:w="7320" w:type="dxa"/>
            <w:vAlign w:val="bottom"/>
          </w:tcPr>
          <w:p>
            <w:pPr>
              <w:spacing w:after="0"/>
              <w:rPr>
                <w:sz w:val="15"/>
                <w:szCs w:val="15"/>
                <w:color w:val="auto"/>
              </w:rPr>
            </w:pPr>
          </w:p>
        </w:tc>
        <w:tc>
          <w:tcPr>
            <w:tcW w:w="1780" w:type="dxa"/>
            <w:vAlign w:val="bottom"/>
            <w:tcBorders>
              <w:bottom w:val="single" w:sz="8" w:color="auto"/>
            </w:tcBorders>
          </w:tcPr>
          <w:p>
            <w:pPr>
              <w:jc w:val="right"/>
              <w:ind w:right="957"/>
              <w:spacing w:after="0"/>
              <w:rPr>
                <w:sz w:val="20"/>
                <w:szCs w:val="20"/>
                <w:color w:val="auto"/>
              </w:rPr>
            </w:pPr>
            <w:r>
              <w:rPr>
                <w:rFonts w:ascii="Arial" w:cs="Arial" w:eastAsia="Arial" w:hAnsi="Arial"/>
                <w:sz w:val="15"/>
                <w:szCs w:val="15"/>
                <w:b w:val="1"/>
                <w:bCs w:val="1"/>
                <w:color w:val="auto"/>
              </w:rPr>
              <w:t>2016</w:t>
            </w:r>
          </w:p>
        </w:tc>
        <w:tc>
          <w:tcPr>
            <w:tcW w:w="960" w:type="dxa"/>
            <w:vAlign w:val="bottom"/>
            <w:tcBorders>
              <w:bottom w:val="single" w:sz="8" w:color="auto"/>
            </w:tcBorders>
          </w:tcPr>
          <w:p>
            <w:pPr>
              <w:jc w:val="right"/>
              <w:ind w:right="534"/>
              <w:spacing w:after="0"/>
              <w:rPr>
                <w:sz w:val="20"/>
                <w:szCs w:val="20"/>
                <w:color w:val="auto"/>
              </w:rPr>
            </w:pPr>
            <w:r>
              <w:rPr>
                <w:rFonts w:ascii="Arial" w:cs="Arial" w:eastAsia="Arial" w:hAnsi="Arial"/>
                <w:sz w:val="15"/>
                <w:szCs w:val="15"/>
                <w:b w:val="1"/>
                <w:bCs w:val="1"/>
                <w:color w:val="auto"/>
                <w:w w:val="95"/>
              </w:rPr>
              <w:t>2015</w:t>
            </w:r>
          </w:p>
        </w:tc>
        <w:tc>
          <w:tcPr>
            <w:tcW w:w="1360" w:type="dxa"/>
            <w:vAlign w:val="bottom"/>
            <w:tcBorders>
              <w:bottom w:val="single" w:sz="8" w:color="auto"/>
            </w:tcBorders>
          </w:tcPr>
          <w:p>
            <w:pPr>
              <w:jc w:val="center"/>
              <w:ind w:right="117"/>
              <w:spacing w:after="0"/>
              <w:rPr>
                <w:sz w:val="20"/>
                <w:szCs w:val="20"/>
                <w:color w:val="auto"/>
              </w:rPr>
            </w:pPr>
            <w:r>
              <w:rPr>
                <w:rFonts w:ascii="Arial" w:cs="Arial" w:eastAsia="Arial" w:hAnsi="Arial"/>
                <w:sz w:val="15"/>
                <w:szCs w:val="15"/>
                <w:b w:val="1"/>
                <w:bCs w:val="1"/>
                <w:color w:val="auto"/>
                <w:w w:val="87"/>
              </w:rPr>
              <w:t>Change</w:t>
            </w:r>
          </w:p>
        </w:tc>
      </w:tr>
      <w:tr>
        <w:trPr>
          <w:trHeight w:val="216"/>
        </w:trPr>
        <w:tc>
          <w:tcPr>
            <w:tcW w:w="7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Ceding commission revenue - provisional</w:t>
            </w:r>
          </w:p>
        </w:tc>
        <w:tc>
          <w:tcPr>
            <w:tcW w:w="1780" w:type="dxa"/>
            <w:vAlign w:val="bottom"/>
          </w:tcPr>
          <w:p>
            <w:pPr>
              <w:jc w:val="right"/>
              <w:ind w:right="417"/>
              <w:spacing w:after="0"/>
              <w:rPr>
                <w:sz w:val="20"/>
                <w:szCs w:val="20"/>
                <w:color w:val="auto"/>
              </w:rPr>
            </w:pPr>
            <w:r>
              <w:rPr>
                <w:rFonts w:ascii="Arial" w:cs="Arial" w:eastAsia="Arial" w:hAnsi="Arial"/>
                <w:sz w:val="18"/>
                <w:szCs w:val="18"/>
                <w:color w:val="auto"/>
              </w:rPr>
              <w:t>(21.0) %</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(25.4) %</w:t>
            </w:r>
          </w:p>
        </w:tc>
        <w:tc>
          <w:tcPr>
            <w:tcW w:w="1360" w:type="dxa"/>
            <w:vAlign w:val="bottom"/>
          </w:tcPr>
          <w:p>
            <w:pPr>
              <w:jc w:val="right"/>
              <w:ind w:right="257"/>
              <w:spacing w:after="0"/>
              <w:rPr>
                <w:sz w:val="20"/>
                <w:szCs w:val="20"/>
                <w:color w:val="auto"/>
              </w:rPr>
            </w:pPr>
            <w:r>
              <w:rPr>
                <w:rFonts w:ascii="Arial" w:cs="Arial" w:eastAsia="Arial" w:hAnsi="Arial"/>
                <w:sz w:val="18"/>
                <w:szCs w:val="18"/>
                <w:color w:val="auto"/>
              </w:rPr>
              <w:t>4.4</w:t>
            </w:r>
          </w:p>
        </w:tc>
      </w:tr>
      <w:tr>
        <w:trPr>
          <w:trHeight w:val="216"/>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Ceding commission revenue - contingent</w:t>
            </w:r>
          </w:p>
        </w:tc>
        <w:tc>
          <w:tcPr>
            <w:tcW w:w="178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rPr>
              <w:t>2.7</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(1.9)</w:t>
            </w:r>
          </w:p>
        </w:tc>
        <w:tc>
          <w:tcPr>
            <w:tcW w:w="136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4.6</w:t>
            </w: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Other income</w:t>
            </w:r>
          </w:p>
        </w:tc>
        <w:tc>
          <w:tcPr>
            <w:tcW w:w="1780" w:type="dxa"/>
            <w:vAlign w:val="bottom"/>
          </w:tcPr>
          <w:p>
            <w:pPr>
              <w:jc w:val="right"/>
              <w:ind w:right="617"/>
              <w:spacing w:after="0"/>
              <w:rPr>
                <w:sz w:val="20"/>
                <w:szCs w:val="20"/>
                <w:color w:val="auto"/>
              </w:rPr>
            </w:pPr>
            <w:r>
              <w:rPr>
                <w:rFonts w:ascii="Arial" w:cs="Arial" w:eastAsia="Arial" w:hAnsi="Arial"/>
                <w:sz w:val="18"/>
                <w:szCs w:val="18"/>
                <w:color w:val="auto"/>
              </w:rPr>
              <w:t>(1.8)</w:t>
            </w: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(2.1)</w:t>
            </w:r>
          </w:p>
        </w:tc>
        <w:tc>
          <w:tcPr>
            <w:tcW w:w="1360" w:type="dxa"/>
            <w:vAlign w:val="bottom"/>
          </w:tcPr>
          <w:p>
            <w:pPr>
              <w:jc w:val="right"/>
              <w:ind w:right="257"/>
              <w:spacing w:after="0"/>
              <w:rPr>
                <w:sz w:val="20"/>
                <w:szCs w:val="20"/>
                <w:color w:val="auto"/>
              </w:rPr>
            </w:pPr>
            <w:r>
              <w:rPr>
                <w:rFonts w:ascii="Arial" w:cs="Arial" w:eastAsia="Arial" w:hAnsi="Arial"/>
                <w:sz w:val="18"/>
                <w:szCs w:val="18"/>
                <w:color w:val="auto"/>
              </w:rPr>
              <w:t>0.3</w:t>
            </w:r>
          </w:p>
        </w:tc>
      </w:tr>
      <w:tr>
        <w:trPr>
          <w:trHeight w:val="216"/>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Acquistion costs and other underwriting expenses:</w:t>
            </w:r>
          </w:p>
        </w:tc>
        <w:tc>
          <w:tcPr>
            <w:tcW w:w="1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Commission expense</w:t>
            </w:r>
          </w:p>
        </w:tc>
        <w:tc>
          <w:tcPr>
            <w:tcW w:w="1780" w:type="dxa"/>
            <w:vAlign w:val="bottom"/>
          </w:tcPr>
          <w:p>
            <w:pPr>
              <w:jc w:val="right"/>
              <w:ind w:right="677"/>
              <w:spacing w:after="0"/>
              <w:rPr>
                <w:sz w:val="20"/>
                <w:szCs w:val="20"/>
                <w:color w:val="auto"/>
              </w:rPr>
            </w:pPr>
            <w:r>
              <w:rPr>
                <w:rFonts w:ascii="Arial" w:cs="Arial" w:eastAsia="Arial" w:hAnsi="Arial"/>
                <w:sz w:val="18"/>
                <w:szCs w:val="18"/>
                <w:color w:val="auto"/>
              </w:rPr>
              <w:t>29.6</w:t>
            </w:r>
          </w:p>
        </w:tc>
        <w:tc>
          <w:tcPr>
            <w:tcW w:w="960" w:type="dxa"/>
            <w:vAlign w:val="bottom"/>
          </w:tcPr>
          <w:p>
            <w:pPr>
              <w:jc w:val="right"/>
              <w:ind w:right="254"/>
              <w:spacing w:after="0"/>
              <w:rPr>
                <w:sz w:val="20"/>
                <w:szCs w:val="20"/>
                <w:color w:val="auto"/>
              </w:rPr>
            </w:pPr>
            <w:r>
              <w:rPr>
                <w:rFonts w:ascii="Arial" w:cs="Arial" w:eastAsia="Arial" w:hAnsi="Arial"/>
                <w:sz w:val="18"/>
                <w:szCs w:val="18"/>
                <w:color w:val="auto"/>
              </w:rPr>
              <w:t>32.1</w:t>
            </w:r>
          </w:p>
        </w:tc>
        <w:tc>
          <w:tcPr>
            <w:tcW w:w="1360" w:type="dxa"/>
            <w:vAlign w:val="bottom"/>
          </w:tcPr>
          <w:p>
            <w:pPr>
              <w:jc w:val="right"/>
              <w:ind w:right="197"/>
              <w:spacing w:after="0"/>
              <w:rPr>
                <w:sz w:val="20"/>
                <w:szCs w:val="20"/>
                <w:color w:val="auto"/>
              </w:rPr>
            </w:pPr>
            <w:r>
              <w:rPr>
                <w:rFonts w:ascii="Arial" w:cs="Arial" w:eastAsia="Arial" w:hAnsi="Arial"/>
                <w:sz w:val="18"/>
                <w:szCs w:val="18"/>
                <w:color w:val="auto"/>
              </w:rPr>
              <w:t>(2.5)</w:t>
            </w:r>
          </w:p>
        </w:tc>
      </w:tr>
      <w:tr>
        <w:trPr>
          <w:trHeight w:val="223"/>
        </w:trPr>
        <w:tc>
          <w:tcPr>
            <w:tcW w:w="7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underwriting expenses</w:t>
            </w:r>
          </w:p>
        </w:tc>
        <w:tc>
          <w:tcPr>
            <w:tcW w:w="178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rPr>
              <w:t>24.3</w:t>
            </w:r>
          </w:p>
        </w:tc>
        <w:tc>
          <w:tcPr>
            <w:tcW w:w="9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27.2</w:t>
            </w:r>
          </w:p>
        </w:tc>
        <w:tc>
          <w:tcPr>
            <w:tcW w:w="13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(2.9)</w:t>
            </w: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Net underwriting expense ratio</w:t>
            </w:r>
          </w:p>
        </w:tc>
        <w:tc>
          <w:tcPr>
            <w:tcW w:w="1780" w:type="dxa"/>
            <w:vAlign w:val="bottom"/>
            <w:tcBorders>
              <w:bottom w:val="single" w:sz="8" w:color="auto"/>
            </w:tcBorders>
          </w:tcPr>
          <w:p>
            <w:pPr>
              <w:jc w:val="right"/>
              <w:ind w:right="517"/>
              <w:spacing w:after="0"/>
              <w:rPr>
                <w:sz w:val="20"/>
                <w:szCs w:val="20"/>
                <w:color w:val="auto"/>
              </w:rPr>
            </w:pPr>
            <w:r>
              <w:rPr>
                <w:rFonts w:ascii="Arial" w:cs="Arial" w:eastAsia="Arial" w:hAnsi="Arial"/>
                <w:sz w:val="18"/>
                <w:szCs w:val="18"/>
                <w:color w:val="auto"/>
              </w:rPr>
              <w:t>33.8%</w:t>
            </w: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29.9%</w:t>
            </w:r>
          </w:p>
        </w:tc>
        <w:tc>
          <w:tcPr>
            <w:tcW w:w="1360" w:type="dxa"/>
            <w:vAlign w:val="bottom"/>
          </w:tcPr>
          <w:p>
            <w:pPr>
              <w:jc w:val="right"/>
              <w:ind w:right="257"/>
              <w:spacing w:after="0"/>
              <w:rPr>
                <w:sz w:val="20"/>
                <w:szCs w:val="20"/>
                <w:color w:val="auto"/>
              </w:rPr>
            </w:pPr>
            <w:r>
              <w:rPr>
                <w:rFonts w:ascii="Arial" w:cs="Arial" w:eastAsia="Arial" w:hAnsi="Arial"/>
                <w:sz w:val="18"/>
                <w:szCs w:val="18"/>
                <w:color w:val="auto"/>
              </w:rPr>
              <w:t>3.9</w:t>
            </w:r>
          </w:p>
        </w:tc>
      </w:tr>
      <w:tr>
        <w:trPr>
          <w:trHeight w:val="21"/>
        </w:trPr>
        <w:tc>
          <w:tcPr>
            <w:tcW w:w="73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780"/>
        <w:spacing w:after="0" w:line="259" w:lineRule="auto"/>
        <w:rPr>
          <w:sz w:val="20"/>
          <w:szCs w:val="20"/>
          <w:color w:val="auto"/>
        </w:rPr>
      </w:pPr>
      <w:r>
        <w:rPr>
          <w:rFonts w:ascii="Arial" w:cs="Arial" w:eastAsia="Arial" w:hAnsi="Arial"/>
          <w:sz w:val="18"/>
          <w:szCs w:val="18"/>
          <w:color w:val="auto"/>
        </w:rPr>
        <w:t>The increase of 3.9 percentage points was due to the individual components of provisional ceding commission revenue, commission expense and other underwriting expenses and their relation to the increase in net premiums earned as a result of the additional retention resulting from the Cut-off to our quota share treaties on July 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Other operating expenses, related to the expenses of our holding company, were $1,292,000 in 2016 compared to $1,174,000 in 2015. The increase in 2016 of $118,000, or 10.1%, was primarily due to an increase in executive bonus compensation.</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Depreciation and Amortization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Depreciation and amortization was $835,000 in 2016 compared to $749,000 in 2015. The increase of $86,000, or 11.5%, in depreciation and amortization was primarily due to depreciation on newly purchased assets used to upgrade our systems infrastructure and the Kingston, New York home office building from which we operate.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w:t>
      </w:r>
    </w:p>
    <w:p>
      <w:pPr>
        <w:spacing w:after="0" w:line="25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Income tax expense in 2016 was $3,426,000, which resulted in an effective tax rate of 33.4%. Income tax expense in 2015 was $2,514,000, which resulted in an effective tax rate of 33.0%. Income before taxes was $10,270,000 in 2016 compared to $7,621,000 in 2015. The increase in the effective tax rate by 0.4 percentage points in 2016 is primarily a result of permanent tax true ups from 2015, offset by an increase in benefits from various permanent differences.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w:t>
      </w:r>
    </w:p>
    <w:p>
      <w:pPr>
        <w:spacing w:after="0" w:line="252"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5"/>
          <w:szCs w:val="15"/>
          <w:color w:val="auto"/>
        </w:rPr>
        <w:t>Net income was $6,844,000 in 2016 compared to $5,107,000 in 2015. The increase in net income of $1,737,000, or 34.0%, was due to the circumstances described above that caused the increase in our net premiums earned, net investment income, and a decrease in our net loss ratio, partially offset by a decrease in ceding commission revenue, other income, and increases in other underwriting expenses related to premium growth and other operating expenses.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2"/>
        </w:trPr>
        <w:tc>
          <w:tcPr>
            <w:tcW w:w="714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86"/>
              </w:rPr>
              <w:t>Three Months Ended September 30, 2016 Compared to Three Months Ended September 30, 2015</w:t>
            </w: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59"/>
        </w:trPr>
        <w:tc>
          <w:tcPr>
            <w:tcW w:w="8820" w:type="dxa"/>
            <w:vAlign w:val="bottom"/>
            <w:gridSpan w:val="5"/>
          </w:tcPr>
          <w:p>
            <w:pPr>
              <w:ind w:left="660"/>
              <w:spacing w:after="0"/>
              <w:rPr>
                <w:sz w:val="20"/>
                <w:szCs w:val="20"/>
                <w:color w:val="auto"/>
              </w:rPr>
            </w:pPr>
            <w:r>
              <w:rPr>
                <w:rFonts w:ascii="Arial" w:cs="Arial" w:eastAsia="Arial" w:hAnsi="Arial"/>
                <w:sz w:val="18"/>
                <w:szCs w:val="18"/>
                <w:color w:val="auto"/>
                <w:w w:val="88"/>
              </w:rPr>
              <w:t>The following table summarizes the changes in the results of our operations (in thousands) for the periods indicated:</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68"/>
        </w:trPr>
        <w:tc>
          <w:tcPr>
            <w:tcW w:w="5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8"/>
                <w:szCs w:val="18"/>
                <w:b w:val="1"/>
                <w:bCs w:val="1"/>
                <w:color w:val="auto"/>
                <w:w w:val="89"/>
              </w:rPr>
              <w:t>Three months ended September 30,</w:t>
            </w:r>
          </w:p>
        </w:tc>
        <w:tc>
          <w:tcPr>
            <w:tcW w:w="1360" w:type="dxa"/>
            <w:vAlign w:val="bottom"/>
            <w:tcBorders>
              <w:bottom w:val="single" w:sz="8" w:color="auto"/>
            </w:tcBorders>
          </w:tcPr>
          <w:p>
            <w:pPr>
              <w:spacing w:after="0"/>
              <w:rPr>
                <w:sz w:val="24"/>
                <w:szCs w:val="24"/>
                <w:color w:val="auto"/>
              </w:rPr>
            </w:pPr>
          </w:p>
        </w:tc>
      </w:tr>
      <w:tr>
        <w:trPr>
          <w:trHeight w:val="223"/>
        </w:trPr>
        <w:tc>
          <w:tcPr>
            <w:tcW w:w="59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 in thousands)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w w:val="90"/>
              </w:rPr>
              <w:t>Change</w:t>
            </w:r>
          </w:p>
        </w:tc>
        <w:tc>
          <w:tcPr>
            <w:tcW w:w="13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Percent</w:t>
            </w: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Revenue</w:t>
            </w:r>
            <w:r>
              <w:rPr>
                <w:rFonts w:ascii="Arial" w:cs="Arial" w:eastAsia="Arial" w:hAnsi="Arial"/>
                <w:sz w:val="18"/>
                <w:szCs w:val="18"/>
                <w:color w:val="auto"/>
              </w:rPr>
              <w:t>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Direct written premiums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27,170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72"/>
              <w:spacing w:after="0"/>
              <w:rPr>
                <w:sz w:val="20"/>
                <w:szCs w:val="20"/>
                <w:color w:val="auto"/>
              </w:rPr>
            </w:pPr>
            <w:r>
              <w:rPr>
                <w:rFonts w:ascii="Arial" w:cs="Arial" w:eastAsia="Arial" w:hAnsi="Arial"/>
                <w:sz w:val="18"/>
                <w:szCs w:val="18"/>
                <w:color w:val="auto"/>
              </w:rPr>
              <w:t>24,570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2,600</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10.6%</w:t>
            </w:r>
          </w:p>
        </w:tc>
      </w:tr>
      <w:tr>
        <w:trPr>
          <w:trHeight w:val="223"/>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Assumed written premiums</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(14)</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(107.7) %</w:t>
            </w:r>
          </w:p>
        </w:tc>
      </w:tr>
      <w:tr>
        <w:trPr>
          <w:trHeight w:val="223"/>
        </w:trPr>
        <w:tc>
          <w:tcPr>
            <w:tcW w:w="59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27,169</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24,583</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2,586</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10.5%</w:t>
            </w: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Ceded written premiums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960" w:type="dxa"/>
            <w:vAlign w:val="bottom"/>
          </w:tcPr>
          <w:p>
            <w:pPr>
              <w:ind w:left="380"/>
              <w:spacing w:after="0"/>
              <w:rPr>
                <w:sz w:val="20"/>
                <w:szCs w:val="20"/>
                <w:color w:val="auto"/>
              </w:rPr>
            </w:pPr>
            <w:r>
              <w:rPr>
                <w:rFonts w:ascii="Arial" w:cs="Arial" w:eastAsia="Arial" w:hAnsi="Arial"/>
                <w:sz w:val="18"/>
                <w:szCs w:val="18"/>
                <w:color w:val="auto"/>
              </w:rPr>
              <w:t>Ceded to quota share treaties in force during the period</w:t>
            </w:r>
          </w:p>
        </w:tc>
        <w:tc>
          <w:tcPr>
            <w:tcW w:w="30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7,082</w:t>
            </w:r>
          </w:p>
        </w:tc>
        <w:tc>
          <w:tcPr>
            <w:tcW w:w="500" w:type="dxa"/>
            <w:vAlign w:val="bottom"/>
          </w:tcPr>
          <w:p>
            <w:pPr>
              <w:spacing w:after="0"/>
              <w:rPr>
                <w:sz w:val="18"/>
                <w:szCs w:val="18"/>
                <w:color w:val="auto"/>
              </w:rPr>
            </w:pPr>
          </w:p>
        </w:tc>
        <w:tc>
          <w:tcPr>
            <w:tcW w:w="1180" w:type="dxa"/>
            <w:vAlign w:val="bottom"/>
          </w:tcPr>
          <w:p>
            <w:pPr>
              <w:jc w:val="right"/>
              <w:ind w:right="372"/>
              <w:spacing w:after="0"/>
              <w:rPr>
                <w:sz w:val="20"/>
                <w:szCs w:val="20"/>
                <w:color w:val="auto"/>
              </w:rPr>
            </w:pPr>
            <w:r>
              <w:rPr>
                <w:rFonts w:ascii="Arial" w:cs="Arial" w:eastAsia="Arial" w:hAnsi="Arial"/>
                <w:sz w:val="18"/>
                <w:szCs w:val="18"/>
                <w:color w:val="auto"/>
              </w:rPr>
              <w:t>6,415</w:t>
            </w:r>
          </w:p>
        </w:tc>
        <w:tc>
          <w:tcPr>
            <w:tcW w:w="120" w:type="dxa"/>
            <w:vAlign w:val="bottom"/>
          </w:tcPr>
          <w:p>
            <w:pPr>
              <w:spacing w:after="0"/>
              <w:rPr>
                <w:sz w:val="18"/>
                <w:szCs w:val="18"/>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667</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10.4%</w:t>
            </w:r>
          </w:p>
        </w:tc>
      </w:tr>
      <w:tr>
        <w:trPr>
          <w:trHeight w:val="223"/>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premiums previously ceded to prior quota share treaties (1)</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(5,866)</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5,866</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 %</w:t>
            </w:r>
          </w:p>
        </w:tc>
      </w:tr>
      <w:tr>
        <w:trPr>
          <w:trHeight w:val="216"/>
        </w:trPr>
        <w:tc>
          <w:tcPr>
            <w:tcW w:w="5960" w:type="dxa"/>
            <w:vAlign w:val="bottom"/>
          </w:tcPr>
          <w:p>
            <w:pPr>
              <w:ind w:left="540"/>
              <w:spacing w:after="0"/>
              <w:rPr>
                <w:sz w:val="20"/>
                <w:szCs w:val="20"/>
                <w:color w:val="auto"/>
              </w:rPr>
            </w:pPr>
            <w:r>
              <w:rPr>
                <w:rFonts w:ascii="Arial" w:cs="Arial" w:eastAsia="Arial" w:hAnsi="Arial"/>
                <w:sz w:val="18"/>
                <w:szCs w:val="18"/>
                <w:color w:val="auto"/>
              </w:rPr>
              <w:t>Ceded to quota share treaties</w:t>
            </w:r>
          </w:p>
        </w:tc>
        <w:tc>
          <w:tcPr>
            <w:tcW w:w="30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7,082</w:t>
            </w:r>
          </w:p>
        </w:tc>
        <w:tc>
          <w:tcPr>
            <w:tcW w:w="500" w:type="dxa"/>
            <w:vAlign w:val="bottom"/>
          </w:tcPr>
          <w:p>
            <w:pPr>
              <w:spacing w:after="0"/>
              <w:rPr>
                <w:sz w:val="18"/>
                <w:szCs w:val="18"/>
                <w:color w:val="auto"/>
              </w:rPr>
            </w:pPr>
          </w:p>
        </w:tc>
        <w:tc>
          <w:tcPr>
            <w:tcW w:w="1180" w:type="dxa"/>
            <w:vAlign w:val="bottom"/>
          </w:tcPr>
          <w:p>
            <w:pPr>
              <w:jc w:val="right"/>
              <w:ind w:right="372"/>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8"/>
                <w:szCs w:val="18"/>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6,533</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1,190.0%</w:t>
            </w:r>
          </w:p>
        </w:tc>
      </w:tr>
      <w:tr>
        <w:trPr>
          <w:trHeight w:val="216"/>
        </w:trPr>
        <w:tc>
          <w:tcPr>
            <w:tcW w:w="5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Ceded to excess of loss treaties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428</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38</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9.7%</w:t>
            </w:r>
          </w:p>
        </w:tc>
      </w:tr>
      <w:tr>
        <w:trPr>
          <w:trHeight w:val="223"/>
        </w:trPr>
        <w:tc>
          <w:tcPr>
            <w:tcW w:w="5960" w:type="dxa"/>
            <w:vAlign w:val="bottom"/>
          </w:tcPr>
          <w:p>
            <w:pPr>
              <w:ind w:left="540"/>
              <w:spacing w:after="0"/>
              <w:rPr>
                <w:sz w:val="20"/>
                <w:szCs w:val="20"/>
                <w:color w:val="auto"/>
              </w:rPr>
            </w:pPr>
            <w:r>
              <w:rPr>
                <w:rFonts w:ascii="Arial" w:cs="Arial" w:eastAsia="Arial" w:hAnsi="Arial"/>
                <w:sz w:val="18"/>
                <w:szCs w:val="18"/>
                <w:color w:val="auto"/>
              </w:rPr>
              <w:t>Ceded to catastrophe treaties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2,427</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2,307</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120</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5.2%</w:t>
            </w:r>
          </w:p>
        </w:tc>
      </w:tr>
      <w:tr>
        <w:trPr>
          <w:trHeight w:val="223"/>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ceded written premiums</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9,937</w:t>
            </w: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3,246</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6,691</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206.1%</w:t>
            </w:r>
          </w:p>
        </w:tc>
      </w:tr>
      <w:tr>
        <w:trPr>
          <w:trHeight w:val="216"/>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written premiums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17,232</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21,337</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(4,105)</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 %</w:t>
            </w:r>
          </w:p>
        </w:tc>
      </w:tr>
      <w:tr>
        <w:trPr>
          <w:trHeight w:val="216"/>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960" w:type="dxa"/>
            <w:vAlign w:val="bottom"/>
          </w:tcPr>
          <w:p>
            <w:pPr>
              <w:ind w:left="380"/>
              <w:spacing w:after="0"/>
              <w:rPr>
                <w:sz w:val="20"/>
                <w:szCs w:val="20"/>
                <w:color w:val="auto"/>
              </w:rPr>
            </w:pPr>
            <w:r>
              <w:rPr>
                <w:rFonts w:ascii="Arial" w:cs="Arial" w:eastAsia="Arial" w:hAnsi="Arial"/>
                <w:sz w:val="18"/>
                <w:szCs w:val="18"/>
                <w:color w:val="auto"/>
              </w:rPr>
              <w:t>Direct and assumed</w:t>
            </w:r>
          </w:p>
        </w:tc>
        <w:tc>
          <w:tcPr>
            <w:tcW w:w="3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(2,303)</w:t>
            </w:r>
          </w:p>
        </w:tc>
        <w:tc>
          <w:tcPr>
            <w:tcW w:w="500" w:type="dxa"/>
            <w:vAlign w:val="bottom"/>
          </w:tcPr>
          <w:p>
            <w:pPr>
              <w:spacing w:after="0"/>
              <w:rPr>
                <w:sz w:val="18"/>
                <w:szCs w:val="18"/>
                <w:color w:val="auto"/>
              </w:rPr>
            </w:pPr>
          </w:p>
        </w:tc>
        <w:tc>
          <w:tcPr>
            <w:tcW w:w="1180" w:type="dxa"/>
            <w:vAlign w:val="bottom"/>
          </w:tcPr>
          <w:p>
            <w:pPr>
              <w:jc w:val="right"/>
              <w:ind w:right="332"/>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18"/>
                <w:szCs w:val="18"/>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1,028</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(30.9) %</w:t>
            </w:r>
          </w:p>
        </w:tc>
      </w:tr>
      <w:tr>
        <w:trPr>
          <w:trHeight w:val="223"/>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Ceded to quota share treaties (1)</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717</w:t>
            </w: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(4,877)</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5,594</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(114.7) %</w:t>
            </w:r>
          </w:p>
        </w:tc>
      </w:tr>
      <w:tr>
        <w:trPr>
          <w:trHeight w:val="223"/>
        </w:trPr>
        <w:tc>
          <w:tcPr>
            <w:tcW w:w="5960" w:type="dxa"/>
            <w:vAlign w:val="bottom"/>
          </w:tcPr>
          <w:p>
            <w:pPr>
              <w:ind w:left="220"/>
              <w:spacing w:after="0"/>
              <w:rPr>
                <w:sz w:val="20"/>
                <w:szCs w:val="20"/>
                <w:color w:val="auto"/>
              </w:rPr>
            </w:pPr>
            <w:r>
              <w:rPr>
                <w:rFonts w:ascii="Arial" w:cs="Arial" w:eastAsia="Arial" w:hAnsi="Arial"/>
                <w:sz w:val="18"/>
                <w:szCs w:val="18"/>
                <w:color w:val="auto"/>
              </w:rPr>
              <w:t>Change in net unearned premiums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(1,586)</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(8,208)</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6,622</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(80.7) %</w:t>
            </w:r>
          </w:p>
        </w:tc>
      </w:tr>
      <w:tr>
        <w:trPr>
          <w:trHeight w:val="216"/>
        </w:trPr>
        <w:tc>
          <w:tcPr>
            <w:tcW w:w="5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Premiums earned</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Direct and assumed</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24,866</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21,251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3,615</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17.0%</w:t>
            </w:r>
          </w:p>
        </w:tc>
      </w:tr>
      <w:tr>
        <w:trPr>
          <w:trHeight w:val="223"/>
        </w:trPr>
        <w:tc>
          <w:tcPr>
            <w:tcW w:w="5960" w:type="dxa"/>
            <w:vAlign w:val="bottom"/>
          </w:tcPr>
          <w:p>
            <w:pPr>
              <w:ind w:left="380"/>
              <w:spacing w:after="0"/>
              <w:rPr>
                <w:sz w:val="20"/>
                <w:szCs w:val="20"/>
                <w:color w:val="auto"/>
              </w:rPr>
            </w:pPr>
            <w:r>
              <w:rPr>
                <w:rFonts w:ascii="Arial" w:cs="Arial" w:eastAsia="Arial" w:hAnsi="Arial"/>
                <w:sz w:val="18"/>
                <w:szCs w:val="18"/>
                <w:color w:val="auto"/>
              </w:rPr>
              <w:t>Ceded to quota share treaties (1)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(9,220)</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(8,122)</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(1,098)</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13.5%</w:t>
            </w:r>
          </w:p>
        </w:tc>
      </w:tr>
      <w:tr>
        <w:trPr>
          <w:trHeight w:val="223"/>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15,646</w:t>
            </w: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13,129</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2,517</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19.2%</w:t>
            </w:r>
          </w:p>
        </w:tc>
      </w:tr>
      <w:tr>
        <w:trPr>
          <w:trHeight w:val="216"/>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Ceding commission revenue</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960" w:type="dxa"/>
            <w:vAlign w:val="bottom"/>
          </w:tcPr>
          <w:p>
            <w:pPr>
              <w:ind w:left="380"/>
              <w:spacing w:after="0"/>
              <w:rPr>
                <w:sz w:val="20"/>
                <w:szCs w:val="20"/>
                <w:color w:val="auto"/>
              </w:rPr>
            </w:pPr>
            <w:r>
              <w:rPr>
                <w:rFonts w:ascii="Arial" w:cs="Arial" w:eastAsia="Arial" w:hAnsi="Arial"/>
                <w:sz w:val="18"/>
                <w:szCs w:val="18"/>
                <w:color w:val="auto"/>
              </w:rPr>
              <w:t>Excluding the effect of catastrophes</w:t>
            </w:r>
          </w:p>
        </w:tc>
        <w:tc>
          <w:tcPr>
            <w:tcW w:w="30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2,935</w:t>
            </w:r>
          </w:p>
        </w:tc>
        <w:tc>
          <w:tcPr>
            <w:tcW w:w="500" w:type="dxa"/>
            <w:vAlign w:val="bottom"/>
          </w:tcPr>
          <w:p>
            <w:pPr>
              <w:spacing w:after="0"/>
              <w:rPr>
                <w:sz w:val="18"/>
                <w:szCs w:val="18"/>
                <w:color w:val="auto"/>
              </w:rPr>
            </w:pPr>
          </w:p>
        </w:tc>
        <w:tc>
          <w:tcPr>
            <w:tcW w:w="1180" w:type="dxa"/>
            <w:vAlign w:val="bottom"/>
          </w:tcPr>
          <w:p>
            <w:pPr>
              <w:jc w:val="right"/>
              <w:ind w:right="372"/>
              <w:spacing w:after="0"/>
              <w:rPr>
                <w:sz w:val="20"/>
                <w:szCs w:val="20"/>
                <w:color w:val="auto"/>
              </w:rPr>
            </w:pPr>
            <w:r>
              <w:rPr>
                <w:rFonts w:ascii="Arial" w:cs="Arial" w:eastAsia="Arial" w:hAnsi="Arial"/>
                <w:sz w:val="18"/>
                <w:szCs w:val="18"/>
                <w:color w:val="auto"/>
              </w:rPr>
              <w:t>2,643</w:t>
            </w:r>
          </w:p>
        </w:tc>
        <w:tc>
          <w:tcPr>
            <w:tcW w:w="120" w:type="dxa"/>
            <w:vAlign w:val="bottom"/>
          </w:tcPr>
          <w:p>
            <w:pPr>
              <w:spacing w:after="0"/>
              <w:rPr>
                <w:sz w:val="18"/>
                <w:szCs w:val="18"/>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292</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11.0%</w:t>
            </w:r>
          </w:p>
        </w:tc>
      </w:tr>
      <w:tr>
        <w:trPr>
          <w:trHeight w:val="223"/>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catastrophes (2)</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na</w:t>
            </w: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Total ceding commission revenue</w:t>
            </w:r>
          </w:p>
        </w:tc>
        <w:tc>
          <w:tcPr>
            <w:tcW w:w="30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2,935</w:t>
            </w:r>
          </w:p>
        </w:tc>
        <w:tc>
          <w:tcPr>
            <w:tcW w:w="500" w:type="dxa"/>
            <w:vAlign w:val="bottom"/>
          </w:tcPr>
          <w:p>
            <w:pPr>
              <w:spacing w:after="0"/>
              <w:rPr>
                <w:sz w:val="18"/>
                <w:szCs w:val="18"/>
                <w:color w:val="auto"/>
              </w:rPr>
            </w:pPr>
          </w:p>
        </w:tc>
        <w:tc>
          <w:tcPr>
            <w:tcW w:w="1180" w:type="dxa"/>
            <w:vAlign w:val="bottom"/>
          </w:tcPr>
          <w:p>
            <w:pPr>
              <w:jc w:val="right"/>
              <w:ind w:right="372"/>
              <w:spacing w:after="0"/>
              <w:rPr>
                <w:sz w:val="20"/>
                <w:szCs w:val="20"/>
                <w:color w:val="auto"/>
              </w:rPr>
            </w:pPr>
            <w:r>
              <w:rPr>
                <w:rFonts w:ascii="Arial" w:cs="Arial" w:eastAsia="Arial" w:hAnsi="Arial"/>
                <w:sz w:val="18"/>
                <w:szCs w:val="18"/>
                <w:color w:val="auto"/>
              </w:rPr>
              <w:t>2,643</w:t>
            </w:r>
          </w:p>
        </w:tc>
        <w:tc>
          <w:tcPr>
            <w:tcW w:w="120" w:type="dxa"/>
            <w:vAlign w:val="bottom"/>
          </w:tcPr>
          <w:p>
            <w:pPr>
              <w:spacing w:after="0"/>
              <w:rPr>
                <w:sz w:val="18"/>
                <w:szCs w:val="18"/>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292</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11.0%</w:t>
            </w: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709</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60</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9.2%</w:t>
            </w: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Net realized gain (loss) on investments</w:t>
            </w:r>
          </w:p>
        </w:tc>
        <w:tc>
          <w:tcPr>
            <w:tcW w:w="30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241</w:t>
            </w:r>
          </w:p>
        </w:tc>
        <w:tc>
          <w:tcPr>
            <w:tcW w:w="500" w:type="dxa"/>
            <w:vAlign w:val="bottom"/>
          </w:tcPr>
          <w:p>
            <w:pPr>
              <w:spacing w:after="0"/>
              <w:rPr>
                <w:sz w:val="18"/>
                <w:szCs w:val="18"/>
                <w:color w:val="auto"/>
              </w:rPr>
            </w:pPr>
          </w:p>
        </w:tc>
        <w:tc>
          <w:tcPr>
            <w:tcW w:w="1180" w:type="dxa"/>
            <w:vAlign w:val="bottom"/>
          </w:tcPr>
          <w:p>
            <w:pPr>
              <w:jc w:val="right"/>
              <w:ind w:right="33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281</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(702.5) %</w:t>
            </w:r>
          </w:p>
        </w:tc>
      </w:tr>
      <w:tr>
        <w:trPr>
          <w:trHeight w:val="223"/>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297</w:t>
            </w: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22</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8.0%</w:t>
            </w:r>
          </w:p>
        </w:tc>
      </w:tr>
      <w:tr>
        <w:trPr>
          <w:trHeight w:val="223"/>
        </w:trPr>
        <w:tc>
          <w:tcPr>
            <w:tcW w:w="59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19,828</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16,656</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3,172</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19.0%</w:t>
            </w:r>
          </w:p>
        </w:tc>
      </w:tr>
    </w:tbl>
    <w:p>
      <w:pPr>
        <w:spacing w:after="0" w:line="235" w:lineRule="exact"/>
        <w:rPr>
          <w:sz w:val="20"/>
          <w:szCs w:val="20"/>
          <w:color w:val="auto"/>
        </w:rPr>
      </w:pPr>
    </w:p>
    <w:p>
      <w:pPr>
        <w:jc w:val="both"/>
        <w:ind w:firstLine="8"/>
        <w:spacing w:after="0" w:line="256" w:lineRule="auto"/>
        <w:tabs>
          <w:tab w:leader="none" w:pos="2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July 1, 2015, we decreased the quota share ceding rate in our personal lines quota share treaty from 55% to 40% (the “Cut-off”). The Cut-off on July 1, 2015 resulted in a $5,866,000 return of unearned premiums from our reinsurers that were previously ceded under the personal lines quota share treaty that expired on June 30, 2015. The $5,866,000 return of premiums previously ceded reduced earned premiums under our quota share, which, in turn, increased our net premiums earned during the twelve month period after the Cut-off.</w:t>
      </w:r>
    </w:p>
    <w:p>
      <w:pPr>
        <w:spacing w:after="0" w:line="224" w:lineRule="exact"/>
        <w:rPr>
          <w:rFonts w:ascii="Arial" w:cs="Arial" w:eastAsia="Arial" w:hAnsi="Arial"/>
          <w:sz w:val="18"/>
          <w:szCs w:val="18"/>
          <w:color w:val="auto"/>
        </w:rPr>
      </w:pPr>
    </w:p>
    <w:p>
      <w:pPr>
        <w:jc w:val="both"/>
        <w:ind w:firstLine="8"/>
        <w:spacing w:after="0" w:line="256" w:lineRule="auto"/>
        <w:tabs>
          <w:tab w:leader="none" w:pos="2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define a “catastrophe” as an event or series of related events that involve multiple first party policyholders, or an event or series of events that produce a number of claims in excess of a preset, per-event threshold of average claims in a specific area, occurring within a certain amount of time constituting the event or series of events. Catastrophes are caused by various natural events including high winds, excessive rain, winter storms, severe winter weather, tornadoes, hailstorms, wildfires, tropical storms, and hurricanes.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8"/>
                <w:szCs w:val="18"/>
                <w:b w:val="1"/>
                <w:bCs w:val="1"/>
                <w:color w:val="auto"/>
                <w:w w:val="90"/>
              </w:rPr>
              <w:t>Three months ended September 30,</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5"/>
                <w:szCs w:val="15"/>
                <w:b w:val="1"/>
                <w:bCs w:val="1"/>
                <w:color w:val="auto"/>
              </w:rPr>
              <w:t>($ in thousands)</w:t>
            </w:r>
          </w:p>
        </w:tc>
        <w:tc>
          <w:tcPr>
            <w:tcW w:w="300" w:type="dxa"/>
            <w:vAlign w:val="bottom"/>
          </w:tcPr>
          <w:p>
            <w:pPr>
              <w:spacing w:after="0"/>
              <w:rPr>
                <w:sz w:val="19"/>
                <w:szCs w:val="19"/>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19"/>
                <w:szCs w:val="19"/>
                <w:color w:val="auto"/>
              </w:rPr>
            </w:pPr>
          </w:p>
        </w:tc>
        <w:tc>
          <w:tcPr>
            <w:tcW w:w="940" w:type="dxa"/>
            <w:vAlign w:val="bottom"/>
          </w:tcPr>
          <w:p>
            <w:pPr>
              <w:jc w:val="right"/>
              <w:ind w:right="412"/>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19"/>
                <w:szCs w:val="19"/>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b w:val="1"/>
                <w:bCs w:val="1"/>
                <w:color w:val="auto"/>
                <w:w w:val="90"/>
              </w:rPr>
              <w:t>Change</w:t>
            </w:r>
          </w:p>
        </w:tc>
        <w:tc>
          <w:tcPr>
            <w:tcW w:w="1360" w:type="dxa"/>
            <w:vAlign w:val="bottom"/>
          </w:tcPr>
          <w:p>
            <w:pPr>
              <w:jc w:val="right"/>
              <w:ind w:right="392"/>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19,828</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16,656</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3,172</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Expense</w:t>
            </w:r>
            <w:r>
              <w:rPr>
                <w:rFonts w:ascii="Arial" w:cs="Arial" w:eastAsia="Arial" w:hAnsi="Arial"/>
                <w:sz w:val="18"/>
                <w:szCs w:val="18"/>
                <w:color w:val="auto"/>
              </w:rPr>
              <w:t>s</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and loss adjustment expenses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Direct and assumed:</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6,708</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6,787</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(79)</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Losses from catastrophes (2)</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174</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(174)</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direct and assumed loss and loss adjustment expenses</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6,708</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6,961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(253)</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Ceded loss and loss adjustment expenses: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30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1,573</w:t>
            </w:r>
          </w:p>
        </w:tc>
        <w:tc>
          <w:tcPr>
            <w:tcW w:w="5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1,816</w:t>
            </w:r>
          </w:p>
        </w:tc>
        <w:tc>
          <w:tcPr>
            <w:tcW w:w="360" w:type="dxa"/>
            <w:vAlign w:val="bottom"/>
          </w:tcPr>
          <w:p>
            <w:pPr>
              <w:spacing w:after="0"/>
              <w:rPr>
                <w:sz w:val="18"/>
                <w:szCs w:val="18"/>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(243)</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Losses from catastrophes (2)</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95</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(95)</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Total ceded loss and loss adjustment expenses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1,573</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1,911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(338)</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Net loss and loss adjustment expenses:</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5,135</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4,971</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164</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Losses from catastrophes (2)</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79</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(79)</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 and loss adjustment expenses</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5,135</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5,050</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85</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Commission expense</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4,604</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4,021</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583</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Other underwriting expenses</w:t>
            </w:r>
          </w:p>
        </w:tc>
        <w:tc>
          <w:tcPr>
            <w:tcW w:w="30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4,039</w:t>
            </w:r>
          </w:p>
        </w:tc>
        <w:tc>
          <w:tcPr>
            <w:tcW w:w="5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3,389</w:t>
            </w:r>
          </w:p>
        </w:tc>
        <w:tc>
          <w:tcPr>
            <w:tcW w:w="360" w:type="dxa"/>
            <w:vAlign w:val="bottom"/>
          </w:tcPr>
          <w:p>
            <w:pPr>
              <w:spacing w:after="0"/>
              <w:rPr>
                <w:sz w:val="18"/>
                <w:szCs w:val="18"/>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650</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530</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468</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62</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262</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267</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14,570</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13,195</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1,375</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 before taxes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5,258</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3,461</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1,797</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Provision for income tax</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1,797</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1,115</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682</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3,461</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2,346</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1,115</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8"/>
        <w:spacing w:after="0" w:line="255" w:lineRule="auto"/>
        <w:tabs>
          <w:tab w:leader="none" w:pos="2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three months ended September 30, 2015, includes the effects of severe winter weather (which we define as a catastrophe). We define a “catastrophe” as an event or series of related events that involve multiple first party policyholders, or an event or series of events that produce a number of claims in excess of a preset, per-event threshold of average claims in a specific area, occurring within a certain amount of time constituting the event or series of events. Catastrophes are caused by various natural events including high winds, excessive rain, winter storms, severe winter weather, tornadoes, hailstorms, wildfires, tropical storms, and hurricanes.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2"/>
          </w:tcPr>
          <w:p>
            <w:pPr>
              <w:jc w:val="right"/>
              <w:ind w:right="278"/>
              <w:spacing w:after="0"/>
              <w:rPr>
                <w:sz w:val="20"/>
                <w:szCs w:val="20"/>
                <w:color w:val="auto"/>
              </w:rPr>
            </w:pPr>
            <w:r>
              <w:rPr>
                <w:rFonts w:ascii="Arial" w:cs="Arial" w:eastAsia="Arial" w:hAnsi="Arial"/>
                <w:sz w:val="15"/>
                <w:szCs w:val="15"/>
                <w:b w:val="1"/>
                <w:bCs w:val="1"/>
                <w:color w:val="auto"/>
                <w:w w:val="93"/>
              </w:rPr>
              <w:t>Three months ended September 30,</w:t>
            </w:r>
          </w:p>
        </w:tc>
        <w:tc>
          <w:tcPr>
            <w:tcW w:w="1360" w:type="dxa"/>
            <w:vAlign w:val="bottom"/>
            <w:tcBorders>
              <w:bottom w:val="single" w:sz="8" w:color="auto"/>
            </w:tcBorders>
          </w:tcPr>
          <w:p>
            <w:pPr>
              <w:spacing w:after="0"/>
              <w:rPr>
                <w:sz w:val="15"/>
                <w:szCs w:val="15"/>
                <w:color w:val="auto"/>
              </w:rPr>
            </w:pPr>
          </w:p>
        </w:tc>
      </w:tr>
      <w:tr>
        <w:trPr>
          <w:trHeight w:val="149"/>
        </w:trPr>
        <w:tc>
          <w:tcPr>
            <w:tcW w:w="5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Pr>
          <w:p>
            <w:pPr>
              <w:jc w:val="right"/>
              <w:ind w:right="358"/>
              <w:spacing w:after="0" w:line="149" w:lineRule="exact"/>
              <w:rPr>
                <w:sz w:val="20"/>
                <w:szCs w:val="20"/>
                <w:color w:val="auto"/>
              </w:rPr>
            </w:pPr>
            <w:r>
              <w:rPr>
                <w:rFonts w:ascii="Arial" w:cs="Arial" w:eastAsia="Arial" w:hAnsi="Arial"/>
                <w:sz w:val="15"/>
                <w:szCs w:val="15"/>
                <w:b w:val="1"/>
                <w:bCs w:val="1"/>
                <w:color w:val="auto"/>
              </w:rPr>
              <w:t>Percentage</w:t>
            </w:r>
          </w:p>
        </w:tc>
        <w:tc>
          <w:tcPr>
            <w:tcW w:w="1360" w:type="dxa"/>
            <w:vAlign w:val="bottom"/>
          </w:tcPr>
          <w:p>
            <w:pPr>
              <w:jc w:val="right"/>
              <w:ind w:right="438"/>
              <w:spacing w:after="0" w:line="149" w:lineRule="exact"/>
              <w:rPr>
                <w:sz w:val="20"/>
                <w:szCs w:val="20"/>
                <w:color w:val="auto"/>
              </w:rPr>
            </w:pPr>
            <w:r>
              <w:rPr>
                <w:rFonts w:ascii="Arial" w:cs="Arial" w:eastAsia="Arial" w:hAnsi="Arial"/>
                <w:sz w:val="15"/>
                <w:szCs w:val="15"/>
                <w:b w:val="1"/>
                <w:bCs w:val="1"/>
                <w:color w:val="auto"/>
              </w:rPr>
              <w:t>Percent</w:t>
            </w:r>
          </w:p>
        </w:tc>
      </w:tr>
      <w:tr>
        <w:trPr>
          <w:trHeight w:val="182"/>
        </w:trPr>
        <w:tc>
          <w:tcPr>
            <w:tcW w:w="59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2016</w:t>
            </w:r>
          </w:p>
        </w:tc>
        <w:tc>
          <w:tcPr>
            <w:tcW w:w="136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2015</w:t>
            </w:r>
          </w:p>
        </w:tc>
        <w:tc>
          <w:tcPr>
            <w:tcW w:w="1400" w:type="dxa"/>
            <w:vAlign w:val="bottom"/>
            <w:tcBorders>
              <w:bottom w:val="single" w:sz="8" w:color="auto"/>
            </w:tcBorders>
          </w:tcPr>
          <w:p>
            <w:pPr>
              <w:jc w:val="right"/>
              <w:ind w:right="278"/>
              <w:spacing w:after="0"/>
              <w:rPr>
                <w:sz w:val="20"/>
                <w:szCs w:val="20"/>
                <w:color w:val="auto"/>
              </w:rPr>
            </w:pPr>
            <w:r>
              <w:rPr>
                <w:rFonts w:ascii="Arial" w:cs="Arial" w:eastAsia="Arial" w:hAnsi="Arial"/>
                <w:sz w:val="15"/>
                <w:szCs w:val="15"/>
                <w:b w:val="1"/>
                <w:bCs w:val="1"/>
                <w:color w:val="auto"/>
              </w:rPr>
              <w:t>Point Change</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Change</w:t>
            </w:r>
          </w:p>
        </w:tc>
      </w:tr>
      <w:tr>
        <w:trPr>
          <w:trHeight w:val="216"/>
        </w:trPr>
        <w:tc>
          <w:tcPr>
            <w:tcW w:w="59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b w:val="1"/>
                <w:bCs w:val="1"/>
                <w:color w:val="auto"/>
              </w:rPr>
              <w:t>Key ratios:</w:t>
            </w: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ratio</w:t>
            </w:r>
          </w:p>
        </w:tc>
        <w:tc>
          <w:tcPr>
            <w:tcW w:w="13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32.8%</w:t>
            </w:r>
          </w:p>
        </w:tc>
        <w:tc>
          <w:tcPr>
            <w:tcW w:w="13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38.5%</w:t>
            </w:r>
          </w:p>
        </w:tc>
        <w:tc>
          <w:tcPr>
            <w:tcW w:w="140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(5.7)</w:t>
            </w: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(14.8) %</w:t>
            </w:r>
          </w:p>
        </w:tc>
      </w:tr>
      <w:tr>
        <w:trPr>
          <w:trHeight w:val="223"/>
        </w:trPr>
        <w:tc>
          <w:tcPr>
            <w:tcW w:w="5960" w:type="dxa"/>
            <w:vAlign w:val="bottom"/>
          </w:tcPr>
          <w:p>
            <w:pPr>
              <w:ind w:left="220"/>
              <w:spacing w:after="0"/>
              <w:rPr>
                <w:sz w:val="20"/>
                <w:szCs w:val="20"/>
                <w:color w:val="auto"/>
              </w:rPr>
            </w:pPr>
            <w:r>
              <w:rPr>
                <w:rFonts w:ascii="Arial" w:cs="Arial" w:eastAsia="Arial" w:hAnsi="Arial"/>
                <w:sz w:val="18"/>
                <w:szCs w:val="18"/>
                <w:color w:val="auto"/>
              </w:rPr>
              <w:t>Net underwriting expense ratio</w:t>
            </w:r>
          </w:p>
        </w:tc>
        <w:tc>
          <w:tcPr>
            <w:tcW w:w="13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34.6%</w:t>
            </w:r>
          </w:p>
        </w:tc>
        <w:tc>
          <w:tcPr>
            <w:tcW w:w="136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34.3%</w:t>
            </w:r>
          </w:p>
        </w:tc>
        <w:tc>
          <w:tcPr>
            <w:tcW w:w="1400" w:type="dxa"/>
            <w:vAlign w:val="bottom"/>
            <w:tcBorders>
              <w:bottom w:val="single" w:sz="8" w:color="auto"/>
            </w:tcBorders>
          </w:tcPr>
          <w:p>
            <w:pPr>
              <w:jc w:val="right"/>
              <w:ind w:right="258"/>
              <w:spacing w:after="0"/>
              <w:rPr>
                <w:sz w:val="20"/>
                <w:szCs w:val="20"/>
                <w:color w:val="auto"/>
              </w:rPr>
            </w:pPr>
            <w:r>
              <w:rPr>
                <w:rFonts w:ascii="Arial" w:cs="Arial" w:eastAsia="Arial" w:hAnsi="Arial"/>
                <w:sz w:val="18"/>
                <w:szCs w:val="18"/>
                <w:color w:val="auto"/>
              </w:rPr>
              <w:t>0.3</w:t>
            </w:r>
          </w:p>
        </w:tc>
        <w:tc>
          <w:tcPr>
            <w:tcW w:w="1360" w:type="dxa"/>
            <w:vAlign w:val="bottom"/>
          </w:tcPr>
          <w:p>
            <w:pPr>
              <w:jc w:val="right"/>
              <w:ind w:right="118"/>
              <w:spacing w:after="0"/>
              <w:rPr>
                <w:sz w:val="20"/>
                <w:szCs w:val="20"/>
                <w:color w:val="auto"/>
              </w:rPr>
            </w:pPr>
            <w:r>
              <w:rPr>
                <w:rFonts w:ascii="Arial" w:cs="Arial" w:eastAsia="Arial" w:hAnsi="Arial"/>
                <w:sz w:val="18"/>
                <w:szCs w:val="18"/>
                <w:color w:val="auto"/>
              </w:rPr>
              <w:t>0.9%</w:t>
            </w:r>
          </w:p>
        </w:tc>
      </w:tr>
      <w:tr>
        <w:trPr>
          <w:trHeight w:val="257"/>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combined ratio</w:t>
            </w: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67.4%</w:t>
            </w:r>
          </w:p>
        </w:tc>
        <w:tc>
          <w:tcPr>
            <w:tcW w:w="13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72.8%</w:t>
            </w:r>
          </w:p>
        </w:tc>
        <w:tc>
          <w:tcPr>
            <w:tcW w:w="140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8"/>
                <w:szCs w:val="18"/>
                <w:color w:val="auto"/>
              </w:rPr>
              <w:t>(5.4)</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(7.4) %</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Direct written premiums during the three months ended September 30, 2016 (“Q3-2016”) were $27,170,000 compared to $24,570,000 during the three months ended September 30, 2015 (“Q3-2015”). The increase of $2,600,000, or 10.6%, was primarily due to an increase in policies in-force during Q3-2016 as compared to Q3-2015. We wrote more new policies as a result of continued demand for our products in the markets that we serve. Policies in-force increased by 13.7% as of September 30, 2016 compared to September 30, 2015.</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0" w:name="page51"/>
    <w:bookmarkEnd w:id="50"/>
    <w:p>
      <w:pPr>
        <w:jc w:val="both"/>
        <w:ind w:firstLine="706"/>
        <w:spacing w:after="0" w:line="298" w:lineRule="auto"/>
        <w:rPr>
          <w:sz w:val="20"/>
          <w:szCs w:val="20"/>
          <w:color w:val="auto"/>
        </w:rPr>
      </w:pPr>
      <w:r>
        <w:rPr>
          <w:rFonts w:ascii="Arial" w:cs="Arial" w:eastAsia="Arial" w:hAnsi="Arial"/>
          <w:sz w:val="16"/>
          <w:szCs w:val="16"/>
          <w:color w:val="auto"/>
        </w:rPr>
        <w:t>Our growth rate in direct written premiums was dampened somewhat due to the slowing of growth in our livery physical damage line of business. Effective October 1, 2014, we ceased writing of new policies in our commercial auto line of business due to a history of poor underwriting results. In February 2015, we made the decision to no longer offer renewals on our existing commercial auto policies beginning with those that expired on or after May 1, 2015.Policies-in-force in our continuing lines of business increased by 14.2% as of September 30, 2016 compared to September 30, 2015.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5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following table details the quota share reinsurance ceding rates in effect during Q3-2016 and Q3-2015. For purposes of the discussion herein, the change in quota share ceding rates on July 1, 2015 will be referred to as “the Cut-off”. This table should be referred to in conjunction with the discussions for net written premiums, net premiums earned, ceding commission revenue and net loss and loss adjustment expenses that follow.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860" w:type="dxa"/>
            <w:vAlign w:val="bottom"/>
          </w:tcPr>
          <w:p>
            <w:pPr>
              <w:ind w:left="160"/>
              <w:spacing w:after="0"/>
              <w:rPr>
                <w:sz w:val="20"/>
                <w:szCs w:val="20"/>
                <w:color w:val="auto"/>
              </w:rPr>
            </w:pPr>
            <w:r>
              <w:rPr>
                <w:rFonts w:ascii="Arial" w:cs="Arial" w:eastAsia="Arial" w:hAnsi="Arial"/>
                <w:sz w:val="15"/>
                <w:szCs w:val="15"/>
                <w:b w:val="1"/>
                <w:bCs w:val="1"/>
                <w:color w:val="auto"/>
              </w:rPr>
              <w:t>Three months ended</w:t>
            </w:r>
          </w:p>
        </w:tc>
      </w:tr>
      <w:tr>
        <w:trPr>
          <w:trHeight w:val="260"/>
        </w:trPr>
        <w:tc>
          <w:tcPr>
            <w:tcW w:w="5300" w:type="dxa"/>
            <w:vAlign w:val="bottom"/>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386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September 30,</w:t>
            </w:r>
          </w:p>
        </w:tc>
      </w:tr>
      <w:tr>
        <w:trPr>
          <w:trHeight w:val="196"/>
        </w:trPr>
        <w:tc>
          <w:tcPr>
            <w:tcW w:w="5300" w:type="dxa"/>
            <w:vAlign w:val="bottom"/>
          </w:tcPr>
          <w:p>
            <w:pPr>
              <w:spacing w:after="0"/>
              <w:rPr>
                <w:sz w:val="17"/>
                <w:szCs w:val="17"/>
                <w:color w:val="auto"/>
              </w:rPr>
            </w:pPr>
          </w:p>
        </w:tc>
        <w:tc>
          <w:tcPr>
            <w:tcW w:w="2260" w:type="dxa"/>
            <w:vAlign w:val="bottom"/>
            <w:tcBorders>
              <w:bottom w:val="single" w:sz="8" w:color="auto"/>
            </w:tcBorders>
          </w:tcPr>
          <w:p>
            <w:pPr>
              <w:jc w:val="right"/>
              <w:ind w:right="601"/>
              <w:spacing w:after="0"/>
              <w:rPr>
                <w:sz w:val="20"/>
                <w:szCs w:val="20"/>
                <w:color w:val="auto"/>
              </w:rPr>
            </w:pPr>
            <w:r>
              <w:rPr>
                <w:rFonts w:ascii="Arial" w:cs="Arial" w:eastAsia="Arial" w:hAnsi="Arial"/>
                <w:sz w:val="15"/>
                <w:szCs w:val="15"/>
                <w:b w:val="1"/>
                <w:bCs w:val="1"/>
                <w:color w:val="auto"/>
              </w:rPr>
              <w:t>2016</w:t>
            </w:r>
          </w:p>
        </w:tc>
        <w:tc>
          <w:tcPr>
            <w:tcW w:w="3860" w:type="dxa"/>
            <w:vAlign w:val="bottom"/>
            <w:tcBorders>
              <w:bottom w:val="single" w:sz="8" w:color="auto"/>
            </w:tcBorders>
          </w:tcPr>
          <w:p>
            <w:pPr>
              <w:jc w:val="right"/>
              <w:ind w:right="1223"/>
              <w:spacing w:after="0"/>
              <w:rPr>
                <w:sz w:val="20"/>
                <w:szCs w:val="20"/>
                <w:color w:val="auto"/>
              </w:rPr>
            </w:pPr>
            <w:r>
              <w:rPr>
                <w:rFonts w:ascii="Arial" w:cs="Arial" w:eastAsia="Arial" w:hAnsi="Arial"/>
                <w:sz w:val="15"/>
                <w:szCs w:val="15"/>
                <w:b w:val="1"/>
                <w:bCs w:val="1"/>
                <w:color w:val="auto"/>
              </w:rPr>
              <w:t>2015</w:t>
            </w:r>
          </w:p>
        </w:tc>
      </w:tr>
      <w:tr>
        <w:trPr>
          <w:trHeight w:val="192"/>
        </w:trPr>
        <w:tc>
          <w:tcPr>
            <w:tcW w:w="5300" w:type="dxa"/>
            <w:vAlign w:val="bottom"/>
          </w:tcPr>
          <w:p>
            <w:pPr>
              <w:spacing w:after="0"/>
              <w:rPr>
                <w:sz w:val="16"/>
                <w:szCs w:val="16"/>
                <w:color w:val="auto"/>
              </w:rPr>
            </w:pPr>
          </w:p>
        </w:tc>
        <w:tc>
          <w:tcPr>
            <w:tcW w:w="2260" w:type="dxa"/>
            <w:vAlign w:val="bottom"/>
          </w:tcPr>
          <w:p>
            <w:pPr>
              <w:ind w:left="760"/>
              <w:spacing w:after="0"/>
              <w:rPr>
                <w:sz w:val="20"/>
                <w:szCs w:val="20"/>
                <w:color w:val="auto"/>
              </w:rPr>
            </w:pPr>
            <w:r>
              <w:rPr>
                <w:rFonts w:ascii="Arial" w:cs="Arial" w:eastAsia="Arial" w:hAnsi="Arial"/>
                <w:sz w:val="15"/>
                <w:szCs w:val="15"/>
                <w:b w:val="1"/>
                <w:bCs w:val="1"/>
                <w:color w:val="auto"/>
              </w:rPr>
              <w:t>("2016/2017 Treaty")</w:t>
            </w:r>
          </w:p>
        </w:tc>
        <w:tc>
          <w:tcPr>
            <w:tcW w:w="3860" w:type="dxa"/>
            <w:vAlign w:val="bottom"/>
          </w:tcPr>
          <w:p>
            <w:pPr>
              <w:ind w:left="1740"/>
              <w:spacing w:after="0"/>
              <w:rPr>
                <w:sz w:val="20"/>
                <w:szCs w:val="20"/>
                <w:color w:val="auto"/>
              </w:rPr>
            </w:pPr>
            <w:r>
              <w:rPr>
                <w:rFonts w:ascii="Arial" w:cs="Arial" w:eastAsia="Arial" w:hAnsi="Arial"/>
                <w:sz w:val="15"/>
                <w:szCs w:val="15"/>
                <w:b w:val="1"/>
                <w:bCs w:val="1"/>
                <w:color w:val="auto"/>
              </w:rPr>
              <w:t>("2015/2016 Treaty")</w:t>
            </w:r>
          </w:p>
        </w:tc>
      </w:tr>
      <w:tr>
        <w:trPr>
          <w:trHeight w:val="455"/>
        </w:trPr>
        <w:tc>
          <w:tcPr>
            <w:tcW w:w="5300" w:type="dxa"/>
            <w:vAlign w:val="bottom"/>
          </w:tcPr>
          <w:p>
            <w:pPr>
              <w:ind w:left="60"/>
              <w:spacing w:after="0"/>
              <w:rPr>
                <w:sz w:val="20"/>
                <w:szCs w:val="20"/>
                <w:color w:val="auto"/>
              </w:rPr>
            </w:pPr>
            <w:r>
              <w:rPr>
                <w:rFonts w:ascii="Arial" w:cs="Arial" w:eastAsia="Arial" w:hAnsi="Arial"/>
                <w:sz w:val="18"/>
                <w:szCs w:val="18"/>
                <w:b w:val="1"/>
                <w:bCs w:val="1"/>
                <w:color w:val="auto"/>
              </w:rPr>
              <w:t>Quota share reinsurance rates</w:t>
            </w:r>
          </w:p>
        </w:tc>
        <w:tc>
          <w:tcPr>
            <w:tcW w:w="22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17"/>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Personal lines</w:t>
            </w:r>
          </w:p>
        </w:tc>
        <w:tc>
          <w:tcPr>
            <w:tcW w:w="226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rPr>
              <w:t>40%</w:t>
            </w:r>
          </w:p>
        </w:tc>
        <w:tc>
          <w:tcPr>
            <w:tcW w:w="3860" w:type="dxa"/>
            <w:vAlign w:val="bottom"/>
            <w:shd w:val="clear" w:color="auto" w:fill="CCEEFF"/>
          </w:tcPr>
          <w:p>
            <w:pPr>
              <w:jc w:val="right"/>
              <w:ind w:right="1223"/>
              <w:spacing w:after="0"/>
              <w:rPr>
                <w:sz w:val="20"/>
                <w:szCs w:val="20"/>
                <w:color w:val="auto"/>
              </w:rPr>
            </w:pPr>
            <w:r>
              <w:rPr>
                <w:rFonts w:ascii="Arial" w:cs="Arial" w:eastAsia="Arial" w:hAnsi="Arial"/>
                <w:sz w:val="18"/>
                <w:szCs w:val="18"/>
                <w:color w:val="auto"/>
              </w:rPr>
              <w:t>40%</w:t>
            </w:r>
          </w:p>
        </w:tc>
      </w:tr>
    </w:tbl>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“Reinsurance” below for changes to our personal lines quota share treaty effective July 1, 2016.</w:t>
      </w:r>
    </w:p>
    <w:p>
      <w:pPr>
        <w:spacing w:after="0" w:line="25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Net written premiums decreased $4,105,000, or 19.2%, to $17,232,000 in Q3-2016 from $21,337,000 in Q3-2015. Net written premiums include direct and assumed premiums, less the amount of written premiums ceded under our reinsurance treaties (quota share, excess of loss, and catastrophe). Our personal lines business is currently subject to a quota share treaty. A reduction to the quota share percentage or elimination of a quota share treaty will reduce our ceded written premiums, which will result in a corresponding increase to our net written premiums.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i w:val="1"/>
          <w:iCs w:val="1"/>
          <w:color w:val="auto"/>
        </w:rPr>
        <w:t>Change in quota share ceding rate</w:t>
      </w:r>
    </w:p>
    <w:p>
      <w:pPr>
        <w:spacing w:after="0" w:line="25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Effective July 1, 2015, we decreased the quota share ceding rate in our personal lines quota share treaty from 55% to 40%. The Cut-off of this treaty on July 1, 2015 resulted in a $5,866,000 return of unearned premiums from our reinsurers that were previously ceded under the expiring personal lines quota share treaty. We did not change our quota share ceding rates on July 1, 2016, and accordingly, there was no return of unearned premiums from our reinsurers (in contrast with what occurred on July 1, 2015), thus creating a decrease in net written premiums in Q3-2016 compared to Q4-2016. The table below shows the effect of the $5,866,000 return of ceded premiums on net written premiums for Q3-2016 and Q3-2015: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vMerge w:val="restart"/>
          </w:tcPr>
          <w:p>
            <w:pPr>
              <w:spacing w:after="0"/>
              <w:rPr>
                <w:sz w:val="20"/>
                <w:szCs w:val="20"/>
                <w:color w:val="auto"/>
              </w:rPr>
            </w:pPr>
            <w:r>
              <w:rPr>
                <w:rFonts w:ascii="Arial" w:cs="Arial" w:eastAsia="Arial" w:hAnsi="Arial"/>
                <w:sz w:val="15"/>
                <w:szCs w:val="15"/>
                <w:b w:val="1"/>
                <w:bCs w:val="1"/>
                <w:color w:val="auto"/>
              </w:rPr>
              <w:t>($ in thousands)</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ind w:left="240"/>
              <w:spacing w:after="0"/>
              <w:rPr>
                <w:sz w:val="20"/>
                <w:szCs w:val="20"/>
                <w:color w:val="auto"/>
              </w:rPr>
            </w:pPr>
            <w:r>
              <w:rPr>
                <w:rFonts w:ascii="Arial" w:cs="Arial" w:eastAsia="Arial" w:hAnsi="Arial"/>
                <w:sz w:val="15"/>
                <w:szCs w:val="15"/>
                <w:b w:val="1"/>
                <w:bCs w:val="1"/>
                <w:color w:val="auto"/>
              </w:rPr>
              <w:t>Three months ended September 30,</w:t>
            </w: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6"/>
              <w:spacing w:after="0" w:line="162" w:lineRule="exact"/>
              <w:rPr>
                <w:sz w:val="20"/>
                <w:szCs w:val="20"/>
                <w:color w:val="auto"/>
              </w:rPr>
            </w:pPr>
            <w:r>
              <w:rPr>
                <w:rFonts w:ascii="Arial" w:cs="Arial" w:eastAsia="Arial" w:hAnsi="Arial"/>
                <w:sz w:val="15"/>
                <w:szCs w:val="15"/>
                <w:b w:val="1"/>
                <w:bCs w:val="1"/>
                <w:color w:val="auto"/>
              </w:rPr>
              <w:t>2016</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6"/>
              <w:spacing w:after="0" w:line="162" w:lineRule="exact"/>
              <w:rPr>
                <w:sz w:val="20"/>
                <w:szCs w:val="20"/>
                <w:color w:val="auto"/>
              </w:rPr>
            </w:pPr>
            <w:r>
              <w:rPr>
                <w:rFonts w:ascii="Arial" w:cs="Arial" w:eastAsia="Arial" w:hAnsi="Arial"/>
                <w:sz w:val="15"/>
                <w:szCs w:val="15"/>
                <w:b w:val="1"/>
                <w:bCs w:val="1"/>
                <w:color w:val="auto"/>
              </w:rPr>
              <w:t>2015</w:t>
            </w: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6"/>
              <w:spacing w:after="0" w:line="162" w:lineRule="exact"/>
              <w:rPr>
                <w:sz w:val="20"/>
                <w:szCs w:val="20"/>
                <w:color w:val="auto"/>
              </w:rPr>
            </w:pPr>
            <w:r>
              <w:rPr>
                <w:rFonts w:ascii="Arial" w:cs="Arial" w:eastAsia="Arial" w:hAnsi="Arial"/>
                <w:sz w:val="15"/>
                <w:szCs w:val="15"/>
                <w:b w:val="1"/>
                <w:bCs w:val="1"/>
                <w:color w:val="auto"/>
                <w:w w:val="94"/>
              </w:rPr>
              <w:t>Change</w:t>
            </w:r>
          </w:p>
        </w:tc>
        <w:tc>
          <w:tcPr>
            <w:tcW w:w="1360" w:type="dxa"/>
            <w:vAlign w:val="bottom"/>
            <w:tcBorders>
              <w:bottom w:val="single" w:sz="8" w:color="auto"/>
            </w:tcBorders>
          </w:tcPr>
          <w:p>
            <w:pPr>
              <w:jc w:val="right"/>
              <w:ind w:right="436"/>
              <w:spacing w:after="0" w:line="162" w:lineRule="exact"/>
              <w:rPr>
                <w:sz w:val="20"/>
                <w:szCs w:val="20"/>
                <w:color w:val="auto"/>
              </w:rPr>
            </w:pPr>
            <w:r>
              <w:rPr>
                <w:rFonts w:ascii="Arial" w:cs="Arial" w:eastAsia="Arial" w:hAnsi="Arial"/>
                <w:sz w:val="15"/>
                <w:szCs w:val="15"/>
                <w:b w:val="1"/>
                <w:bCs w:val="1"/>
                <w:color w:val="auto"/>
              </w:rPr>
              <w:t>Percent</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00"/>
              <w:spacing w:after="0"/>
              <w:rPr>
                <w:sz w:val="20"/>
                <w:szCs w:val="20"/>
                <w:color w:val="auto"/>
              </w:rPr>
            </w:pPr>
            <w:r>
              <w:rPr>
                <w:rFonts w:ascii="Arial" w:cs="Arial" w:eastAsia="Arial" w:hAnsi="Arial"/>
                <w:sz w:val="18"/>
                <w:szCs w:val="18"/>
                <w:color w:val="auto"/>
              </w:rPr>
              <w:t>Net written premiums</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6"/>
              <w:spacing w:after="0"/>
              <w:rPr>
                <w:sz w:val="20"/>
                <w:szCs w:val="20"/>
                <w:color w:val="auto"/>
              </w:rPr>
            </w:pPr>
            <w:r>
              <w:rPr>
                <w:rFonts w:ascii="Arial" w:cs="Arial" w:eastAsia="Arial" w:hAnsi="Arial"/>
                <w:sz w:val="18"/>
                <w:szCs w:val="18"/>
                <w:color w:val="auto"/>
              </w:rPr>
              <w:t>17,232</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6"/>
              <w:spacing w:after="0"/>
              <w:rPr>
                <w:sz w:val="20"/>
                <w:szCs w:val="20"/>
                <w:color w:val="auto"/>
              </w:rPr>
            </w:pPr>
            <w:r>
              <w:rPr>
                <w:rFonts w:ascii="Arial" w:cs="Arial" w:eastAsia="Arial" w:hAnsi="Arial"/>
                <w:sz w:val="18"/>
                <w:szCs w:val="18"/>
                <w:color w:val="auto"/>
              </w:rPr>
              <w:t>21,337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6"/>
              <w:spacing w:after="0"/>
              <w:rPr>
                <w:sz w:val="20"/>
                <w:szCs w:val="20"/>
                <w:color w:val="auto"/>
              </w:rPr>
            </w:pPr>
            <w:r>
              <w:rPr>
                <w:rFonts w:ascii="Arial" w:cs="Arial" w:eastAsia="Arial" w:hAnsi="Arial"/>
                <w:sz w:val="18"/>
                <w:szCs w:val="18"/>
                <w:color w:val="auto"/>
              </w:rPr>
              <w:t>(4,105)</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Return of premiums previously ceded to prior quota share treaties</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5,866</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(5,866)</w:t>
            </w:r>
          </w:p>
        </w:tc>
        <w:tc>
          <w:tcPr>
            <w:tcW w:w="13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60" w:type="dxa"/>
            <w:vAlign w:val="bottom"/>
          </w:tcPr>
          <w:p>
            <w:pPr>
              <w:ind w:left="100"/>
              <w:spacing w:after="0"/>
              <w:rPr>
                <w:sz w:val="20"/>
                <w:szCs w:val="20"/>
                <w:color w:val="auto"/>
              </w:rPr>
            </w:pPr>
            <w:r>
              <w:rPr>
                <w:rFonts w:ascii="Arial" w:cs="Arial" w:eastAsia="Arial" w:hAnsi="Arial"/>
                <w:sz w:val="18"/>
                <w:szCs w:val="18"/>
                <w:color w:val="auto"/>
              </w:rPr>
              <w:t>Net written premiums without the effect of the July 1, 2015 Cut-off</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17,232</w:t>
            </w: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15,471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1,761</w:t>
            </w: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Without the $5,866,000 effect of the Cut-off in Q3-2015, net written premiums increased by $1,761,000, or 11.4%, in Q3-2016 compared to Q3-2015.</w:t>
      </w:r>
    </w:p>
    <w:p>
      <w:pPr>
        <w:spacing w:after="0" w:line="2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2016/2017 Treaty and 2015/2016 Treaty are on a “net” of catastrophe reinsurance basis, as opposed to the “gross” arrangement that existed in periods before July 1, 2015. Under a “net” arrangement, all catastrophe reinsurance coverage is now purchased directly by us, which increases our ceded premium for that component.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Catastrophe reinsurance treaty</w:t>
      </w:r>
    </w:p>
    <w:p>
      <w:pPr>
        <w:spacing w:after="0" w:line="25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5"/>
          <w:szCs w:val="15"/>
          <w:color w:val="auto"/>
        </w:rPr>
        <w:t>Most of the premiums written under our personal lines are also subject to our catastrophe treaty. An increase in our personal lines business gives rise to more property exposure, which increases our exposure to catastrophe risk; therefore, our premiums for catastrophe insurance will increase. This results in an increase in premiums ceded under our catastrophe treaty, which reduces net written premiums. With the inception of our personal lines quota share treaty being on a “net” basis effective July 1, 2015, our catastrophe premiums are paid based on all of our direct written premiums subject to the quota share, compared to catastrophe premiums being paid only on the amount of written premiums that we retained under the “gross” basis that expired on June 30, 2015. As a result of the increase in our personal lines business, ceded catastrophe premiums increased by $120,000, or 5.2%, to $2,427,000 in Q3-2016 from $2,307,000 in Q3-2015.</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 of loss reinsurance treaty</w:t>
      </w:r>
    </w:p>
    <w:p>
      <w:pPr>
        <w:spacing w:after="0" w:line="252"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An increase in written premiums will also increase the premiums ceded under our excess of loss treaties, which incrementally reduces our net written premiums. In Q3-2016, our ceded excess of loss reinsurance premiums increased by $38,000 over the ceded premiums for Q3-2015.</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5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Net premiums earned increased $2,517,000, or 19.2%, to $15,646,000 in Q3-2016 from $13,129,000 in Q3-2015. The decrease in our quota share ceding percentage from the July 1, 2015 Cut-off gave us a $5,866,000 return of premiums previously ceded, which increased our net premiums earned during the twelve month periods after the Cut-off. In addition, as premiums written earn ratably over a twelve month period, net premiums earned in 2016 increased due to the higher net written premiums generated for the twelve months ended September 30, 2016 compared to the twelve months ended September 30, 2015.</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following table details the quota share provisional ceding commission rates in effect during Q3-2016 and Q3-2015. This table should be referred to in conjunction with the discussion for ceding commission revenue that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800" w:type="dxa"/>
            <w:vAlign w:val="bottom"/>
          </w:tcPr>
          <w:p>
            <w:pPr>
              <w:ind w:left="100"/>
              <w:spacing w:after="0"/>
              <w:rPr>
                <w:sz w:val="20"/>
                <w:szCs w:val="20"/>
                <w:color w:val="auto"/>
              </w:rPr>
            </w:pPr>
            <w:r>
              <w:rPr>
                <w:rFonts w:ascii="Arial" w:cs="Arial" w:eastAsia="Arial" w:hAnsi="Arial"/>
                <w:sz w:val="15"/>
                <w:szCs w:val="15"/>
                <w:b w:val="1"/>
                <w:bCs w:val="1"/>
                <w:color w:val="auto"/>
              </w:rPr>
              <w:t>Three months ended</w:t>
            </w:r>
          </w:p>
        </w:tc>
      </w:tr>
      <w:tr>
        <w:trPr>
          <w:trHeight w:val="260"/>
        </w:trPr>
        <w:tc>
          <w:tcPr>
            <w:tcW w:w="5300" w:type="dxa"/>
            <w:vAlign w:val="bottom"/>
          </w:tcPr>
          <w:p>
            <w:pPr>
              <w:spacing w:after="0"/>
              <w:rPr>
                <w:sz w:val="22"/>
                <w:szCs w:val="22"/>
                <w:color w:val="auto"/>
              </w:rPr>
            </w:pPr>
          </w:p>
        </w:tc>
        <w:tc>
          <w:tcPr>
            <w:tcW w:w="232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September 30, 2016</w:t>
            </w:r>
          </w:p>
        </w:tc>
      </w:tr>
      <w:tr>
        <w:trPr>
          <w:trHeight w:val="196"/>
        </w:trPr>
        <w:tc>
          <w:tcPr>
            <w:tcW w:w="5300" w:type="dxa"/>
            <w:vAlign w:val="bottom"/>
          </w:tcPr>
          <w:p>
            <w:pPr>
              <w:spacing w:after="0"/>
              <w:rPr>
                <w:sz w:val="17"/>
                <w:szCs w:val="17"/>
                <w:color w:val="auto"/>
              </w:rPr>
            </w:pPr>
          </w:p>
        </w:tc>
        <w:tc>
          <w:tcPr>
            <w:tcW w:w="2320" w:type="dxa"/>
            <w:vAlign w:val="bottom"/>
            <w:tcBorders>
              <w:bottom w:val="single" w:sz="8" w:color="auto"/>
            </w:tcBorders>
          </w:tcPr>
          <w:p>
            <w:pPr>
              <w:jc w:val="right"/>
              <w:ind w:right="661"/>
              <w:spacing w:after="0"/>
              <w:rPr>
                <w:sz w:val="20"/>
                <w:szCs w:val="20"/>
                <w:color w:val="auto"/>
              </w:rPr>
            </w:pPr>
            <w:r>
              <w:rPr>
                <w:rFonts w:ascii="Arial" w:cs="Arial" w:eastAsia="Arial" w:hAnsi="Arial"/>
                <w:sz w:val="15"/>
                <w:szCs w:val="15"/>
                <w:b w:val="1"/>
                <w:bCs w:val="1"/>
                <w:color w:val="auto"/>
              </w:rPr>
              <w:t>2016</w:t>
            </w:r>
          </w:p>
        </w:tc>
        <w:tc>
          <w:tcPr>
            <w:tcW w:w="3800" w:type="dxa"/>
            <w:vAlign w:val="bottom"/>
            <w:tcBorders>
              <w:bottom w:val="single" w:sz="8" w:color="auto"/>
            </w:tcBorders>
          </w:tcPr>
          <w:p>
            <w:pPr>
              <w:jc w:val="right"/>
              <w:ind w:right="1223"/>
              <w:spacing w:after="0"/>
              <w:rPr>
                <w:sz w:val="20"/>
                <w:szCs w:val="20"/>
                <w:color w:val="auto"/>
              </w:rPr>
            </w:pPr>
            <w:r>
              <w:rPr>
                <w:rFonts w:ascii="Arial" w:cs="Arial" w:eastAsia="Arial" w:hAnsi="Arial"/>
                <w:sz w:val="15"/>
                <w:szCs w:val="15"/>
                <w:b w:val="1"/>
                <w:bCs w:val="1"/>
                <w:color w:val="auto"/>
              </w:rPr>
              <w:t>2015</w:t>
            </w:r>
          </w:p>
        </w:tc>
      </w:tr>
      <w:tr>
        <w:trPr>
          <w:trHeight w:val="192"/>
        </w:trPr>
        <w:tc>
          <w:tcPr>
            <w:tcW w:w="5300" w:type="dxa"/>
            <w:vAlign w:val="bottom"/>
          </w:tcPr>
          <w:p>
            <w:pPr>
              <w:spacing w:after="0"/>
              <w:rPr>
                <w:sz w:val="16"/>
                <w:szCs w:val="16"/>
                <w:color w:val="auto"/>
              </w:rPr>
            </w:pPr>
          </w:p>
        </w:tc>
        <w:tc>
          <w:tcPr>
            <w:tcW w:w="2320" w:type="dxa"/>
            <w:vAlign w:val="bottom"/>
          </w:tcPr>
          <w:p>
            <w:pPr>
              <w:ind w:left="940"/>
              <w:spacing w:after="0"/>
              <w:rPr>
                <w:sz w:val="20"/>
                <w:szCs w:val="20"/>
                <w:color w:val="auto"/>
              </w:rPr>
            </w:pPr>
            <w:r>
              <w:rPr>
                <w:rFonts w:ascii="Arial" w:cs="Arial" w:eastAsia="Arial" w:hAnsi="Arial"/>
                <w:sz w:val="15"/>
                <w:szCs w:val="15"/>
                <w:b w:val="1"/>
                <w:bCs w:val="1"/>
                <w:color w:val="auto"/>
                <w:w w:val="94"/>
              </w:rPr>
              <w:t>("2016/2017 Treaty")</w:t>
            </w:r>
          </w:p>
        </w:tc>
        <w:tc>
          <w:tcPr>
            <w:tcW w:w="3800" w:type="dxa"/>
            <w:vAlign w:val="bottom"/>
          </w:tcPr>
          <w:p>
            <w:pPr>
              <w:ind w:left="1680"/>
              <w:spacing w:after="0"/>
              <w:rPr>
                <w:sz w:val="20"/>
                <w:szCs w:val="20"/>
                <w:color w:val="auto"/>
              </w:rPr>
            </w:pPr>
            <w:r>
              <w:rPr>
                <w:rFonts w:ascii="Arial" w:cs="Arial" w:eastAsia="Arial" w:hAnsi="Arial"/>
                <w:sz w:val="15"/>
                <w:szCs w:val="15"/>
                <w:b w:val="1"/>
                <w:bCs w:val="1"/>
                <w:color w:val="auto"/>
              </w:rPr>
              <w:t>("2015/2016 Treaty")</w:t>
            </w:r>
          </w:p>
        </w:tc>
      </w:tr>
      <w:tr>
        <w:trPr>
          <w:trHeight w:val="455"/>
        </w:trPr>
        <w:tc>
          <w:tcPr>
            <w:tcW w:w="5300" w:type="dxa"/>
            <w:vAlign w:val="bottom"/>
          </w:tcPr>
          <w:p>
            <w:pPr>
              <w:ind w:left="100"/>
              <w:spacing w:after="0"/>
              <w:rPr>
                <w:sz w:val="20"/>
                <w:szCs w:val="20"/>
                <w:color w:val="auto"/>
              </w:rPr>
            </w:pPr>
            <w:r>
              <w:rPr>
                <w:rFonts w:ascii="Arial" w:cs="Arial" w:eastAsia="Arial" w:hAnsi="Arial"/>
                <w:sz w:val="18"/>
                <w:szCs w:val="18"/>
                <w:b w:val="1"/>
                <w:bCs w:val="1"/>
                <w:color w:val="auto"/>
              </w:rPr>
              <w:t>Quota share provisional ceding commission rate</w:t>
            </w:r>
          </w:p>
        </w:tc>
        <w:tc>
          <w:tcPr>
            <w:tcW w:w="23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17"/>
        </w:trPr>
        <w:tc>
          <w:tcPr>
            <w:tcW w:w="5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Personal lines</w:t>
            </w:r>
          </w:p>
        </w:tc>
        <w:tc>
          <w:tcPr>
            <w:tcW w:w="2320" w:type="dxa"/>
            <w:vAlign w:val="bottom"/>
            <w:shd w:val="clear" w:color="auto" w:fill="CCEEFF"/>
          </w:tcPr>
          <w:p>
            <w:pPr>
              <w:jc w:val="right"/>
              <w:ind w:right="641"/>
              <w:spacing w:after="0"/>
              <w:rPr>
                <w:sz w:val="20"/>
                <w:szCs w:val="20"/>
                <w:color w:val="auto"/>
              </w:rPr>
            </w:pPr>
            <w:r>
              <w:rPr>
                <w:rFonts w:ascii="Arial" w:cs="Arial" w:eastAsia="Arial" w:hAnsi="Arial"/>
                <w:sz w:val="18"/>
                <w:szCs w:val="18"/>
                <w:color w:val="auto"/>
              </w:rPr>
              <w:t>52%</w:t>
            </w:r>
          </w:p>
        </w:tc>
        <w:tc>
          <w:tcPr>
            <w:tcW w:w="3800" w:type="dxa"/>
            <w:vAlign w:val="bottom"/>
            <w:shd w:val="clear" w:color="auto" w:fill="CCEEFF"/>
          </w:tcPr>
          <w:p>
            <w:pPr>
              <w:jc w:val="right"/>
              <w:ind w:right="1223"/>
              <w:spacing w:after="0"/>
              <w:rPr>
                <w:sz w:val="20"/>
                <w:szCs w:val="20"/>
                <w:color w:val="auto"/>
              </w:rPr>
            </w:pPr>
            <w:r>
              <w:rPr>
                <w:rFonts w:ascii="Arial" w:cs="Arial" w:eastAsia="Arial" w:hAnsi="Arial"/>
                <w:sz w:val="18"/>
                <w:szCs w:val="18"/>
                <w:color w:val="auto"/>
              </w:rPr>
              <w:t>55%</w:t>
            </w: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changes in the components of ceding commission revenue (in thousands) for the periods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vMerge w:val="restart"/>
          </w:tcPr>
          <w:p>
            <w:pPr>
              <w:spacing w:after="0"/>
              <w:rPr>
                <w:sz w:val="20"/>
                <w:szCs w:val="20"/>
                <w:color w:val="auto"/>
              </w:rPr>
            </w:pPr>
            <w:r>
              <w:rPr>
                <w:rFonts w:ascii="Arial" w:cs="Arial" w:eastAsia="Arial" w:hAnsi="Arial"/>
                <w:sz w:val="15"/>
                <w:szCs w:val="15"/>
                <w:b w:val="1"/>
                <w:bCs w:val="1"/>
                <w:color w:val="auto"/>
              </w:rPr>
              <w:t>($ in thousands)</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5"/>
                <w:szCs w:val="15"/>
                <w:b w:val="1"/>
                <w:bCs w:val="1"/>
                <w:color w:val="auto"/>
                <w:w w:val="95"/>
              </w:rPr>
              <w:t>Three months ended September 30,</w:t>
            </w: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4"/>
              <w:spacing w:after="0" w:line="162" w:lineRule="exact"/>
              <w:rPr>
                <w:sz w:val="20"/>
                <w:szCs w:val="20"/>
                <w:color w:val="auto"/>
              </w:rPr>
            </w:pPr>
            <w:r>
              <w:rPr>
                <w:rFonts w:ascii="Arial" w:cs="Arial" w:eastAsia="Arial" w:hAnsi="Arial"/>
                <w:sz w:val="15"/>
                <w:szCs w:val="15"/>
                <w:b w:val="1"/>
                <w:bCs w:val="1"/>
                <w:color w:val="auto"/>
              </w:rPr>
              <w:t>2016</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4"/>
              <w:spacing w:after="0" w:line="162" w:lineRule="exact"/>
              <w:rPr>
                <w:sz w:val="20"/>
                <w:szCs w:val="20"/>
                <w:color w:val="auto"/>
              </w:rPr>
            </w:pPr>
            <w:r>
              <w:rPr>
                <w:rFonts w:ascii="Arial" w:cs="Arial" w:eastAsia="Arial" w:hAnsi="Arial"/>
                <w:sz w:val="15"/>
                <w:szCs w:val="15"/>
                <w:b w:val="1"/>
                <w:bCs w:val="1"/>
                <w:color w:val="auto"/>
              </w:rPr>
              <w:t>2015</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4"/>
              <w:spacing w:after="0" w:line="162" w:lineRule="exact"/>
              <w:rPr>
                <w:sz w:val="20"/>
                <w:szCs w:val="20"/>
                <w:color w:val="auto"/>
              </w:rPr>
            </w:pPr>
            <w:r>
              <w:rPr>
                <w:rFonts w:ascii="Arial" w:cs="Arial" w:eastAsia="Arial" w:hAnsi="Arial"/>
                <w:sz w:val="15"/>
                <w:szCs w:val="15"/>
                <w:b w:val="1"/>
                <w:bCs w:val="1"/>
                <w:color w:val="auto"/>
              </w:rPr>
              <w:t>Change</w:t>
            </w:r>
          </w:p>
        </w:tc>
        <w:tc>
          <w:tcPr>
            <w:tcW w:w="1360" w:type="dxa"/>
            <w:vAlign w:val="bottom"/>
            <w:tcBorders>
              <w:bottom w:val="single" w:sz="8" w:color="auto"/>
            </w:tcBorders>
          </w:tcPr>
          <w:p>
            <w:pPr>
              <w:jc w:val="right"/>
              <w:ind w:right="374"/>
              <w:spacing w:after="0" w:line="162" w:lineRule="exact"/>
              <w:rPr>
                <w:sz w:val="20"/>
                <w:szCs w:val="20"/>
                <w:color w:val="auto"/>
              </w:rPr>
            </w:pPr>
            <w:r>
              <w:rPr>
                <w:rFonts w:ascii="Arial" w:cs="Arial" w:eastAsia="Arial" w:hAnsi="Arial"/>
                <w:sz w:val="15"/>
                <w:szCs w:val="15"/>
                <w:b w:val="1"/>
                <w:bCs w:val="1"/>
                <w:color w:val="auto"/>
              </w:rPr>
              <w:t>Percent</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60"/>
              <w:spacing w:after="0"/>
              <w:rPr>
                <w:sz w:val="20"/>
                <w:szCs w:val="20"/>
                <w:color w:val="auto"/>
              </w:rPr>
            </w:pPr>
            <w:r>
              <w:rPr>
                <w:rFonts w:ascii="Arial" w:cs="Arial" w:eastAsia="Arial" w:hAnsi="Arial"/>
                <w:sz w:val="18"/>
                <w:szCs w:val="18"/>
                <w:color w:val="auto"/>
              </w:rPr>
              <w:t>Provisional ceding commissions earned</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3,186</w:t>
            </w:r>
          </w:p>
        </w:tc>
        <w:tc>
          <w:tcPr>
            <w:tcW w:w="3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2,854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332</w:t>
            </w:r>
          </w:p>
        </w:tc>
        <w:tc>
          <w:tcPr>
            <w:tcW w:w="13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Contingent ceding commissions earned</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ceding commissions earned excluding</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80"/>
              <w:spacing w:after="0"/>
              <w:rPr>
                <w:sz w:val="20"/>
                <w:szCs w:val="20"/>
                <w:color w:val="auto"/>
              </w:rPr>
            </w:pPr>
            <w:r>
              <w:rPr>
                <w:rFonts w:ascii="Arial" w:cs="Arial" w:eastAsia="Arial" w:hAnsi="Arial"/>
                <w:sz w:val="18"/>
                <w:szCs w:val="18"/>
                <w:color w:val="auto"/>
              </w:rPr>
              <w:t>the effect of catastrophes</w:t>
            </w:r>
          </w:p>
        </w:tc>
        <w:tc>
          <w:tcPr>
            <w:tcW w:w="36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(251)</w:t>
            </w:r>
          </w:p>
        </w:tc>
        <w:tc>
          <w:tcPr>
            <w:tcW w:w="36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18"/>
                <w:szCs w:val="18"/>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(40)</w:t>
            </w:r>
          </w:p>
        </w:tc>
        <w:tc>
          <w:tcPr>
            <w:tcW w:w="13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Effect of catastrophes on ceding commissions earned</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Pr>
          <w:p>
            <w:pPr>
              <w:ind w:left="220"/>
              <w:spacing w:after="0"/>
              <w:rPr>
                <w:sz w:val="20"/>
                <w:szCs w:val="20"/>
                <w:color w:val="auto"/>
              </w:rPr>
            </w:pPr>
            <w:r>
              <w:rPr>
                <w:rFonts w:ascii="Arial" w:cs="Arial" w:eastAsia="Arial" w:hAnsi="Arial"/>
                <w:sz w:val="18"/>
                <w:szCs w:val="18"/>
                <w:color w:val="auto"/>
              </w:rPr>
              <w:t>Contingent ceding commissions earned</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(251)</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(211)</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(40)</w:t>
            </w:r>
          </w:p>
        </w:tc>
        <w:tc>
          <w:tcPr>
            <w:tcW w:w="13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0"/>
              <w:spacing w:after="0"/>
              <w:rPr>
                <w:sz w:val="20"/>
                <w:szCs w:val="20"/>
                <w:color w:val="auto"/>
              </w:rPr>
            </w:pPr>
            <w:r>
              <w:rPr>
                <w:rFonts w:ascii="Arial" w:cs="Arial" w:eastAsia="Arial" w:hAnsi="Arial"/>
                <w:sz w:val="18"/>
                <w:szCs w:val="18"/>
                <w:color w:val="auto"/>
              </w:rPr>
              <w:t>Total ceding commission revenue</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2,935</w:t>
            </w:r>
          </w:p>
        </w:tc>
        <w:tc>
          <w:tcPr>
            <w:tcW w:w="3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2,643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292</w:t>
            </w:r>
          </w:p>
        </w:tc>
        <w:tc>
          <w:tcPr>
            <w:tcW w:w="13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Ceding commission revenue was $2,935,000 in Q3-2016 compared to $2,643,000 in Q3-2015. The increase of $292,000, or 11.0%, was due to an increase in provisional ceding commissions earned, partially offset by a decrease in contingent ceding commissions earned</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receive a provisional ceding commission based on ceded written premiums. Under the terms of the 2016/2017 Treaty, the provisional ceding commission rate decreased to 52% from 55% under the 2015/2016 Treaty. The $332,000 increase in provisional ceding commissions earned is due to an increase in personal lines direct written premiums subject to the quota share, partially offset by a decrease in the provisional ceding commission rates under the 2016/2017 Treaty.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5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As a result of the increase in the provisional ceding commission rates to 52% under the 2016/2017 Treaty and 55% under the 2015/2016 Treaty beginning July 1, 2015, from 40% under the 2014/2015 Treaty, we do not have an opportunity to earn as much contingent ceding commissions. Under the “net” treaty in effect as of July 1, 2015, catastrophe losses in excess of the first $4,000,000 will fall outside of the quota share treaty and such losses will not have an impact on contingent ceding commissions, as was the case under previous “gross” treaties. The new structure eliminates the adverse impact that catastrophe losses above $4,000,000 would have on contingent ceding commissions.</w:t>
      </w:r>
    </w:p>
    <w:p>
      <w:pPr>
        <w:spacing w:after="0" w:line="19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personal lines quota share treaty detailed in the table above that was in effect during Q3-2016 are subject to change based on losses incurred from claims with accident dates beginning July 1, 2016. The amount of contingent ceding commissions we are eligible to receive under our prior years’ quota share treaties is subject to change based on losses incurred related to claims with accident dates before July 1, 2016 under those treaties.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During Q3-2016 and Q3-2015 there were no catastrophe losses to affect contingent ceding commissions. See “Reinsurance” below for changes to our personal lines quota share treaty effective July 1,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5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Net investment income was $709,000 in Q3-2016 compared to $649,000 in Q3-2015. The increase of $60,000, or 9.2%, was due to an increase in average invested assets in Q3-2016. The increase in cash and invested assets resulted primarily from increased operating cash flows for the period after September 30, 2015. The pre-tax equivalent investment yield on estimated annual income, excluding cash, was 4.17% and 4.81% as of September 30, 2016 and 2015, respectively. The decrease in the pre-tax equivalent investment yield is due to a shift toward shorter duration investments, which inherently have a lower yield. A reduction in interest rates resulted in an increase to unrealized gains on our portfolio, which in turn reduced the pre-tax equivalent investment yield.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52" w:lineRule="exact"/>
        <w:rPr>
          <w:sz w:val="20"/>
          <w:szCs w:val="20"/>
          <w:color w:val="auto"/>
        </w:rPr>
      </w:pPr>
    </w:p>
    <w:p>
      <w:pPr>
        <w:jc w:val="both"/>
        <w:ind w:firstLine="706"/>
        <w:spacing w:after="0" w:line="268" w:lineRule="auto"/>
        <w:rPr>
          <w:sz w:val="20"/>
          <w:szCs w:val="20"/>
          <w:color w:val="auto"/>
        </w:rPr>
      </w:pPr>
      <w:r>
        <w:rPr>
          <w:rFonts w:ascii="Arial" w:cs="Arial" w:eastAsia="Arial" w:hAnsi="Arial"/>
          <w:sz w:val="18"/>
          <w:szCs w:val="18"/>
          <w:color w:val="auto"/>
        </w:rPr>
        <w:t>Other income was $297,000 in Q3-2016 compared to $275,000 in Q3-2015. The increase of $22,000, or 8.0%, was primarily due to an increase in installment and finance fees earned in our insurance underwriting business.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52"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Net loss and LAE was $5,135,000 in Q3-2016 compared to $5,050,000 in Q3-2015. The net loss ratio was 32.8% in Q3-2016 compared to 38.5% in Q3-2015, a decrease of 5.7 percentage points. The following graphs summarize the changes in the components of net loss ratio for the periods indicated: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1478280</wp:posOffset>
            </wp:positionH>
            <wp:positionV relativeFrom="page">
              <wp:posOffset>328930</wp:posOffset>
            </wp:positionV>
            <wp:extent cx="4605020" cy="42710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4605020" cy="427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During Q3-2016, the net loss ratio decreased compared to Q3-2015 due primarily to an improvement in the core loss ratio excluding severe winter weather and prior year loss development. The core loss ratio improved to 33.2% in Q3-2016, compared to 42.1% in Q3-2015, or an improvement of 8.9 points. The improvement in the core loss ratio was driven by a reduction in both claims frequency and the number of large claims affecting claims severity in Q3-2016 compared to Q3-2015, particularly for our personal lines business. In our personal lines of business, claim frequency declined approximately 20% in 3Q-2016 compared to 3Q-2015, driving the overall improvement in core loss ratio. Additionally, there was no additional impact in Q3-2016 from severe winter weather. This compares to a 0.6 point impact from severe winter weather in Q3-2015. Partially offsetting some of these improvements was a reduction in the impact of prior year loss development in Q3-2016. We recorded 0.4 points of favorable development in 3Q-2016 compared to 4.2 points of favorable prior year development in Q3-2015, or a reduction in the favorable impact of 3.8 points. The impact of prior year development has stabilized over the last several quarters, and the decrease in its effect from Q3-2015 to Q3-2016 was not unexpected. See table below under “Additional Financial Information” summarizing net loss ratios by line of business.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i w:val="1"/>
          <w:iCs w:val="1"/>
          <w:color w:val="auto"/>
        </w:rPr>
        <w:t>Commercial Auto Line of Business</w:t>
      </w:r>
    </w:p>
    <w:p>
      <w:pPr>
        <w:spacing w:after="0" w:line="252"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color w:val="auto"/>
        </w:rPr>
        <w:t>Effective October 1, 2014 we decided to no longer accept applications for new commercial auto coverage. The action was taken following a series of underwriting and pricing measures which were intended to improve the profitability of this line of business. The actions taken did not yield the hoped for results. In February 2015, we decided to no longer offer renewals to our existing commercial auto policies beginning with those that expired on or after May 1, 2015. As of September 30, 2016, we had no commercial auto policies in force, compared to 238 policies in force as of September 30, 2015.</w:t>
      </w:r>
    </w:p>
    <w:p>
      <w:pPr>
        <w:spacing w:after="0" w:line="194"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The decision to exit this line of business has significantly reduced the adverse impact that associated commercial auto liability claims will have on our overall results. The following table displays the impact that this decision has had on our loss and LAE reserves over time: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90"/>
              </w:rPr>
              <w:t>Commercial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740" w:type="dxa"/>
            <w:vAlign w:val="bottom"/>
            <w:tcBorders>
              <w:bottom w:val="single" w:sz="8" w:color="auto"/>
            </w:tcBorders>
            <w:gridSpan w:val="3"/>
          </w:tcPr>
          <w:p>
            <w:pPr>
              <w:jc w:val="right"/>
              <w:ind w:right="758"/>
              <w:spacing w:after="0"/>
              <w:rPr>
                <w:sz w:val="20"/>
                <w:szCs w:val="20"/>
                <w:color w:val="auto"/>
              </w:rPr>
            </w:pPr>
            <w:r>
              <w:rPr>
                <w:rFonts w:ascii="Arial" w:cs="Arial" w:eastAsia="Arial" w:hAnsi="Arial"/>
                <w:sz w:val="15"/>
                <w:szCs w:val="15"/>
                <w:b w:val="1"/>
                <w:bCs w:val="1"/>
                <w:color w:val="auto"/>
              </w:rPr>
              <w:t>Commercial Auto</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88"/>
              </w:rPr>
              <w:t>Auto as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1"/>
              </w:rPr>
              <w:t>Number</w:t>
            </w:r>
          </w:p>
        </w:tc>
        <w:tc>
          <w:tcPr>
            <w:tcW w:w="320" w:type="dxa"/>
            <w:vAlign w:val="bottom"/>
          </w:tcPr>
          <w:p>
            <w:pPr>
              <w:spacing w:after="0"/>
              <w:rPr>
                <w:sz w:val="12"/>
                <w:szCs w:val="12"/>
                <w:color w:val="auto"/>
              </w:rPr>
            </w:pPr>
          </w:p>
        </w:tc>
        <w:tc>
          <w:tcPr>
            <w:tcW w:w="1080" w:type="dxa"/>
            <w:vAlign w:val="bottom"/>
          </w:tcPr>
          <w:p>
            <w:pPr>
              <w:jc w:val="center"/>
              <w:ind w:right="278"/>
              <w:spacing w:after="0" w:line="149" w:lineRule="exact"/>
              <w:rPr>
                <w:sz w:val="20"/>
                <w:szCs w:val="20"/>
                <w:color w:val="auto"/>
              </w:rPr>
            </w:pPr>
            <w:r>
              <w:rPr>
                <w:rFonts w:ascii="Arial" w:cs="Arial" w:eastAsia="Arial" w:hAnsi="Arial"/>
                <w:sz w:val="15"/>
                <w:szCs w:val="15"/>
                <w:b w:val="1"/>
                <w:bCs w:val="1"/>
                <w:color w:val="auto"/>
                <w:w w:val="84"/>
              </w:rPr>
              <w:t>Loss and</w:t>
            </w:r>
          </w:p>
        </w:tc>
        <w:tc>
          <w:tcPr>
            <w:tcW w:w="260" w:type="dxa"/>
            <w:vAlign w:val="bottom"/>
          </w:tcPr>
          <w:p>
            <w:pPr>
              <w:spacing w:after="0"/>
              <w:rPr>
                <w:sz w:val="12"/>
                <w:szCs w:val="12"/>
                <w:color w:val="auto"/>
              </w:rPr>
            </w:pPr>
          </w:p>
        </w:tc>
        <w:tc>
          <w:tcPr>
            <w:tcW w:w="1080" w:type="dxa"/>
            <w:vAlign w:val="bottom"/>
          </w:tcPr>
          <w:p>
            <w:pPr>
              <w:jc w:val="center"/>
              <w:ind w:right="238"/>
              <w:spacing w:after="0" w:line="149" w:lineRule="exact"/>
              <w:rPr>
                <w:sz w:val="20"/>
                <w:szCs w:val="20"/>
                <w:color w:val="auto"/>
              </w:rPr>
            </w:pPr>
            <w:r>
              <w:rPr>
                <w:rFonts w:ascii="Arial" w:cs="Arial" w:eastAsia="Arial" w:hAnsi="Arial"/>
                <w:sz w:val="15"/>
                <w:szCs w:val="15"/>
                <w:b w:val="1"/>
                <w:bCs w:val="1"/>
                <w:color w:val="auto"/>
                <w:w w:val="85"/>
              </w:rPr>
              <w:t>Total Loss</w:t>
            </w:r>
          </w:p>
        </w:tc>
        <w:tc>
          <w:tcPr>
            <w:tcW w:w="13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6"/>
              </w:rPr>
              <w:t>Percentage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of Open</w:t>
            </w:r>
          </w:p>
        </w:tc>
        <w:tc>
          <w:tcPr>
            <w:tcW w:w="320" w:type="dxa"/>
            <w:vAlign w:val="bottom"/>
          </w:tcPr>
          <w:p>
            <w:pPr>
              <w:spacing w:after="0"/>
              <w:rPr>
                <w:sz w:val="14"/>
                <w:szCs w:val="14"/>
                <w:color w:val="auto"/>
              </w:rPr>
            </w:pPr>
          </w:p>
        </w:tc>
        <w:tc>
          <w:tcPr>
            <w:tcW w:w="1080" w:type="dxa"/>
            <w:vAlign w:val="bottom"/>
          </w:tcPr>
          <w:p>
            <w:pPr>
              <w:jc w:val="center"/>
              <w:ind w:right="298"/>
              <w:spacing w:after="0" w:line="162" w:lineRule="exact"/>
              <w:rPr>
                <w:sz w:val="20"/>
                <w:szCs w:val="20"/>
                <w:color w:val="auto"/>
              </w:rPr>
            </w:pPr>
            <w:r>
              <w:rPr>
                <w:rFonts w:ascii="Arial" w:cs="Arial" w:eastAsia="Arial" w:hAnsi="Arial"/>
                <w:sz w:val="15"/>
                <w:szCs w:val="15"/>
                <w:b w:val="1"/>
                <w:bCs w:val="1"/>
                <w:color w:val="auto"/>
                <w:w w:val="99"/>
              </w:rPr>
              <w:t>LAE</w:t>
            </w:r>
          </w:p>
        </w:tc>
        <w:tc>
          <w:tcPr>
            <w:tcW w:w="260" w:type="dxa"/>
            <w:vAlign w:val="bottom"/>
          </w:tcPr>
          <w:p>
            <w:pPr>
              <w:spacing w:after="0"/>
              <w:rPr>
                <w:sz w:val="14"/>
                <w:szCs w:val="14"/>
                <w:color w:val="auto"/>
              </w:rPr>
            </w:pPr>
          </w:p>
        </w:tc>
        <w:tc>
          <w:tcPr>
            <w:tcW w:w="1080" w:type="dxa"/>
            <w:vAlign w:val="bottom"/>
          </w:tcPr>
          <w:p>
            <w:pPr>
              <w:jc w:val="center"/>
              <w:ind w:right="238"/>
              <w:spacing w:after="0" w:line="162" w:lineRule="exact"/>
              <w:rPr>
                <w:sz w:val="20"/>
                <w:szCs w:val="20"/>
                <w:color w:val="auto"/>
              </w:rPr>
            </w:pPr>
            <w:r>
              <w:rPr>
                <w:rFonts w:ascii="Arial" w:cs="Arial" w:eastAsia="Arial" w:hAnsi="Arial"/>
                <w:sz w:val="15"/>
                <w:szCs w:val="15"/>
                <w:b w:val="1"/>
                <w:bCs w:val="1"/>
                <w:color w:val="auto"/>
                <w:w w:val="98"/>
              </w:rPr>
              <w:t>and LAE</w:t>
            </w:r>
          </w:p>
        </w:tc>
        <w:tc>
          <w:tcPr>
            <w:tcW w:w="13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6"/>
              </w:rPr>
              <w:t>Total Loss and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Borders>
              <w:bottom w:val="single" w:sz="8" w:color="auto"/>
            </w:tcBorders>
          </w:tcPr>
          <w:p>
            <w:pPr>
              <w:ind w:left="2800"/>
              <w:spacing w:after="0"/>
              <w:rPr>
                <w:sz w:val="20"/>
                <w:szCs w:val="20"/>
                <w:color w:val="auto"/>
              </w:rPr>
            </w:pPr>
            <w:r>
              <w:rPr>
                <w:rFonts w:ascii="Arial" w:cs="Arial" w:eastAsia="Arial" w:hAnsi="Arial"/>
                <w:sz w:val="15"/>
                <w:szCs w:val="15"/>
                <w:b w:val="1"/>
                <w:bCs w:val="1"/>
                <w:color w:val="auto"/>
              </w:rPr>
              <w:t>As of</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Claims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78"/>
              <w:spacing w:after="0"/>
              <w:rPr>
                <w:sz w:val="20"/>
                <w:szCs w:val="20"/>
                <w:color w:val="auto"/>
              </w:rPr>
            </w:pPr>
            <w:r>
              <w:rPr>
                <w:rFonts w:ascii="Arial" w:cs="Arial" w:eastAsia="Arial" w:hAnsi="Arial"/>
                <w:sz w:val="15"/>
                <w:szCs w:val="15"/>
                <w:b w:val="1"/>
                <w:bCs w:val="1"/>
                <w:color w:val="auto"/>
                <w:w w:val="83"/>
              </w:rPr>
              <w:t>Reserves</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38"/>
              <w:spacing w:after="0"/>
              <w:rPr>
                <w:sz w:val="20"/>
                <w:szCs w:val="20"/>
                <w:color w:val="auto"/>
              </w:rPr>
            </w:pPr>
            <w:r>
              <w:rPr>
                <w:rFonts w:ascii="Arial" w:cs="Arial" w:eastAsia="Arial" w:hAnsi="Arial"/>
                <w:sz w:val="15"/>
                <w:szCs w:val="15"/>
                <w:b w:val="1"/>
                <w:bCs w:val="1"/>
                <w:color w:val="auto"/>
                <w:w w:val="83"/>
              </w:rPr>
              <w:t>Reserves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LAE Reserves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 thousands except number of open claims)</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9,185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34,503</w:t>
            </w:r>
          </w:p>
        </w:tc>
        <w:tc>
          <w:tcPr>
            <w:tcW w:w="13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December 31, 2014</w:t>
            </w:r>
          </w:p>
        </w:tc>
        <w:tc>
          <w:tcPr>
            <w:tcW w:w="1340" w:type="dxa"/>
            <w:vAlign w:val="bottom"/>
          </w:tcPr>
          <w:p>
            <w:pPr>
              <w:jc w:val="right"/>
              <w:ind w:right="99"/>
              <w:spacing w:after="0"/>
              <w:rPr>
                <w:sz w:val="20"/>
                <w:szCs w:val="20"/>
                <w:color w:val="auto"/>
              </w:rPr>
            </w:pPr>
            <w:r>
              <w:rPr>
                <w:rFonts w:ascii="Arial" w:cs="Arial" w:eastAsia="Arial" w:hAnsi="Arial"/>
                <w:sz w:val="18"/>
                <w:szCs w:val="18"/>
                <w:color w:val="auto"/>
              </w:rPr>
              <w:t>114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8"/>
              <w:spacing w:after="0"/>
              <w:rPr>
                <w:sz w:val="20"/>
                <w:szCs w:val="20"/>
                <w:color w:val="auto"/>
              </w:rPr>
            </w:pPr>
            <w:r>
              <w:rPr>
                <w:rFonts w:ascii="Arial" w:cs="Arial" w:eastAsia="Arial" w:hAnsi="Arial"/>
                <w:sz w:val="18"/>
                <w:szCs w:val="18"/>
                <w:color w:val="auto"/>
              </w:rPr>
              <w:t>8,126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8"/>
              <w:spacing w:after="0"/>
              <w:rPr>
                <w:sz w:val="20"/>
                <w:szCs w:val="20"/>
                <w:color w:val="auto"/>
              </w:rPr>
            </w:pPr>
            <w:r>
              <w:rPr>
                <w:rFonts w:ascii="Arial" w:cs="Arial" w:eastAsia="Arial" w:hAnsi="Arial"/>
                <w:sz w:val="18"/>
                <w:szCs w:val="18"/>
                <w:color w:val="auto"/>
              </w:rPr>
              <w:t>39,613</w:t>
            </w:r>
          </w:p>
        </w:tc>
        <w:tc>
          <w:tcPr>
            <w:tcW w:w="1380" w:type="dxa"/>
            <w:vAlign w:val="bottom"/>
          </w:tcPr>
          <w:p>
            <w:pPr>
              <w:ind w:left="860"/>
              <w:spacing w:after="0"/>
              <w:rPr>
                <w:sz w:val="20"/>
                <w:szCs w:val="20"/>
                <w:color w:val="auto"/>
              </w:rPr>
            </w:pPr>
            <w:r>
              <w:rPr>
                <w:rFonts w:ascii="Arial" w:cs="Arial" w:eastAsia="Arial" w:hAnsi="Arial"/>
                <w:sz w:val="18"/>
                <w:szCs w:val="18"/>
                <w:color w:val="auto"/>
                <w:w w:val="97"/>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4,971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39,877</w:t>
            </w:r>
          </w:p>
        </w:tc>
        <w:tc>
          <w:tcPr>
            <w:tcW w:w="13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12.5%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September 30, 2016</w:t>
            </w:r>
          </w:p>
        </w:tc>
        <w:tc>
          <w:tcPr>
            <w:tcW w:w="1340" w:type="dxa"/>
            <w:vAlign w:val="bottom"/>
          </w:tcPr>
          <w:p>
            <w:pPr>
              <w:jc w:val="right"/>
              <w:ind w:right="99"/>
              <w:spacing w:after="0"/>
              <w:rPr>
                <w:sz w:val="20"/>
                <w:szCs w:val="20"/>
                <w:color w:val="auto"/>
              </w:rPr>
            </w:pPr>
            <w:r>
              <w:rPr>
                <w:rFonts w:ascii="Arial" w:cs="Arial" w:eastAsia="Arial" w:hAnsi="Arial"/>
                <w:sz w:val="18"/>
                <w:szCs w:val="18"/>
                <w:color w:val="auto"/>
              </w:rPr>
              <w:t>41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8"/>
              <w:spacing w:after="0"/>
              <w:rPr>
                <w:sz w:val="20"/>
                <w:szCs w:val="20"/>
                <w:color w:val="auto"/>
              </w:rPr>
            </w:pPr>
            <w:r>
              <w:rPr>
                <w:rFonts w:ascii="Arial" w:cs="Arial" w:eastAsia="Arial" w:hAnsi="Arial"/>
                <w:sz w:val="18"/>
                <w:szCs w:val="18"/>
                <w:color w:val="auto"/>
              </w:rPr>
              <w:t>2,470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8"/>
              <w:spacing w:after="0"/>
              <w:rPr>
                <w:sz w:val="20"/>
                <w:szCs w:val="20"/>
                <w:color w:val="auto"/>
              </w:rPr>
            </w:pPr>
            <w:r>
              <w:rPr>
                <w:rFonts w:ascii="Arial" w:cs="Arial" w:eastAsia="Arial" w:hAnsi="Arial"/>
                <w:sz w:val="18"/>
                <w:szCs w:val="18"/>
                <w:color w:val="auto"/>
              </w:rPr>
              <w:t>39,802</w:t>
            </w:r>
          </w:p>
        </w:tc>
        <w:tc>
          <w:tcPr>
            <w:tcW w:w="1380" w:type="dxa"/>
            <w:vAlign w:val="bottom"/>
          </w:tcPr>
          <w:p>
            <w:pPr>
              <w:ind w:left="8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Commercial auto liability loss and LAE reserves account for a rapidly decreasing percentage of our total loss and LAE reserves, and as of September 30, 2016 comprise 6.2% of our total loss and LAE reserves. This line of business was historically subject to a high level of uncertainty and volatility in claim emergence and loss development. The exit from this line therefore significantly decreases the uncertainty surrounding our overall reserve levels and reduces the associated volatility in financial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Commission expense was $4,604,000 in Q3-2016 or 18.5% of direct earned premiums. Commission expense was $4,021,000 in Q3-2015 or 18.9% of direct earned premiums. The increase of $583,000 is due to the increase in direct written premiums in Q3-2016 as compared to Q3-2015, partially offset by a decrease in bonus commissions as a result of adjustments to the bonus rate in Q3-2015. The decrease in the percentage of commission expense to direct earned premiums to 18.5% in Q3-2016 from 18.9% in Q3-2015 is due the decrease in bonus commissions as described above, partially offset by a change in the mix of business to lines of business with higher commission rates.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u w:val="single" w:color="auto"/>
          <w:color w:val="auto"/>
        </w:rPr>
        <w:t>Other Underwriting Expenses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Other underwriting expenses were $4,039,000 in Q3-2016 compared to $3,389,000 in Q3-2015. The increase of $650,000, or 19.2%, in other underwriting expenses was primarily due to expenses directly and indirectly related to growth in direct written premiums. We are also incurring expenses related to our efforts to expand into the other states in which we recently obtained licensing (“Expansion Expenses”).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Expansion Expenses include salaries and employment costs, professional fees, IT and data services. Salaries and employment costs were $1,890,000 in Q3-2016 compared to $1,683,000 in Q3-2015. The increase of $207,000, or 12.3%, was due to hiring of additional staff to service our current level of business and anticipated growth in volume. In addition, there were annual rate increases in both salaries and the cost of employee benefits. Other underwriting expenses as a percentage of direct written premiums increased to 14.9% in Q3-2016 from 13.8% in Q3-2015. Other underwriting expenses as a percentage of direct earned premiums increased to 16.2% in Q3-2016 from 16.0% in Q3-2015. Salaries and employment costs, which accounted for 46.8% of other underwriting expenses in Q3-2016, and 49.7% of other underwriting expenses in 2015, were 7.6% of direct earned premiums in Q3-2016, compared to 7.9% of direct earned premiums in Q3-2015.</w:t>
      </w:r>
    </w:p>
    <w:p>
      <w:pPr>
        <w:spacing w:after="0" w:line="208" w:lineRule="exact"/>
        <w:rPr>
          <w:sz w:val="20"/>
          <w:szCs w:val="20"/>
          <w:color w:val="auto"/>
        </w:rPr>
      </w:pPr>
    </w:p>
    <w:p>
      <w:pPr>
        <w:jc w:val="both"/>
        <w:ind w:right="20" w:firstLine="741"/>
        <w:spacing w:after="0" w:line="268" w:lineRule="auto"/>
        <w:rPr>
          <w:sz w:val="20"/>
          <w:szCs w:val="20"/>
          <w:color w:val="auto"/>
        </w:rPr>
      </w:pPr>
      <w:r>
        <w:rPr>
          <w:rFonts w:ascii="Arial" w:cs="Arial" w:eastAsia="Arial" w:hAnsi="Arial"/>
          <w:sz w:val="18"/>
          <w:szCs w:val="18"/>
          <w:color w:val="auto"/>
        </w:rPr>
        <w:t>Our net underwriting expense ratio in Q3-2016 was 34.6% compared with 34.3% in Q3-2015. The following table shows the individual components of our net underwriting expense ratio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740" w:type="dxa"/>
            <w:vAlign w:val="bottom"/>
            <w:gridSpan w:val="2"/>
          </w:tcPr>
          <w:p>
            <w:pPr>
              <w:jc w:val="right"/>
              <w:ind w:right="714"/>
              <w:spacing w:after="0"/>
              <w:rPr>
                <w:sz w:val="20"/>
                <w:szCs w:val="20"/>
                <w:color w:val="auto"/>
              </w:rPr>
            </w:pPr>
            <w:r>
              <w:rPr>
                <w:rFonts w:ascii="Arial" w:cs="Arial" w:eastAsia="Arial" w:hAnsi="Arial"/>
                <w:sz w:val="15"/>
                <w:szCs w:val="15"/>
                <w:b w:val="1"/>
                <w:bCs w:val="1"/>
                <w:color w:val="auto"/>
              </w:rPr>
              <w:t>Three months ended</w:t>
            </w:r>
          </w:p>
        </w:tc>
        <w:tc>
          <w:tcPr>
            <w:tcW w:w="1360" w:type="dxa"/>
            <w:vAlign w:val="bottom"/>
          </w:tcPr>
          <w:p>
            <w:pPr>
              <w:spacing w:after="0"/>
              <w:rPr>
                <w:sz w:val="16"/>
                <w:szCs w:val="16"/>
                <w:color w:val="auto"/>
              </w:rPr>
            </w:pPr>
          </w:p>
        </w:tc>
      </w:tr>
      <w:tr>
        <w:trPr>
          <w:trHeight w:val="206"/>
        </w:trPr>
        <w:tc>
          <w:tcPr>
            <w:tcW w:w="7320" w:type="dxa"/>
            <w:vAlign w:val="bottom"/>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1360" w:type="dxa"/>
            <w:vAlign w:val="bottom"/>
          </w:tcPr>
          <w:p>
            <w:pPr>
              <w:jc w:val="center"/>
              <w:ind w:right="137"/>
              <w:spacing w:after="0"/>
              <w:rPr>
                <w:sz w:val="20"/>
                <w:szCs w:val="20"/>
                <w:color w:val="auto"/>
              </w:rPr>
            </w:pPr>
            <w:r>
              <w:rPr>
                <w:rFonts w:ascii="Arial" w:cs="Arial" w:eastAsia="Arial" w:hAnsi="Arial"/>
                <w:sz w:val="15"/>
                <w:szCs w:val="15"/>
                <w:b w:val="1"/>
                <w:bCs w:val="1"/>
                <w:color w:val="auto"/>
                <w:w w:val="86"/>
              </w:rPr>
              <w:t>Percentage</w:t>
            </w:r>
          </w:p>
        </w:tc>
      </w:tr>
      <w:tr>
        <w:trPr>
          <w:trHeight w:val="149"/>
        </w:trPr>
        <w:tc>
          <w:tcPr>
            <w:tcW w:w="7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tcPr>
          <w:p>
            <w:pPr>
              <w:jc w:val="center"/>
              <w:ind w:right="97"/>
              <w:spacing w:after="0" w:line="149" w:lineRule="exact"/>
              <w:rPr>
                <w:sz w:val="20"/>
                <w:szCs w:val="20"/>
                <w:color w:val="auto"/>
              </w:rPr>
            </w:pPr>
            <w:r>
              <w:rPr>
                <w:rFonts w:ascii="Arial" w:cs="Arial" w:eastAsia="Arial" w:hAnsi="Arial"/>
                <w:sz w:val="15"/>
                <w:szCs w:val="15"/>
                <w:b w:val="1"/>
                <w:bCs w:val="1"/>
                <w:color w:val="auto"/>
                <w:w w:val="90"/>
              </w:rPr>
              <w:t>Point</w:t>
            </w:r>
          </w:p>
        </w:tc>
      </w:tr>
      <w:tr>
        <w:trPr>
          <w:trHeight w:val="182"/>
        </w:trPr>
        <w:tc>
          <w:tcPr>
            <w:tcW w:w="7320" w:type="dxa"/>
            <w:vAlign w:val="bottom"/>
          </w:tcPr>
          <w:p>
            <w:pPr>
              <w:spacing w:after="0"/>
              <w:rPr>
                <w:sz w:val="15"/>
                <w:szCs w:val="15"/>
                <w:color w:val="auto"/>
              </w:rPr>
            </w:pPr>
          </w:p>
        </w:tc>
        <w:tc>
          <w:tcPr>
            <w:tcW w:w="1780" w:type="dxa"/>
            <w:vAlign w:val="bottom"/>
            <w:tcBorders>
              <w:bottom w:val="single" w:sz="8" w:color="auto"/>
            </w:tcBorders>
          </w:tcPr>
          <w:p>
            <w:pPr>
              <w:jc w:val="right"/>
              <w:ind w:right="957"/>
              <w:spacing w:after="0"/>
              <w:rPr>
                <w:sz w:val="20"/>
                <w:szCs w:val="20"/>
                <w:color w:val="auto"/>
              </w:rPr>
            </w:pPr>
            <w:r>
              <w:rPr>
                <w:rFonts w:ascii="Arial" w:cs="Arial" w:eastAsia="Arial" w:hAnsi="Arial"/>
                <w:sz w:val="15"/>
                <w:szCs w:val="15"/>
                <w:b w:val="1"/>
                <w:bCs w:val="1"/>
                <w:color w:val="auto"/>
              </w:rPr>
              <w:t>2016</w:t>
            </w:r>
          </w:p>
        </w:tc>
        <w:tc>
          <w:tcPr>
            <w:tcW w:w="960" w:type="dxa"/>
            <w:vAlign w:val="bottom"/>
            <w:tcBorders>
              <w:bottom w:val="single" w:sz="8" w:color="auto"/>
            </w:tcBorders>
          </w:tcPr>
          <w:p>
            <w:pPr>
              <w:jc w:val="right"/>
              <w:ind w:right="534"/>
              <w:spacing w:after="0"/>
              <w:rPr>
                <w:sz w:val="20"/>
                <w:szCs w:val="20"/>
                <w:color w:val="auto"/>
              </w:rPr>
            </w:pPr>
            <w:r>
              <w:rPr>
                <w:rFonts w:ascii="Arial" w:cs="Arial" w:eastAsia="Arial" w:hAnsi="Arial"/>
                <w:sz w:val="15"/>
                <w:szCs w:val="15"/>
                <w:b w:val="1"/>
                <w:bCs w:val="1"/>
                <w:color w:val="auto"/>
                <w:w w:val="95"/>
              </w:rPr>
              <w:t>2015</w:t>
            </w:r>
          </w:p>
        </w:tc>
        <w:tc>
          <w:tcPr>
            <w:tcW w:w="1360" w:type="dxa"/>
            <w:vAlign w:val="bottom"/>
            <w:tcBorders>
              <w:bottom w:val="single" w:sz="8" w:color="auto"/>
            </w:tcBorders>
          </w:tcPr>
          <w:p>
            <w:pPr>
              <w:jc w:val="center"/>
              <w:ind w:right="117"/>
              <w:spacing w:after="0"/>
              <w:rPr>
                <w:sz w:val="20"/>
                <w:szCs w:val="20"/>
                <w:color w:val="auto"/>
              </w:rPr>
            </w:pPr>
            <w:r>
              <w:rPr>
                <w:rFonts w:ascii="Arial" w:cs="Arial" w:eastAsia="Arial" w:hAnsi="Arial"/>
                <w:sz w:val="15"/>
                <w:szCs w:val="15"/>
                <w:b w:val="1"/>
                <w:bCs w:val="1"/>
                <w:color w:val="auto"/>
                <w:w w:val="87"/>
              </w:rPr>
              <w:t>Change</w:t>
            </w:r>
          </w:p>
        </w:tc>
      </w:tr>
      <w:tr>
        <w:trPr>
          <w:trHeight w:val="216"/>
        </w:trPr>
        <w:tc>
          <w:tcPr>
            <w:tcW w:w="7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Ceding commission revenue - provisional</w:t>
            </w:r>
          </w:p>
        </w:tc>
        <w:tc>
          <w:tcPr>
            <w:tcW w:w="1780" w:type="dxa"/>
            <w:vAlign w:val="bottom"/>
          </w:tcPr>
          <w:p>
            <w:pPr>
              <w:jc w:val="right"/>
              <w:ind w:right="417"/>
              <w:spacing w:after="0"/>
              <w:rPr>
                <w:sz w:val="20"/>
                <w:szCs w:val="20"/>
                <w:color w:val="auto"/>
              </w:rPr>
            </w:pPr>
            <w:r>
              <w:rPr>
                <w:rFonts w:ascii="Arial" w:cs="Arial" w:eastAsia="Arial" w:hAnsi="Arial"/>
                <w:sz w:val="18"/>
                <w:szCs w:val="18"/>
                <w:color w:val="auto"/>
              </w:rPr>
              <w:t>(20.3) %</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(21.7) %</w:t>
            </w:r>
          </w:p>
        </w:tc>
        <w:tc>
          <w:tcPr>
            <w:tcW w:w="1360" w:type="dxa"/>
            <w:vAlign w:val="bottom"/>
          </w:tcPr>
          <w:p>
            <w:pPr>
              <w:jc w:val="right"/>
              <w:ind w:right="257"/>
              <w:spacing w:after="0"/>
              <w:rPr>
                <w:sz w:val="20"/>
                <w:szCs w:val="20"/>
                <w:color w:val="auto"/>
              </w:rPr>
            </w:pPr>
            <w:r>
              <w:rPr>
                <w:rFonts w:ascii="Arial" w:cs="Arial" w:eastAsia="Arial" w:hAnsi="Arial"/>
                <w:sz w:val="18"/>
                <w:szCs w:val="18"/>
                <w:color w:val="auto"/>
              </w:rPr>
              <w:t>1.4</w:t>
            </w:r>
          </w:p>
        </w:tc>
      </w:tr>
      <w:tr>
        <w:trPr>
          <w:trHeight w:val="216"/>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Ceding commission revenue - contingent</w:t>
            </w:r>
          </w:p>
        </w:tc>
        <w:tc>
          <w:tcPr>
            <w:tcW w:w="178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rPr>
              <w:t>1.6</w:t>
            </w:r>
          </w:p>
        </w:tc>
        <w:tc>
          <w:tcPr>
            <w:tcW w:w="9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1.6</w:t>
            </w:r>
          </w:p>
        </w:tc>
        <w:tc>
          <w:tcPr>
            <w:tcW w:w="136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Other income</w:t>
            </w:r>
          </w:p>
        </w:tc>
        <w:tc>
          <w:tcPr>
            <w:tcW w:w="1780" w:type="dxa"/>
            <w:vAlign w:val="bottom"/>
          </w:tcPr>
          <w:p>
            <w:pPr>
              <w:jc w:val="right"/>
              <w:ind w:right="617"/>
              <w:spacing w:after="0"/>
              <w:rPr>
                <w:sz w:val="20"/>
                <w:szCs w:val="20"/>
                <w:color w:val="auto"/>
              </w:rPr>
            </w:pPr>
            <w:r>
              <w:rPr>
                <w:rFonts w:ascii="Arial" w:cs="Arial" w:eastAsia="Arial" w:hAnsi="Arial"/>
                <w:sz w:val="18"/>
                <w:szCs w:val="18"/>
                <w:color w:val="auto"/>
              </w:rPr>
              <w:t>(1.9)</w:t>
            </w: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(2.0)</w:t>
            </w:r>
          </w:p>
        </w:tc>
        <w:tc>
          <w:tcPr>
            <w:tcW w:w="1360" w:type="dxa"/>
            <w:vAlign w:val="bottom"/>
          </w:tcPr>
          <w:p>
            <w:pPr>
              <w:jc w:val="right"/>
              <w:ind w:right="257"/>
              <w:spacing w:after="0"/>
              <w:rPr>
                <w:sz w:val="20"/>
                <w:szCs w:val="20"/>
                <w:color w:val="auto"/>
              </w:rPr>
            </w:pPr>
            <w:r>
              <w:rPr>
                <w:rFonts w:ascii="Arial" w:cs="Arial" w:eastAsia="Arial" w:hAnsi="Arial"/>
                <w:sz w:val="18"/>
                <w:szCs w:val="18"/>
                <w:color w:val="auto"/>
              </w:rPr>
              <w:t>0.1</w:t>
            </w:r>
          </w:p>
        </w:tc>
      </w:tr>
      <w:tr>
        <w:trPr>
          <w:trHeight w:val="216"/>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Acquistion costs and other underwriting expenses:</w:t>
            </w:r>
          </w:p>
        </w:tc>
        <w:tc>
          <w:tcPr>
            <w:tcW w:w="1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1780" w:type="dxa"/>
            <w:vAlign w:val="bottom"/>
          </w:tcPr>
          <w:p>
            <w:pPr>
              <w:jc w:val="right"/>
              <w:ind w:right="677"/>
              <w:spacing w:after="0"/>
              <w:rPr>
                <w:sz w:val="20"/>
                <w:szCs w:val="20"/>
                <w:color w:val="auto"/>
              </w:rPr>
            </w:pPr>
            <w:r>
              <w:rPr>
                <w:rFonts w:ascii="Arial" w:cs="Arial" w:eastAsia="Arial" w:hAnsi="Arial"/>
                <w:sz w:val="18"/>
                <w:szCs w:val="18"/>
                <w:color w:val="auto"/>
              </w:rPr>
              <w:t>29.4</w:t>
            </w:r>
          </w:p>
        </w:tc>
        <w:tc>
          <w:tcPr>
            <w:tcW w:w="960" w:type="dxa"/>
            <w:vAlign w:val="bottom"/>
          </w:tcPr>
          <w:p>
            <w:pPr>
              <w:jc w:val="right"/>
              <w:ind w:right="254"/>
              <w:spacing w:after="0"/>
              <w:rPr>
                <w:sz w:val="20"/>
                <w:szCs w:val="20"/>
                <w:color w:val="auto"/>
              </w:rPr>
            </w:pPr>
            <w:r>
              <w:rPr>
                <w:rFonts w:ascii="Arial" w:cs="Arial" w:eastAsia="Arial" w:hAnsi="Arial"/>
                <w:sz w:val="18"/>
                <w:szCs w:val="18"/>
                <w:color w:val="auto"/>
              </w:rPr>
              <w:t>30.6</w:t>
            </w:r>
          </w:p>
        </w:tc>
        <w:tc>
          <w:tcPr>
            <w:tcW w:w="1360" w:type="dxa"/>
            <w:vAlign w:val="bottom"/>
          </w:tcPr>
          <w:p>
            <w:pPr>
              <w:jc w:val="right"/>
              <w:ind w:right="197"/>
              <w:spacing w:after="0"/>
              <w:rPr>
                <w:sz w:val="20"/>
                <w:szCs w:val="20"/>
                <w:color w:val="auto"/>
              </w:rPr>
            </w:pPr>
            <w:r>
              <w:rPr>
                <w:rFonts w:ascii="Arial" w:cs="Arial" w:eastAsia="Arial" w:hAnsi="Arial"/>
                <w:sz w:val="18"/>
                <w:szCs w:val="18"/>
                <w:color w:val="auto"/>
              </w:rPr>
              <w:t>(1.2)</w:t>
            </w:r>
          </w:p>
        </w:tc>
      </w:tr>
      <w:tr>
        <w:trPr>
          <w:trHeight w:val="223"/>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178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rPr>
              <w:t>25.9</w:t>
            </w:r>
          </w:p>
        </w:tc>
        <w:tc>
          <w:tcPr>
            <w:tcW w:w="9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25.8</w:t>
            </w:r>
          </w:p>
        </w:tc>
        <w:tc>
          <w:tcPr>
            <w:tcW w:w="13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8"/>
                <w:szCs w:val="18"/>
                <w:color w:val="auto"/>
              </w:rPr>
              <w:t>0.1</w:t>
            </w: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Net underwriting expense ratio</w:t>
            </w:r>
          </w:p>
        </w:tc>
        <w:tc>
          <w:tcPr>
            <w:tcW w:w="1780" w:type="dxa"/>
            <w:vAlign w:val="bottom"/>
            <w:tcBorders>
              <w:bottom w:val="single" w:sz="8" w:color="auto"/>
            </w:tcBorders>
          </w:tcPr>
          <w:p>
            <w:pPr>
              <w:jc w:val="right"/>
              <w:ind w:right="517"/>
              <w:spacing w:after="0"/>
              <w:rPr>
                <w:sz w:val="20"/>
                <w:szCs w:val="20"/>
                <w:color w:val="auto"/>
              </w:rPr>
            </w:pPr>
            <w:r>
              <w:rPr>
                <w:rFonts w:ascii="Arial" w:cs="Arial" w:eastAsia="Arial" w:hAnsi="Arial"/>
                <w:sz w:val="18"/>
                <w:szCs w:val="18"/>
                <w:color w:val="auto"/>
              </w:rPr>
              <w:t>34.6%</w:t>
            </w: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34.3%</w:t>
            </w:r>
          </w:p>
        </w:tc>
        <w:tc>
          <w:tcPr>
            <w:tcW w:w="1360" w:type="dxa"/>
            <w:vAlign w:val="bottom"/>
          </w:tcPr>
          <w:p>
            <w:pPr>
              <w:jc w:val="right"/>
              <w:ind w:right="257"/>
              <w:spacing w:after="0"/>
              <w:rPr>
                <w:sz w:val="20"/>
                <w:szCs w:val="20"/>
                <w:color w:val="auto"/>
              </w:rPr>
            </w:pPr>
            <w:r>
              <w:rPr>
                <w:rFonts w:ascii="Arial" w:cs="Arial" w:eastAsia="Arial" w:hAnsi="Arial"/>
                <w:sz w:val="18"/>
                <w:szCs w:val="18"/>
                <w:color w:val="auto"/>
              </w:rPr>
              <w:t>0.3</w:t>
            </w:r>
          </w:p>
        </w:tc>
      </w:tr>
      <w:tr>
        <w:trPr>
          <w:trHeight w:val="21"/>
        </w:trPr>
        <w:tc>
          <w:tcPr>
            <w:tcW w:w="73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52"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Other operating expenses, related to the expenses of our holding company, were $530,000 in Q3-2016 compared to $468,000 in Q3-2015. The increase in 2016 of $62,000, or 13.2%, was primarily due to an increase in executive bonus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Depreciation and amortization was $262,000 in Q3-2016 compared to $267,000 in Q3-2015. The decrease of $5,000, or 1.9%, in depreciation and amortization was primarily due to timing variations during the year of newly purchased assets used to upgrade our systems infrastructure and the Kingston, New York home office building from which we operate.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Income tax expense in Q3-2016 was $1,797,000, which resulted in an effective tax rate of 34.2%. Income tax expense in Q3-2015 was $1,115,000, which resulted in an effective tax rate of 32.2%. Income before taxes was $5,258,000 in Q3-2016 compared to $3,461,000 in Q3-2015. The increase in the effective tax rate by 2.0 percentage points in 2016 is primarily a result of permanent tax true ups from 2015, offset by an increase in benefits from various permanent differences.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auto"/>
        </w:rPr>
        <w:t>Net Income</w:t>
      </w:r>
    </w:p>
    <w:p>
      <w:pPr>
        <w:spacing w:after="0" w:line="25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Net income was $3,461,000 in Q3-2016 compared to $2,346,000 in Q3-2015. The increase in net income of $1,115,000, or 47.5%, was due to the circumstances described above that caused the increase in our net premiums earned, ceding commission revenue, net investment income, and a decrease in our net loss ratio, partially offset by increases in other underwriting expenses related to premium growth and other operating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2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our business as one segment, property and casualty insurance. Within this segment, we offer a wide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3"/>
          </w:tcPr>
          <w:p>
            <w:pPr>
              <w:jc w:val="right"/>
              <w:ind w:right="413"/>
              <w:spacing w:after="0"/>
              <w:rPr>
                <w:sz w:val="20"/>
                <w:szCs w:val="20"/>
                <w:color w:val="auto"/>
              </w:rPr>
            </w:pPr>
            <w:r>
              <w:rPr>
                <w:rFonts w:ascii="Arial" w:cs="Arial" w:eastAsia="Arial" w:hAnsi="Arial"/>
                <w:sz w:val="15"/>
                <w:szCs w:val="15"/>
                <w:b w:val="1"/>
                <w:bCs w:val="1"/>
                <w:color w:val="auto"/>
                <w:w w:val="96"/>
              </w:rPr>
              <w:t>For the Three Months Ended</w:t>
            </w:r>
          </w:p>
        </w:tc>
        <w:tc>
          <w:tcPr>
            <w:tcW w:w="260" w:type="dxa"/>
            <w:vAlign w:val="bottom"/>
          </w:tcPr>
          <w:p>
            <w:pPr>
              <w:spacing w:after="0"/>
              <w:rPr>
                <w:sz w:val="16"/>
                <w:szCs w:val="16"/>
                <w:color w:val="auto"/>
              </w:rPr>
            </w:pPr>
          </w:p>
        </w:tc>
        <w:tc>
          <w:tcPr>
            <w:tcW w:w="2400" w:type="dxa"/>
            <w:vAlign w:val="bottom"/>
            <w:gridSpan w:val="3"/>
          </w:tcPr>
          <w:p>
            <w:pPr>
              <w:jc w:val="right"/>
              <w:ind w:right="373"/>
              <w:spacing w:after="0"/>
              <w:rPr>
                <w:sz w:val="20"/>
                <w:szCs w:val="20"/>
                <w:color w:val="auto"/>
              </w:rPr>
            </w:pPr>
            <w:r>
              <w:rPr>
                <w:rFonts w:ascii="Arial" w:cs="Arial" w:eastAsia="Arial" w:hAnsi="Arial"/>
                <w:sz w:val="15"/>
                <w:szCs w:val="15"/>
                <w:b w:val="1"/>
                <w:bCs w:val="1"/>
                <w:color w:val="auto"/>
                <w:w w:val="98"/>
              </w:rPr>
              <w:t>For the Nine Months Ended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873"/>
              <w:spacing w:after="0"/>
              <w:rPr>
                <w:sz w:val="20"/>
                <w:szCs w:val="20"/>
                <w:color w:val="auto"/>
              </w:rPr>
            </w:pPr>
            <w:r>
              <w:rPr>
                <w:rFonts w:ascii="Arial" w:cs="Arial" w:eastAsia="Arial" w:hAnsi="Arial"/>
                <w:sz w:val="15"/>
                <w:szCs w:val="15"/>
                <w:b w:val="1"/>
                <w:bCs w:val="1"/>
                <w:color w:val="auto"/>
              </w:rPr>
              <w:t>September 30,</w:t>
            </w:r>
          </w:p>
        </w:tc>
        <w:tc>
          <w:tcPr>
            <w:tcW w:w="2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813"/>
              <w:spacing w:after="0"/>
              <w:rPr>
                <w:sz w:val="20"/>
                <w:szCs w:val="20"/>
                <w:color w:val="auto"/>
              </w:rPr>
            </w:pPr>
            <w:r>
              <w:rPr>
                <w:rFonts w:ascii="Arial" w:cs="Arial" w:eastAsia="Arial" w:hAnsi="Arial"/>
                <w:sz w:val="15"/>
                <w:szCs w:val="15"/>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5"/>
                <w:szCs w:val="15"/>
                <w:b w:val="1"/>
                <w:bCs w:val="1"/>
                <w:color w:val="auto"/>
              </w:rPr>
              <w:t>2016</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5"/>
                <w:szCs w:val="15"/>
                <w:b w:val="1"/>
                <w:bCs w:val="1"/>
                <w:color w:val="auto"/>
              </w:rPr>
              <w:t>2015</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5"/>
                <w:szCs w:val="15"/>
                <w:b w:val="1"/>
                <w:bCs w:val="1"/>
                <w:color w:val="auto"/>
              </w:rPr>
              <w:t>2016</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5"/>
                <w:szCs w:val="15"/>
                <w:b w:val="1"/>
                <w:bCs w:val="1"/>
                <w:color w:val="auto"/>
              </w:rPr>
              <w:t>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Personal lines</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w w:val="97"/>
              </w:rPr>
              <w:t>21,357,900</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w w:val="97"/>
              </w:rPr>
              <w:t>19,145,024</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w w:val="97"/>
              </w:rPr>
              <w:t>58,496,825</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w w:val="97"/>
              </w:rPr>
              <w:t>50,346,928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lines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3,111,308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3,075,096</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9,916,605</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9,376,315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Commercial auto(2)</w:t>
            </w:r>
          </w:p>
        </w:tc>
        <w:tc>
          <w:tcPr>
            <w:tcW w:w="320" w:type="dxa"/>
            <w:vAlign w:val="bottom"/>
          </w:tcPr>
          <w:p>
            <w:pPr>
              <w:spacing w:after="0"/>
              <w:rPr>
                <w:sz w:val="18"/>
                <w:szCs w:val="18"/>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(42,630)</w:t>
            </w:r>
          </w:p>
        </w:tc>
        <w:tc>
          <w:tcPr>
            <w:tcW w:w="26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(5,023)</w:t>
            </w:r>
          </w:p>
        </w:tc>
        <w:tc>
          <w:tcPr>
            <w:tcW w:w="26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537,123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Livery physical damage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2,640,531</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2,342,470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7,792,984</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6,800,527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Other(3)</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59,637</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63,481</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188,399</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199,912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7"/>
              </w:rPr>
              <w:t>27,169,376</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7"/>
              </w:rPr>
              <w:t>24,583,441</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7"/>
              </w:rPr>
              <w:t>76,389,790</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7"/>
              </w:rPr>
              <w:t>67,260,805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written premiums: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Personal lines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Excluding the effect of quota share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adjustments on July 1</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w w:val="97"/>
              </w:rPr>
              <w:t>11,893,952</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w w:val="97"/>
              </w:rPr>
              <w:t>10,271,498</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w w:val="97"/>
              </w:rPr>
              <w:t>32,111,287</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w w:val="97"/>
              </w:rPr>
              <w:t>23,443,844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Return of premiums previously ceded to</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prior quota share treaties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5,866,300</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5,866,300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Personal lines(1)</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7"/>
              </w:rPr>
              <w:t>11,893,952</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7"/>
              </w:rPr>
              <w:t>16,137,798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7"/>
              </w:rPr>
              <w:t>32,111,287</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29,310,144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Commercial lines</w:t>
            </w:r>
          </w:p>
        </w:tc>
        <w:tc>
          <w:tcPr>
            <w:tcW w:w="320" w:type="dxa"/>
            <w:vAlign w:val="bottom"/>
          </w:tcPr>
          <w:p>
            <w:pPr>
              <w:spacing w:after="0"/>
              <w:rPr>
                <w:sz w:val="18"/>
                <w:szCs w:val="18"/>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2,760,623</w:t>
            </w:r>
          </w:p>
        </w:tc>
        <w:tc>
          <w:tcPr>
            <w:tcW w:w="26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2,833,838</w:t>
            </w:r>
          </w:p>
        </w:tc>
        <w:tc>
          <w:tcPr>
            <w:tcW w:w="26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8,919,387</w:t>
            </w:r>
          </w:p>
        </w:tc>
        <w:tc>
          <w:tcPr>
            <w:tcW w:w="26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8,592,916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auto(2)</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(105,596)</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(41,136)</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(110,311)</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487,735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Livery physical damage</w:t>
            </w:r>
          </w:p>
        </w:tc>
        <w:tc>
          <w:tcPr>
            <w:tcW w:w="320" w:type="dxa"/>
            <w:vAlign w:val="bottom"/>
          </w:tcPr>
          <w:p>
            <w:pPr>
              <w:spacing w:after="0"/>
              <w:rPr>
                <w:sz w:val="18"/>
                <w:szCs w:val="18"/>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2,640,531</w:t>
            </w:r>
          </w:p>
        </w:tc>
        <w:tc>
          <w:tcPr>
            <w:tcW w:w="26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2,342,470</w:t>
            </w:r>
          </w:p>
        </w:tc>
        <w:tc>
          <w:tcPr>
            <w:tcW w:w="26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7,792,984</w:t>
            </w:r>
          </w:p>
        </w:tc>
        <w:tc>
          <w:tcPr>
            <w:tcW w:w="26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6,800,527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Other(3)</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42,770</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64,599</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133,490</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7"/>
              </w:rPr>
              <w:t>17,232,280</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7"/>
              </w:rPr>
              <w:t>21,337,569</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7"/>
              </w:rPr>
              <w:t>48,846,837</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7"/>
              </w:rPr>
              <w:t>45,347,197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Personal lines(1)</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7"/>
              </w:rPr>
              <w:t>10,388,403</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8,171,882</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7"/>
              </w:rPr>
              <w:t>29,678,863</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20,371,281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Commercial lines</w:t>
            </w:r>
          </w:p>
        </w:tc>
        <w:tc>
          <w:tcPr>
            <w:tcW w:w="320" w:type="dxa"/>
            <w:vAlign w:val="bottom"/>
          </w:tcPr>
          <w:p>
            <w:pPr>
              <w:spacing w:after="0"/>
              <w:rPr>
                <w:sz w:val="18"/>
                <w:szCs w:val="18"/>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2,828,473</w:t>
            </w:r>
          </w:p>
        </w:tc>
        <w:tc>
          <w:tcPr>
            <w:tcW w:w="26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2,616,290</w:t>
            </w:r>
          </w:p>
        </w:tc>
        <w:tc>
          <w:tcPr>
            <w:tcW w:w="26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8,282,020</w:t>
            </w:r>
          </w:p>
        </w:tc>
        <w:tc>
          <w:tcPr>
            <w:tcW w:w="26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7,481,031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auto(2)</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(105,596)</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333,338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(10,567)</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1,517,246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Livery physical damage</w:t>
            </w:r>
          </w:p>
        </w:tc>
        <w:tc>
          <w:tcPr>
            <w:tcW w:w="320" w:type="dxa"/>
            <w:vAlign w:val="bottom"/>
          </w:tcPr>
          <w:p>
            <w:pPr>
              <w:spacing w:after="0"/>
              <w:rPr>
                <w:sz w:val="18"/>
                <w:szCs w:val="18"/>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2,487,975</w:t>
            </w:r>
          </w:p>
        </w:tc>
        <w:tc>
          <w:tcPr>
            <w:tcW w:w="26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1,962,121</w:t>
            </w:r>
          </w:p>
        </w:tc>
        <w:tc>
          <w:tcPr>
            <w:tcW w:w="26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7,106,718</w:t>
            </w:r>
          </w:p>
        </w:tc>
        <w:tc>
          <w:tcPr>
            <w:tcW w:w="26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4,882,588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Other(3)</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46,926</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45,973</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131,697</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128,972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7"/>
              </w:rPr>
              <w:t>15,646,181</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7"/>
              </w:rPr>
              <w:t>13,129,604</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7"/>
              </w:rPr>
              <w:t>45,188,731</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7"/>
              </w:rPr>
              <w:t>34,381,118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Net loss and loss adjustment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Personal lines</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2,383,297</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2,705,526</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7"/>
              </w:rPr>
              <w:t>13,069,461</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8,857,444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Commercial lines</w:t>
            </w:r>
          </w:p>
        </w:tc>
        <w:tc>
          <w:tcPr>
            <w:tcW w:w="320" w:type="dxa"/>
            <w:vAlign w:val="bottom"/>
          </w:tcPr>
          <w:p>
            <w:pPr>
              <w:spacing w:after="0"/>
              <w:rPr>
                <w:sz w:val="18"/>
                <w:szCs w:val="18"/>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1,178,963</w:t>
            </w:r>
          </w:p>
        </w:tc>
        <w:tc>
          <w:tcPr>
            <w:tcW w:w="26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1,339,960</w:t>
            </w:r>
          </w:p>
        </w:tc>
        <w:tc>
          <w:tcPr>
            <w:tcW w:w="26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3,271,253</w:t>
            </w:r>
          </w:p>
        </w:tc>
        <w:tc>
          <w:tcPr>
            <w:tcW w:w="26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4,638,848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auto(2)</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(196,547)</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8,122</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(653,465)</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585,658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Livery physical damage</w:t>
            </w:r>
          </w:p>
        </w:tc>
        <w:tc>
          <w:tcPr>
            <w:tcW w:w="320" w:type="dxa"/>
            <w:vAlign w:val="bottom"/>
          </w:tcPr>
          <w:p>
            <w:pPr>
              <w:spacing w:after="0"/>
              <w:rPr>
                <w:sz w:val="18"/>
                <w:szCs w:val="18"/>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1,236,780</w:t>
            </w:r>
          </w:p>
        </w:tc>
        <w:tc>
          <w:tcPr>
            <w:tcW w:w="26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666,838</w:t>
            </w:r>
          </w:p>
        </w:tc>
        <w:tc>
          <w:tcPr>
            <w:tcW w:w="26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3,171,434</w:t>
            </w:r>
          </w:p>
        </w:tc>
        <w:tc>
          <w:tcPr>
            <w:tcW w:w="26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1,796,867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Other(3)</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50,615</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1,821</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222,596</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113,621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Unallocated loss adjustment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481,746</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327,927</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1,324,266</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891,786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5,134,854</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5,050,194</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7"/>
              </w:rPr>
              <w:t>20,405,545</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7"/>
              </w:rPr>
              <w:t>16,884,224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loss ratio:</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Personal lines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Commercial auto(2)</w:t>
            </w:r>
          </w:p>
        </w:tc>
        <w:tc>
          <w:tcPr>
            <w:tcW w:w="320" w:type="dxa"/>
            <w:vAlign w:val="bottom"/>
          </w:tcPr>
          <w:p>
            <w:pPr>
              <w:spacing w:after="0"/>
              <w:rPr>
                <w:sz w:val="18"/>
                <w:szCs w:val="18"/>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Livery physical damage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Other(3)</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107.9%</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169.0%</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__________________________________</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660" w:hanging="296"/>
        <w:spacing w:after="0" w:line="25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discussions above for Net Written Premiums and Net Premiums Earned, related to change in quota share ceding rate and change in catastrophe reinsurance from “gross” basis to “net” basis.</w:t>
      </w:r>
    </w:p>
    <w:p>
      <w:pPr>
        <w:ind w:left="660" w:hanging="296"/>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October 1, 2014 we decided to no longer accept applications for new commercial auto coverage. In February 2015, we decided to no longer offer renewals to our existing commercial auto policies beginning with those that expired on or after May 1, 2015</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9" w:name="page60"/>
    <w:bookmarkEnd w:id="59"/>
    <w:p>
      <w:pPr>
        <w:ind w:left="660" w:hanging="29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includes, among other things, premiums and loss and loss adjustment expenses from our participation in a mandatory state joint underwriting association.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Underwriting Business on a Standalone Basis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insurance underwriting business reported on a standalone basis for the periods indicated is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3"/>
          </w:tcPr>
          <w:p>
            <w:pPr>
              <w:jc w:val="right"/>
              <w:ind w:right="693"/>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Pr>
          <w:p>
            <w:pPr>
              <w:spacing w:after="0"/>
              <w:rPr>
                <w:sz w:val="16"/>
                <w:szCs w:val="16"/>
                <w:color w:val="auto"/>
              </w:rPr>
            </w:pPr>
          </w:p>
        </w:tc>
        <w:tc>
          <w:tcPr>
            <w:tcW w:w="2420" w:type="dxa"/>
            <w:vAlign w:val="bottom"/>
            <w:gridSpan w:val="4"/>
          </w:tcPr>
          <w:p>
            <w:pPr>
              <w:jc w:val="center"/>
              <w:ind w:right="360"/>
              <w:spacing w:after="0"/>
              <w:rPr>
                <w:sz w:val="20"/>
                <w:szCs w:val="20"/>
                <w:color w:val="auto"/>
              </w:rPr>
            </w:pPr>
            <w:r>
              <w:rPr>
                <w:rFonts w:ascii="Arial" w:cs="Arial" w:eastAsia="Arial" w:hAnsi="Arial"/>
                <w:sz w:val="15"/>
                <w:szCs w:val="15"/>
                <w:b w:val="1"/>
                <w:bCs w:val="1"/>
                <w:color w:val="auto"/>
                <w:w w:val="87"/>
              </w:rPr>
              <w:t>Nine months ended</w:t>
            </w:r>
          </w:p>
        </w:tc>
        <w:tc>
          <w:tcPr>
            <w:tcW w:w="0" w:type="dxa"/>
            <w:vAlign w:val="bottom"/>
          </w:tcPr>
          <w:p>
            <w:pPr>
              <w:spacing w:after="0"/>
              <w:rPr>
                <w:sz w:val="1"/>
                <w:szCs w:val="1"/>
                <w:color w:val="auto"/>
              </w:rPr>
            </w:pPr>
          </w:p>
        </w:tc>
      </w:tr>
      <w:tr>
        <w:trPr>
          <w:trHeight w:val="206"/>
        </w:trPr>
        <w:tc>
          <w:tcPr>
            <w:tcW w:w="4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tcPr>
          <w:p>
            <w:pPr>
              <w:jc w:val="right"/>
              <w:ind w:right="893"/>
              <w:spacing w:after="0"/>
              <w:rPr>
                <w:sz w:val="20"/>
                <w:szCs w:val="20"/>
                <w:color w:val="auto"/>
              </w:rPr>
            </w:pPr>
            <w:r>
              <w:rPr>
                <w:rFonts w:ascii="Arial" w:cs="Arial" w:eastAsia="Arial" w:hAnsi="Arial"/>
                <w:sz w:val="15"/>
                <w:szCs w:val="15"/>
                <w:b w:val="1"/>
                <w:bCs w:val="1"/>
                <w:color w:val="auto"/>
              </w:rPr>
              <w:t>September 30,</w:t>
            </w:r>
          </w:p>
        </w:tc>
        <w:tc>
          <w:tcPr>
            <w:tcW w:w="260" w:type="dxa"/>
            <w:vAlign w:val="bottom"/>
          </w:tcPr>
          <w:p>
            <w:pPr>
              <w:spacing w:after="0"/>
              <w:rPr>
                <w:sz w:val="17"/>
                <w:szCs w:val="17"/>
                <w:color w:val="auto"/>
              </w:rPr>
            </w:pPr>
          </w:p>
        </w:tc>
        <w:tc>
          <w:tcPr>
            <w:tcW w:w="2420" w:type="dxa"/>
            <w:vAlign w:val="bottom"/>
            <w:gridSpan w:val="4"/>
          </w:tcPr>
          <w:p>
            <w:pPr>
              <w:jc w:val="center"/>
              <w:ind w:right="360"/>
              <w:spacing w:after="0"/>
              <w:rPr>
                <w:sz w:val="20"/>
                <w:szCs w:val="20"/>
                <w:color w:val="auto"/>
              </w:rPr>
            </w:pPr>
            <w:r>
              <w:rPr>
                <w:rFonts w:ascii="Arial" w:cs="Arial" w:eastAsia="Arial" w:hAnsi="Arial"/>
                <w:sz w:val="15"/>
                <w:szCs w:val="15"/>
                <w:b w:val="1"/>
                <w:bCs w:val="1"/>
                <w:color w:val="auto"/>
                <w:w w:val="87"/>
              </w:rPr>
              <w:t>September 30,</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5"/>
                <w:szCs w:val="15"/>
                <w:b w:val="1"/>
                <w:bCs w:val="1"/>
                <w:color w:val="auto"/>
              </w:rPr>
              <w:t>2016</w:t>
            </w: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5"/>
                <w:szCs w:val="15"/>
                <w:b w:val="1"/>
                <w:bCs w:val="1"/>
                <w:color w:val="auto"/>
              </w:rPr>
              <w:t>2015</w:t>
            </w: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5"/>
                <w:szCs w:val="15"/>
                <w:b w:val="1"/>
                <w:bCs w:val="1"/>
                <w:color w:val="auto"/>
              </w:rPr>
              <w:t>2016</w:t>
            </w: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5"/>
                <w:szCs w:val="15"/>
                <w:b w:val="1"/>
                <w:bCs w:val="1"/>
                <w:color w:val="auto"/>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Revenue</w:t>
            </w:r>
            <w:r>
              <w:rPr>
                <w:rFonts w:ascii="Arial" w:cs="Arial" w:eastAsia="Arial" w:hAnsi="Arial"/>
                <w:sz w:val="18"/>
                <w:szCs w:val="18"/>
                <w:color w:val="auto"/>
              </w:rPr>
              <w:t>s</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Net premiums earned</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w w:val="97"/>
              </w:rPr>
              <w:t>15,646,181</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w w:val="97"/>
              </w:rPr>
              <w:t>13,129,604</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w w:val="97"/>
              </w:rPr>
              <w:t>45,188,731</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w w:val="97"/>
              </w:rPr>
              <w:t>34,381,118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Ceding commission revenue</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2,934,928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2,643,531</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8,274,290</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9,388,457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Net investment income</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709,072</w:t>
            </w:r>
          </w:p>
        </w:tc>
        <w:tc>
          <w:tcPr>
            <w:tcW w:w="26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649,441</w:t>
            </w:r>
          </w:p>
        </w:tc>
        <w:tc>
          <w:tcPr>
            <w:tcW w:w="26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2,286,199</w:t>
            </w:r>
          </w:p>
        </w:tc>
        <w:tc>
          <w:tcPr>
            <w:tcW w:w="26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1,850,069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realized gain (loss) on investments</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241,035</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(40,487)</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604,903</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1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294,373</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268,698</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820,472</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721,087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3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97"/>
              </w:rPr>
              <w:t>19,825,589</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7"/>
              </w:rPr>
              <w:t>16,650,787</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7"/>
              </w:rPr>
              <w:t>57,174,595</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7"/>
              </w:rPr>
              <w:t>46,235,013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Expense</w:t>
            </w:r>
            <w:r>
              <w:rPr>
                <w:rFonts w:ascii="Arial" w:cs="Arial" w:eastAsia="Arial" w:hAnsi="Arial"/>
                <w:sz w:val="18"/>
                <w:szCs w:val="18"/>
                <w:color w:val="auto"/>
              </w:rPr>
              <w:t>s</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Loss and loss adjustment expenses</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5,134,854</w:t>
            </w:r>
          </w:p>
        </w:tc>
        <w:tc>
          <w:tcPr>
            <w:tcW w:w="26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5,050,194</w:t>
            </w:r>
          </w:p>
        </w:tc>
        <w:tc>
          <w:tcPr>
            <w:tcW w:w="26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w w:val="97"/>
              </w:rPr>
              <w:t>20,405,545</w:t>
            </w:r>
          </w:p>
        </w:tc>
        <w:tc>
          <w:tcPr>
            <w:tcW w:w="26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w w:val="97"/>
              </w:rPr>
              <w:t>16,884,224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Commission expense</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4,603,755</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4,021,383</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7"/>
              </w:rPr>
              <w:t>13,400,029</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11,033,874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Other underwriting expenses</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4,039,209</w:t>
            </w:r>
          </w:p>
        </w:tc>
        <w:tc>
          <w:tcPr>
            <w:tcW w:w="26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3,389,024</w:t>
            </w:r>
          </w:p>
        </w:tc>
        <w:tc>
          <w:tcPr>
            <w:tcW w:w="26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w w:val="97"/>
              </w:rPr>
              <w:t>10,981,784</w:t>
            </w:r>
          </w:p>
        </w:tc>
        <w:tc>
          <w:tcPr>
            <w:tcW w:w="26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9,349,842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262,097</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266,578</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834,519</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747,118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1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7"/>
              </w:rPr>
              <w:t>14,039,915</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7"/>
              </w:rPr>
              <w:t>12,727,179</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7"/>
              </w:rPr>
              <w:t>45,621,877</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7"/>
              </w:rPr>
              <w:t>38,015,058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Income from operations</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5,785,674</w:t>
            </w:r>
          </w:p>
        </w:tc>
        <w:tc>
          <w:tcPr>
            <w:tcW w:w="26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3,923,608</w:t>
            </w:r>
          </w:p>
        </w:tc>
        <w:tc>
          <w:tcPr>
            <w:tcW w:w="26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w w:val="97"/>
              </w:rPr>
              <w:t>11,552,718</w:t>
            </w:r>
          </w:p>
        </w:tc>
        <w:tc>
          <w:tcPr>
            <w:tcW w:w="26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8,219,955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13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2,036,650</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1,282,497</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3,881,232</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2,678,834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b w:val="1"/>
                <w:bCs w:val="1"/>
                <w:color w:val="auto"/>
              </w:rPr>
              <w:t>Net incom</w:t>
            </w:r>
            <w:r>
              <w:rPr>
                <w:rFonts w:ascii="Arial" w:cs="Arial" w:eastAsia="Arial" w:hAnsi="Arial"/>
                <w:sz w:val="18"/>
                <w:szCs w:val="18"/>
                <w:color w:val="auto"/>
              </w:rPr>
              <w:t>e</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3,749,024</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2,641,111</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7,671,486</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5,541,121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60"/>
              <w:spacing w:after="0"/>
              <w:rPr>
                <w:sz w:val="20"/>
                <w:szCs w:val="20"/>
                <w:color w:val="auto"/>
              </w:rPr>
            </w:pPr>
            <w:r>
              <w:rPr>
                <w:rFonts w:ascii="Arial" w:cs="Arial" w:eastAsia="Arial" w:hAnsi="Arial"/>
                <w:sz w:val="18"/>
                <w:szCs w:val="18"/>
                <w:b w:val="1"/>
                <w:bCs w:val="1"/>
                <w:color w:val="auto"/>
              </w:rPr>
              <w:t>Key Measures:</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ratio</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20"/>
              <w:spacing w:after="0"/>
              <w:rPr>
                <w:sz w:val="20"/>
                <w:szCs w:val="20"/>
                <w:color w:val="auto"/>
              </w:rPr>
            </w:pPr>
            <w:r>
              <w:rPr>
                <w:rFonts w:ascii="Arial" w:cs="Arial" w:eastAsia="Arial" w:hAnsi="Arial"/>
                <w:sz w:val="18"/>
                <w:szCs w:val="18"/>
                <w:color w:val="auto"/>
              </w:rPr>
              <w:t>Net underwriting expense ratio</w:t>
            </w:r>
          </w:p>
        </w:tc>
        <w:tc>
          <w:tcPr>
            <w:tcW w:w="1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combined ratio</w:t>
            </w:r>
          </w:p>
        </w:tc>
        <w:tc>
          <w:tcPr>
            <w:tcW w:w="1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Reconciliation of net underwriting expense ratio:</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Acquisition costs and other</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underwriting expenses</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8,642,964</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7,410,407</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7"/>
              </w:rPr>
              <w:t>24,381,813</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20,383,716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Less: Ceding commission revenue</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(2,934,928)</w:t>
            </w:r>
          </w:p>
        </w:tc>
        <w:tc>
          <w:tcPr>
            <w:tcW w:w="26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(2,643,531)</w:t>
            </w:r>
          </w:p>
        </w:tc>
        <w:tc>
          <w:tcPr>
            <w:tcW w:w="26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(8,274,290)</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(9,388,457)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Less: Other income</w:t>
            </w:r>
          </w:p>
        </w:tc>
        <w:tc>
          <w:tcPr>
            <w:tcW w:w="13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(294,373)</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(268,698)</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(820,472)</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(721,087)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Net underwriting expenses</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5,413,663</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4,498,178</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w w:val="97"/>
              </w:rPr>
              <w:t>15,287,051</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w w:val="97"/>
              </w:rPr>
              <w:t>10,274,172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Net premiums earned</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w w:val="97"/>
              </w:rPr>
              <w:t>15,646,181</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w w:val="97"/>
              </w:rPr>
              <w:t>13,129,604</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w w:val="97"/>
              </w:rPr>
              <w:t>45,188,731</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w w:val="97"/>
              </w:rPr>
              <w:t>34,381,118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Net Underwriting Expense Ratio</w:t>
            </w:r>
          </w:p>
        </w:tc>
        <w:tc>
          <w:tcPr>
            <w:tcW w:w="1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320" w:type="dxa"/>
            <w:vAlign w:val="bottom"/>
            <w:vMerge w:val="restart"/>
          </w:tcPr>
          <w:p>
            <w:pPr>
              <w:jc w:val="right"/>
              <w:ind w:right="72"/>
              <w:spacing w:after="0"/>
              <w:rPr>
                <w:sz w:val="20"/>
                <w:szCs w:val="20"/>
                <w:color w:val="auto"/>
              </w:rPr>
            </w:pPr>
            <w:r>
              <w:rPr>
                <w:rFonts w:ascii="Arial" w:cs="Arial" w:eastAsia="Arial" w:hAnsi="Arial"/>
                <w:sz w:val="18"/>
                <w:szCs w:val="18"/>
                <w:color w:val="auto"/>
              </w:rPr>
              <w:t>58</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46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9"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An analysis of our direct, assumed and ceded earned premiums, loss and loss adjustment expenses, and loss ratios is shown below:</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53"/>
              <w:spacing w:after="0"/>
              <w:rPr>
                <w:sz w:val="20"/>
                <w:szCs w:val="20"/>
                <w:color w:val="auto"/>
              </w:rPr>
            </w:pPr>
            <w:r>
              <w:rPr>
                <w:rFonts w:ascii="Arial" w:cs="Arial" w:eastAsia="Arial" w:hAnsi="Arial"/>
                <w:sz w:val="15"/>
                <w:szCs w:val="15"/>
                <w:b w:val="1"/>
                <w:bCs w:val="1"/>
                <w:color w:val="auto"/>
              </w:rPr>
              <w:t>Direct</w:t>
            </w:r>
          </w:p>
        </w:tc>
        <w:tc>
          <w:tcPr>
            <w:tcW w:w="240" w:type="dxa"/>
            <w:vAlign w:val="bottom"/>
          </w:tcPr>
          <w:p>
            <w:pPr>
              <w:spacing w:after="0"/>
              <w:rPr>
                <w:sz w:val="15"/>
                <w:szCs w:val="15"/>
                <w:color w:val="auto"/>
              </w:rPr>
            </w:pPr>
          </w:p>
        </w:tc>
        <w:tc>
          <w:tcPr>
            <w:tcW w:w="1120" w:type="dxa"/>
            <w:vAlign w:val="bottom"/>
          </w:tcPr>
          <w:p>
            <w:pPr>
              <w:jc w:val="right"/>
              <w:ind w:right="353"/>
              <w:spacing w:after="0"/>
              <w:rPr>
                <w:sz w:val="20"/>
                <w:szCs w:val="20"/>
                <w:color w:val="auto"/>
              </w:rPr>
            </w:pPr>
            <w:r>
              <w:rPr>
                <w:rFonts w:ascii="Arial" w:cs="Arial" w:eastAsia="Arial" w:hAnsi="Arial"/>
                <w:sz w:val="15"/>
                <w:szCs w:val="15"/>
                <w:b w:val="1"/>
                <w:bCs w:val="1"/>
                <w:color w:val="auto"/>
                <w:w w:val="97"/>
              </w:rPr>
              <w:t>Assumed</w:t>
            </w:r>
          </w:p>
        </w:tc>
        <w:tc>
          <w:tcPr>
            <w:tcW w:w="240" w:type="dxa"/>
            <w:vAlign w:val="bottom"/>
          </w:tcPr>
          <w:p>
            <w:pPr>
              <w:spacing w:after="0"/>
              <w:rPr>
                <w:sz w:val="15"/>
                <w:szCs w:val="15"/>
                <w:color w:val="auto"/>
              </w:rPr>
            </w:pPr>
          </w:p>
        </w:tc>
        <w:tc>
          <w:tcPr>
            <w:tcW w:w="1120" w:type="dxa"/>
            <w:vAlign w:val="bottom"/>
          </w:tcPr>
          <w:p>
            <w:pPr>
              <w:jc w:val="right"/>
              <w:ind w:right="433"/>
              <w:spacing w:after="0"/>
              <w:rPr>
                <w:sz w:val="20"/>
                <w:szCs w:val="20"/>
                <w:color w:val="auto"/>
              </w:rPr>
            </w:pPr>
            <w:r>
              <w:rPr>
                <w:rFonts w:ascii="Arial" w:cs="Arial" w:eastAsia="Arial" w:hAnsi="Arial"/>
                <w:sz w:val="15"/>
                <w:szCs w:val="15"/>
                <w:b w:val="1"/>
                <w:bCs w:val="1"/>
                <w:color w:val="auto"/>
              </w:rPr>
              <w:t>Ceded</w:t>
            </w:r>
          </w:p>
        </w:tc>
        <w:tc>
          <w:tcPr>
            <w:tcW w:w="240" w:type="dxa"/>
            <w:vAlign w:val="bottom"/>
          </w:tcPr>
          <w:p>
            <w:pPr>
              <w:spacing w:after="0"/>
              <w:rPr>
                <w:sz w:val="15"/>
                <w:szCs w:val="15"/>
                <w:color w:val="auto"/>
              </w:rPr>
            </w:pPr>
          </w:p>
        </w:tc>
        <w:tc>
          <w:tcPr>
            <w:tcW w:w="1080" w:type="dxa"/>
            <w:vAlign w:val="bottom"/>
            <w:gridSpan w:val="2"/>
          </w:tcPr>
          <w:p>
            <w:pPr>
              <w:ind w:left="280"/>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Nine months ended September 30, 2016</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Written premiums</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w w:val="97"/>
              </w:rPr>
              <w:t>76,375,159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14,631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w w:val="94"/>
              </w:rPr>
              <w:t>(27,542,953)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48,846,837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1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(4,875,664)</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2,058</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1,215,500</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Earned premiums</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w w:val="97"/>
              </w:rPr>
              <w:t>71,499,495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16,689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w w:val="94"/>
              </w:rPr>
              <w:t>(26,327,453)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45,188,731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Loss and loss adjustment expenses exluding</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the effect of catastrophes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7"/>
              </w:rPr>
              <w:t>26,712,184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32,521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(7,741,637)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19,003,068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1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2,337,461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(934,984)</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1,402,477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7"/>
              </w:rPr>
              <w:t>29,049,645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32,521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(8,676,621)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20,405,545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1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ratio</w:t>
            </w:r>
          </w:p>
        </w:tc>
        <w:tc>
          <w:tcPr>
            <w:tcW w:w="14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Nine months ended September 30, 2015</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Written premiums</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w w:val="97"/>
              </w:rPr>
              <w:t>67,225,990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34,815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w w:val="94"/>
              </w:rPr>
              <w:t>(21,913,608)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45,347,197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1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(6,984,651)</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1,362</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(3,982,790)</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(10,966,079)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Earned premiums</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w w:val="97"/>
              </w:rPr>
              <w:t>60,241,339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36,177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w w:val="94"/>
              </w:rPr>
              <w:t>(25,896,398)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34,381,118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Loss and loss adjustment expenses exluding</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the effect of catastrophes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7"/>
              </w:rPr>
              <w:t>23,162,707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101,782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(8,470,858)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14,793,631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1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4,645,762</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(2,555,169)</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2,090,593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7"/>
              </w:rPr>
              <w:t>27,808,469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101,782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4"/>
              </w:rPr>
              <w:t>(11,026,027)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16,884,224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1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ratio</w:t>
            </w:r>
          </w:p>
        </w:tc>
        <w:tc>
          <w:tcPr>
            <w:tcW w:w="14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Three months ended September 30, 2016</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Written premiums</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w w:val="97"/>
              </w:rPr>
              <w:t>27,170,743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(1,367)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(9,937,096)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17,232,280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1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(2,302,119)</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(1,479)</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717,499</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(1,586,099)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Earned premiums</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w w:val="97"/>
              </w:rPr>
              <w:t>24,868,624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(2,846)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(9,219,597)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15,646,181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Loss and loss adjustment expenses exluding</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the effect of catastrophes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6,705,294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(1,572,666)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5,134,854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1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6,705,294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(1,572,666)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5,134,854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1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ratio</w:t>
            </w:r>
          </w:p>
        </w:tc>
        <w:tc>
          <w:tcPr>
            <w:tcW w:w="14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Three months ended September 30, 2015</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Written premiums</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w w:val="97"/>
              </w:rPr>
              <w:t>24,570,496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12,945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(3,245,871)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21,337,570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1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(3,330,333)</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(1,015)</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(4,876,618)</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(8,207,966)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Earned premiums</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w w:val="97"/>
              </w:rPr>
              <w:t>21,240,163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11,930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(8,122,489)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13,129,604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Loss and loss adjustment expenses exluding</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 effect of catastrophes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6,756,876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31,056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(1,815,970)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4,971,962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1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173,849</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(95,617)</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78,232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6,930,725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31,056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(1,911,587)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5,050,194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1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ratio</w:t>
            </w:r>
          </w:p>
        </w:tc>
        <w:tc>
          <w:tcPr>
            <w:tcW w:w="14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4"/>
        </w:trPr>
        <w:tc>
          <w:tcPr>
            <w:tcW w:w="45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59</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9"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color w:val="auto"/>
        </w:rPr>
        <w:t>The key measures for our insurance underwriting business for the periods indicated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3"/>
          </w:tcPr>
          <w:p>
            <w:pPr>
              <w:jc w:val="right"/>
              <w:ind w:right="634"/>
              <w:spacing w:after="0"/>
              <w:rPr>
                <w:sz w:val="20"/>
                <w:szCs w:val="20"/>
                <w:color w:val="auto"/>
              </w:rPr>
            </w:pPr>
            <w:r>
              <w:rPr>
                <w:rFonts w:ascii="Arial" w:cs="Arial" w:eastAsia="Arial" w:hAnsi="Arial"/>
                <w:sz w:val="15"/>
                <w:szCs w:val="15"/>
                <w:b w:val="1"/>
                <w:bCs w:val="1"/>
                <w:color w:val="auto"/>
              </w:rPr>
              <w:t>Three months ended</w:t>
            </w:r>
          </w:p>
        </w:tc>
        <w:tc>
          <w:tcPr>
            <w:tcW w:w="320" w:type="dxa"/>
            <w:vAlign w:val="bottom"/>
          </w:tcPr>
          <w:p>
            <w:pPr>
              <w:spacing w:after="0"/>
              <w:rPr>
                <w:sz w:val="16"/>
                <w:szCs w:val="16"/>
                <w:color w:val="auto"/>
              </w:rPr>
            </w:pPr>
          </w:p>
        </w:tc>
        <w:tc>
          <w:tcPr>
            <w:tcW w:w="2400" w:type="dxa"/>
            <w:vAlign w:val="bottom"/>
            <w:gridSpan w:val="3"/>
          </w:tcPr>
          <w:p>
            <w:pPr>
              <w:jc w:val="right"/>
              <w:ind w:right="654"/>
              <w:spacing w:after="0"/>
              <w:rPr>
                <w:sz w:val="20"/>
                <w:szCs w:val="20"/>
                <w:color w:val="auto"/>
              </w:rPr>
            </w:pPr>
            <w:r>
              <w:rPr>
                <w:rFonts w:ascii="Arial" w:cs="Arial" w:eastAsia="Arial" w:hAnsi="Arial"/>
                <w:sz w:val="15"/>
                <w:szCs w:val="15"/>
                <w:b w:val="1"/>
                <w:bCs w:val="1"/>
                <w:color w:val="auto"/>
              </w:rPr>
              <w:t>Nine months ended</w:t>
            </w:r>
          </w:p>
        </w:tc>
      </w:tr>
      <w:tr>
        <w:trPr>
          <w:trHeight w:val="206"/>
        </w:trPr>
        <w:tc>
          <w:tcPr>
            <w:tcW w:w="5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5"/>
                <w:szCs w:val="15"/>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5"/>
                <w:szCs w:val="15"/>
                <w:b w:val="1"/>
                <w:bCs w:val="1"/>
                <w:color w:val="auto"/>
              </w:rPr>
              <w:t>September 30,</w:t>
            </w:r>
          </w:p>
        </w:tc>
      </w:tr>
      <w:tr>
        <w:trPr>
          <w:trHeight w:val="223"/>
        </w:trPr>
        <w:tc>
          <w:tcPr>
            <w:tcW w:w="5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2016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2015</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2016</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2015</w:t>
            </w:r>
          </w:p>
        </w:tc>
      </w:tr>
      <w:tr>
        <w:trPr>
          <w:trHeight w:val="216"/>
        </w:trPr>
        <w:tc>
          <w:tcPr>
            <w:tcW w:w="5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premiums earned</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7"/>
              </w:rPr>
              <w:t>15,646,181</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7"/>
              </w:rPr>
              <w:t>13,129,604</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7"/>
              </w:rPr>
              <w:t>45,188,731</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7"/>
              </w:rPr>
              <w:t>34,381,118</w:t>
            </w: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Ceding commission revenue (1)</w:t>
            </w:r>
          </w:p>
        </w:tc>
        <w:tc>
          <w:tcPr>
            <w:tcW w:w="32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2,934,928</w:t>
            </w:r>
          </w:p>
        </w:tc>
        <w:tc>
          <w:tcPr>
            <w:tcW w:w="34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2,643,531</w:t>
            </w:r>
          </w:p>
        </w:tc>
        <w:tc>
          <w:tcPr>
            <w:tcW w:w="32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8,274,290</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9,388,457</w:t>
            </w: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294,373</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268,698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820,472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721,087</w:t>
            </w:r>
          </w:p>
        </w:tc>
      </w:tr>
      <w:tr>
        <w:trPr>
          <w:trHeight w:val="216"/>
        </w:trPr>
        <w:tc>
          <w:tcPr>
            <w:tcW w:w="5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and loss adjustment expenses (2)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5,134,854</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5,050,194</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7"/>
              </w:rPr>
              <w:t>20,405,545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7"/>
              </w:rPr>
              <w:t>16,884,224</w:t>
            </w:r>
          </w:p>
        </w:tc>
      </w:tr>
      <w:tr>
        <w:trPr>
          <w:trHeight w:val="216"/>
        </w:trPr>
        <w:tc>
          <w:tcPr>
            <w:tcW w:w="5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Acquistion costs and other underwriting expenses: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32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4,603,755</w:t>
            </w:r>
          </w:p>
        </w:tc>
        <w:tc>
          <w:tcPr>
            <w:tcW w:w="34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4,021,383</w:t>
            </w:r>
          </w:p>
        </w:tc>
        <w:tc>
          <w:tcPr>
            <w:tcW w:w="32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w w:val="97"/>
              </w:rPr>
              <w:t>13,400,029</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w w:val="97"/>
              </w:rPr>
              <w:t>11,033,874</w:t>
            </w:r>
          </w:p>
        </w:tc>
      </w:tr>
      <w:tr>
        <w:trPr>
          <w:trHeight w:val="223"/>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4,039,209</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3,389,024</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7"/>
              </w:rPr>
              <w:t>10,981,784</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9,349,842</w:t>
            </w:r>
          </w:p>
        </w:tc>
      </w:tr>
      <w:tr>
        <w:trPr>
          <w:trHeight w:val="216"/>
        </w:trPr>
        <w:tc>
          <w:tcPr>
            <w:tcW w:w="5960" w:type="dxa"/>
            <w:vAlign w:val="bottom"/>
          </w:tcPr>
          <w:p>
            <w:pPr>
              <w:ind w:left="40"/>
              <w:spacing w:after="0"/>
              <w:rPr>
                <w:sz w:val="20"/>
                <w:szCs w:val="20"/>
                <w:color w:val="auto"/>
              </w:rPr>
            </w:pPr>
            <w:r>
              <w:rPr>
                <w:rFonts w:ascii="Arial" w:cs="Arial" w:eastAsia="Arial" w:hAnsi="Arial"/>
                <w:sz w:val="18"/>
                <w:szCs w:val="18"/>
                <w:color w:val="auto"/>
              </w:rPr>
              <w:t>Total acquistion costs and other</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3"/>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underwriting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8,642,964</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7,410,407</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7"/>
              </w:rPr>
              <w:t>24,381,813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7"/>
              </w:rPr>
              <w:t>20,383,716</w:t>
            </w:r>
          </w:p>
        </w:tc>
      </w:tr>
      <w:tr>
        <w:trPr>
          <w:trHeight w:val="216"/>
        </w:trPr>
        <w:tc>
          <w:tcPr>
            <w:tcW w:w="5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7"/>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Underwriting income</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5,097,664</w:t>
            </w: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3,581,232</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9,496,135</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7,222,722</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Key Measures: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Net loss ratio excluding the effect of catastrophes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Effect of catastrophe loss on net loss ratio (2) (3)</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20"/>
              <w:spacing w:after="0"/>
              <w:rPr>
                <w:sz w:val="20"/>
                <w:szCs w:val="20"/>
                <w:color w:val="auto"/>
              </w:rPr>
            </w:pPr>
            <w:r>
              <w:rPr>
                <w:rFonts w:ascii="Arial" w:cs="Arial" w:eastAsia="Arial" w:hAnsi="Arial"/>
                <w:sz w:val="18"/>
                <w:szCs w:val="18"/>
                <w:color w:val="auto"/>
              </w:rPr>
              <w:t>Net loss ratio</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Net underwriting expense ratio excluding the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effect of catastrophes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Effect of catastrophe loss on net underwriting</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expense ratio (1) (2) (3)</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20"/>
              <w:spacing w:after="0"/>
              <w:rPr>
                <w:sz w:val="20"/>
                <w:szCs w:val="20"/>
                <w:color w:val="auto"/>
              </w:rPr>
            </w:pPr>
            <w:r>
              <w:rPr>
                <w:rFonts w:ascii="Arial" w:cs="Arial" w:eastAsia="Arial" w:hAnsi="Arial"/>
                <w:sz w:val="18"/>
                <w:szCs w:val="18"/>
                <w:color w:val="auto"/>
              </w:rPr>
              <w:t>Net underwriting expense ratio</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Net combined ratio excluding the effect</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of catastrophes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Effect of catastrophe loss on net combined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ratio (1) (2) (3)</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Net combined ratio</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Reconciliation of net underwriting expense ratio:</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costs and other</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80"/>
              <w:spacing w:after="0"/>
              <w:rPr>
                <w:sz w:val="20"/>
                <w:szCs w:val="20"/>
                <w:color w:val="auto"/>
              </w:rPr>
            </w:pPr>
            <w:r>
              <w:rPr>
                <w:rFonts w:ascii="Arial" w:cs="Arial" w:eastAsia="Arial" w:hAnsi="Arial"/>
                <w:sz w:val="18"/>
                <w:szCs w:val="18"/>
                <w:color w:val="auto"/>
              </w:rPr>
              <w:t>underwriting expenses</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8,642,964</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7,410,407</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w w:val="97"/>
              </w:rPr>
              <w:t>24,381,813</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w w:val="97"/>
              </w:rPr>
              <w:t>20,383,716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Ceding commission revenue (1)</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(2,934,928)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(2,643,531)</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(8,274,290)</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20"/>
              <w:spacing w:after="0"/>
              <w:rPr>
                <w:sz w:val="20"/>
                <w:szCs w:val="20"/>
                <w:color w:val="auto"/>
              </w:rPr>
            </w:pPr>
            <w:r>
              <w:rPr>
                <w:rFonts w:ascii="Arial" w:cs="Arial" w:eastAsia="Arial" w:hAnsi="Arial"/>
                <w:sz w:val="18"/>
                <w:szCs w:val="18"/>
                <w:color w:val="auto"/>
              </w:rPr>
              <w:t>Less: Other income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(294,373)</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(268,698)</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(820,472)</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(721,087)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5,413,663</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4,498,178</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7"/>
              </w:rPr>
              <w:t>15,287,051</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7"/>
              </w:rPr>
              <w:t>10,274,172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earned premium</w:t>
            </w: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7"/>
              </w:rPr>
              <w:t>15,646,181</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7"/>
              </w:rPr>
              <w:t>13,129,604</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7"/>
              </w:rPr>
              <w:t>45,188,731</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7"/>
              </w:rPr>
              <w:t>34,381,118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8"/>
        <w:spacing w:after="0" w:line="259" w:lineRule="auto"/>
        <w:tabs>
          <w:tab w:leader="none" w:pos="2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nine months ended September 30, 2016 and 2015, the effect of severe winter weather, defined as a catastrophe, reduced contingent ceding commission revenue by $-0- and $1,280,521, respectively. For the three months ended September 30, 2016 and 2015, there was no effect from severe winter weather, defined as a catastrophe, on contingent ceding commission.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62" w:name="page63"/>
    <w:bookmarkEnd w:id="62"/>
    <w:p>
      <w:pPr>
        <w:jc w:val="both"/>
        <w:ind w:firstLine="8"/>
        <w:spacing w:after="0" w:line="306" w:lineRule="auto"/>
        <w:tabs>
          <w:tab w:leader="none" w:pos="277"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the nine months ended September 30, 2016 and 2015, includes the sum of net catastrophe losses and loss adjustment expenses of $1,402,477 and $2,090,593, respectively, resulting from severe winter weather. For the three months ended September 30, 2016 and 2015, includes the sum of net catastrophe losses and loss adjustment expenses of $-0- and $78,232, respectively, resulting from severe winter weather.</w:t>
      </w:r>
    </w:p>
    <w:p>
      <w:pPr>
        <w:spacing w:after="0" w:line="187" w:lineRule="exact"/>
        <w:rPr>
          <w:rFonts w:ascii="Arial" w:cs="Arial" w:eastAsia="Arial" w:hAnsi="Arial"/>
          <w:sz w:val="16"/>
          <w:szCs w:val="16"/>
          <w:color w:val="auto"/>
        </w:rPr>
      </w:pPr>
    </w:p>
    <w:p>
      <w:pPr>
        <w:jc w:val="both"/>
        <w:ind w:firstLine="8"/>
        <w:spacing w:after="0" w:line="255" w:lineRule="auto"/>
        <w:tabs>
          <w:tab w:leader="none" w:pos="2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nine months ended September 30, 2016 and 2015, the effect of catastrophe loss from severe winter weather on our net combined ratio only includes the direct effects of loss and loss adjustment expenses and ceding commission revenue and does not include the indirect effects of a $84,149 and $324,906, respectively, decrease in other underwriting expenses. For the three months ended September 30, 2016 and 2015, the effect of catastrophe loss from severe winter weather on our net combined ratio includes the direct effects of loss and loss adjustment expenses and ceding commission revenue and there were no indirect effects in other underwriting expenses.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Portfolio Summary</w:t>
      </w:r>
    </w:p>
    <w:p>
      <w:pPr>
        <w:spacing w:after="0" w:line="252"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The following table presents a breakdown of the amortized cost, fair value and unrealized gains and losses by investment type as of September 30, 2016 and December 31, 2015:</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Available-for-Sale Securities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5"/>
                <w:szCs w:val="15"/>
                <w:b w:val="1"/>
                <w:bCs w:val="1"/>
                <w:color w:val="auto"/>
              </w:rPr>
              <w:t>September 30, 2016</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center"/>
              <w:ind w:right="177"/>
              <w:spacing w:after="0"/>
              <w:rPr>
                <w:sz w:val="20"/>
                <w:szCs w:val="20"/>
                <w:color w:val="auto"/>
              </w:rPr>
            </w:pPr>
            <w:r>
              <w:rPr>
                <w:rFonts w:ascii="Arial" w:cs="Arial" w:eastAsia="Arial" w:hAnsi="Arial"/>
                <w:sz w:val="15"/>
                <w:szCs w:val="15"/>
                <w:b w:val="1"/>
                <w:bCs w:val="1"/>
                <w:color w:val="auto"/>
                <w:w w:val="87"/>
              </w:rPr>
              <w:t>Cost or</w:t>
            </w:r>
          </w:p>
        </w:tc>
        <w:tc>
          <w:tcPr>
            <w:tcW w:w="300" w:type="dxa"/>
            <w:vAlign w:val="bottom"/>
          </w:tcPr>
          <w:p>
            <w:pPr>
              <w:spacing w:after="0"/>
              <w:rPr>
                <w:sz w:val="24"/>
                <w:szCs w:val="24"/>
                <w:color w:val="auto"/>
              </w:rPr>
            </w:pPr>
          </w:p>
        </w:tc>
        <w:tc>
          <w:tcPr>
            <w:tcW w:w="1080" w:type="dxa"/>
            <w:vAlign w:val="bottom"/>
          </w:tcPr>
          <w:p>
            <w:pPr>
              <w:jc w:val="center"/>
              <w:ind w:right="176"/>
              <w:spacing w:after="0"/>
              <w:rPr>
                <w:sz w:val="20"/>
                <w:szCs w:val="20"/>
                <w:color w:val="auto"/>
              </w:rPr>
            </w:pPr>
            <w:r>
              <w:rPr>
                <w:rFonts w:ascii="Arial" w:cs="Arial" w:eastAsia="Arial" w:hAnsi="Arial"/>
                <w:sz w:val="15"/>
                <w:szCs w:val="15"/>
                <w:b w:val="1"/>
                <w:bCs w:val="1"/>
                <w:color w:val="auto"/>
                <w:w w:val="87"/>
              </w:rPr>
              <w:t>Gross</w:t>
            </w: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5"/>
                <w:szCs w:val="15"/>
                <w:b w:val="1"/>
                <w:bCs w:val="1"/>
                <w:color w:val="auto"/>
              </w:rPr>
              <w:t>Gross Unrealized Losses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 of</w:t>
            </w:r>
          </w:p>
        </w:tc>
      </w:tr>
      <w:tr>
        <w:trPr>
          <w:trHeight w:val="149"/>
        </w:trPr>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ind w:right="157"/>
              <w:spacing w:after="0" w:line="149" w:lineRule="exact"/>
              <w:rPr>
                <w:sz w:val="20"/>
                <w:szCs w:val="20"/>
                <w:color w:val="auto"/>
              </w:rPr>
            </w:pPr>
            <w:r>
              <w:rPr>
                <w:rFonts w:ascii="Arial" w:cs="Arial" w:eastAsia="Arial" w:hAnsi="Arial"/>
                <w:sz w:val="15"/>
                <w:szCs w:val="15"/>
                <w:b w:val="1"/>
                <w:bCs w:val="1"/>
                <w:color w:val="auto"/>
                <w:w w:val="92"/>
              </w:rPr>
              <w:t>Amortized</w:t>
            </w:r>
          </w:p>
        </w:tc>
        <w:tc>
          <w:tcPr>
            <w:tcW w:w="300" w:type="dxa"/>
            <w:vAlign w:val="bottom"/>
          </w:tcPr>
          <w:p>
            <w:pPr>
              <w:spacing w:after="0"/>
              <w:rPr>
                <w:sz w:val="12"/>
                <w:szCs w:val="12"/>
                <w:color w:val="auto"/>
              </w:rPr>
            </w:pPr>
          </w:p>
        </w:tc>
        <w:tc>
          <w:tcPr>
            <w:tcW w:w="1080" w:type="dxa"/>
            <w:vAlign w:val="bottom"/>
          </w:tcPr>
          <w:p>
            <w:pPr>
              <w:jc w:val="center"/>
              <w:ind w:right="176"/>
              <w:spacing w:after="0" w:line="149" w:lineRule="exact"/>
              <w:rPr>
                <w:sz w:val="20"/>
                <w:szCs w:val="20"/>
                <w:color w:val="auto"/>
              </w:rPr>
            </w:pPr>
            <w:r>
              <w:rPr>
                <w:rFonts w:ascii="Arial" w:cs="Arial" w:eastAsia="Arial" w:hAnsi="Arial"/>
                <w:sz w:val="15"/>
                <w:szCs w:val="15"/>
                <w:b w:val="1"/>
                <w:bCs w:val="1"/>
                <w:color w:val="auto"/>
                <w:w w:val="92"/>
              </w:rPr>
              <w:t>Unrealized</w:t>
            </w:r>
          </w:p>
        </w:tc>
        <w:tc>
          <w:tcPr>
            <w:tcW w:w="260" w:type="dxa"/>
            <w:vAlign w:val="bottom"/>
          </w:tcPr>
          <w:p>
            <w:pPr>
              <w:spacing w:after="0"/>
              <w:rPr>
                <w:sz w:val="12"/>
                <w:szCs w:val="12"/>
                <w:color w:val="auto"/>
              </w:rPr>
            </w:pPr>
          </w:p>
        </w:tc>
        <w:tc>
          <w:tcPr>
            <w:tcW w:w="1140" w:type="dxa"/>
            <w:vAlign w:val="bottom"/>
          </w:tcPr>
          <w:p>
            <w:pPr>
              <w:jc w:val="center"/>
              <w:ind w:right="178"/>
              <w:spacing w:after="0" w:line="149" w:lineRule="exact"/>
              <w:rPr>
                <w:sz w:val="20"/>
                <w:szCs w:val="20"/>
                <w:color w:val="auto"/>
              </w:rPr>
            </w:pPr>
            <w:r>
              <w:rPr>
                <w:rFonts w:ascii="Arial" w:cs="Arial" w:eastAsia="Arial" w:hAnsi="Arial"/>
                <w:sz w:val="15"/>
                <w:szCs w:val="15"/>
                <w:b w:val="1"/>
                <w:bCs w:val="1"/>
                <w:color w:val="auto"/>
                <w:w w:val="87"/>
              </w:rPr>
              <w:t>Less than 12</w:t>
            </w:r>
          </w:p>
        </w:tc>
        <w:tc>
          <w:tcPr>
            <w:tcW w:w="220" w:type="dxa"/>
            <w:vAlign w:val="bottom"/>
          </w:tcPr>
          <w:p>
            <w:pPr>
              <w:spacing w:after="0"/>
              <w:rPr>
                <w:sz w:val="12"/>
                <w:szCs w:val="12"/>
                <w:color w:val="auto"/>
              </w:rPr>
            </w:pPr>
          </w:p>
        </w:tc>
        <w:tc>
          <w:tcPr>
            <w:tcW w:w="1120" w:type="dxa"/>
            <w:vAlign w:val="bottom"/>
          </w:tcPr>
          <w:p>
            <w:pPr>
              <w:jc w:val="center"/>
              <w:ind w:right="136"/>
              <w:spacing w:after="0" w:line="149" w:lineRule="exact"/>
              <w:rPr>
                <w:sz w:val="20"/>
                <w:szCs w:val="20"/>
                <w:color w:val="auto"/>
              </w:rPr>
            </w:pPr>
            <w:r>
              <w:rPr>
                <w:rFonts w:ascii="Arial" w:cs="Arial" w:eastAsia="Arial" w:hAnsi="Arial"/>
                <w:sz w:val="15"/>
                <w:szCs w:val="15"/>
                <w:b w:val="1"/>
                <w:bCs w:val="1"/>
                <w:color w:val="auto"/>
                <w:w w:val="92"/>
              </w:rPr>
              <w:t>More than 12</w:t>
            </w:r>
          </w:p>
        </w:tc>
        <w:tc>
          <w:tcPr>
            <w:tcW w:w="320" w:type="dxa"/>
            <w:vAlign w:val="bottom"/>
          </w:tcPr>
          <w:p>
            <w:pPr>
              <w:spacing w:after="0"/>
              <w:rPr>
                <w:sz w:val="12"/>
                <w:szCs w:val="12"/>
                <w:color w:val="auto"/>
              </w:rPr>
            </w:pPr>
          </w:p>
        </w:tc>
        <w:tc>
          <w:tcPr>
            <w:tcW w:w="1220" w:type="dxa"/>
            <w:vAlign w:val="bottom"/>
          </w:tcPr>
          <w:p>
            <w:pPr>
              <w:jc w:val="center"/>
              <w:ind w:right="396"/>
              <w:spacing w:after="0" w:line="149" w:lineRule="exact"/>
              <w:rPr>
                <w:sz w:val="20"/>
                <w:szCs w:val="20"/>
                <w:color w:val="auto"/>
              </w:rPr>
            </w:pPr>
            <w:r>
              <w:rPr>
                <w:rFonts w:ascii="Arial" w:cs="Arial" w:eastAsia="Arial" w:hAnsi="Arial"/>
                <w:sz w:val="15"/>
                <w:szCs w:val="15"/>
                <w:b w:val="1"/>
                <w:bCs w:val="1"/>
                <w:color w:val="auto"/>
                <w:w w:val="94"/>
              </w:rPr>
              <w:t>Fair</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rPr>
              <w:t>Fair</w:t>
            </w:r>
          </w:p>
        </w:tc>
      </w:tr>
      <w:tr>
        <w:trPr>
          <w:trHeight w:val="182"/>
        </w:trPr>
        <w:tc>
          <w:tcPr>
            <w:tcW w:w="3200" w:type="dxa"/>
            <w:vAlign w:val="bottom"/>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300" w:type="dxa"/>
            <w:vAlign w:val="bottom"/>
          </w:tcPr>
          <w:p>
            <w:pPr>
              <w:spacing w:after="0"/>
              <w:rPr>
                <w:sz w:val="15"/>
                <w:szCs w:val="15"/>
                <w:color w:val="auto"/>
              </w:rPr>
            </w:pPr>
          </w:p>
        </w:tc>
        <w:tc>
          <w:tcPr>
            <w:tcW w:w="1080" w:type="dxa"/>
            <w:vAlign w:val="bottom"/>
          </w:tcPr>
          <w:p>
            <w:pPr>
              <w:jc w:val="center"/>
              <w:ind w:right="157"/>
              <w:spacing w:after="0"/>
              <w:rPr>
                <w:sz w:val="20"/>
                <w:szCs w:val="20"/>
                <w:color w:val="auto"/>
              </w:rPr>
            </w:pPr>
            <w:r>
              <w:rPr>
                <w:rFonts w:ascii="Arial" w:cs="Arial" w:eastAsia="Arial" w:hAnsi="Arial"/>
                <w:sz w:val="15"/>
                <w:szCs w:val="15"/>
                <w:b w:val="1"/>
                <w:bCs w:val="1"/>
                <w:color w:val="auto"/>
                <w:w w:val="85"/>
              </w:rPr>
              <w:t>Cos</w:t>
            </w:r>
            <w:r>
              <w:rPr>
                <w:rFonts w:ascii="Arial" w:cs="Arial" w:eastAsia="Arial" w:hAnsi="Arial"/>
                <w:sz w:val="15"/>
                <w:szCs w:val="15"/>
                <w:color w:val="auto"/>
                <w:w w:val="85"/>
              </w:rPr>
              <w:t>t</w:t>
            </w:r>
          </w:p>
        </w:tc>
        <w:tc>
          <w:tcPr>
            <w:tcW w:w="300" w:type="dxa"/>
            <w:vAlign w:val="bottom"/>
          </w:tcPr>
          <w:p>
            <w:pPr>
              <w:spacing w:after="0"/>
              <w:rPr>
                <w:sz w:val="15"/>
                <w:szCs w:val="15"/>
                <w:color w:val="auto"/>
              </w:rPr>
            </w:pPr>
          </w:p>
        </w:tc>
        <w:tc>
          <w:tcPr>
            <w:tcW w:w="1080" w:type="dxa"/>
            <w:vAlign w:val="bottom"/>
          </w:tcPr>
          <w:p>
            <w:pPr>
              <w:jc w:val="center"/>
              <w:ind w:right="176"/>
              <w:spacing w:after="0"/>
              <w:rPr>
                <w:sz w:val="20"/>
                <w:szCs w:val="20"/>
                <w:color w:val="auto"/>
              </w:rPr>
            </w:pPr>
            <w:r>
              <w:rPr>
                <w:rFonts w:ascii="Arial" w:cs="Arial" w:eastAsia="Arial" w:hAnsi="Arial"/>
                <w:sz w:val="15"/>
                <w:szCs w:val="15"/>
                <w:b w:val="1"/>
                <w:bCs w:val="1"/>
                <w:color w:val="auto"/>
                <w:w w:val="91"/>
              </w:rPr>
              <w:t>Gains</w:t>
            </w:r>
          </w:p>
        </w:tc>
        <w:tc>
          <w:tcPr>
            <w:tcW w:w="260" w:type="dxa"/>
            <w:vAlign w:val="bottom"/>
          </w:tcPr>
          <w:p>
            <w:pPr>
              <w:spacing w:after="0"/>
              <w:rPr>
                <w:sz w:val="15"/>
                <w:szCs w:val="15"/>
                <w:color w:val="auto"/>
              </w:rPr>
            </w:pPr>
          </w:p>
        </w:tc>
        <w:tc>
          <w:tcPr>
            <w:tcW w:w="1140" w:type="dxa"/>
            <w:vAlign w:val="bottom"/>
          </w:tcPr>
          <w:p>
            <w:pPr>
              <w:jc w:val="center"/>
              <w:ind w:right="178"/>
              <w:spacing w:after="0"/>
              <w:rPr>
                <w:sz w:val="20"/>
                <w:szCs w:val="20"/>
                <w:color w:val="auto"/>
              </w:rPr>
            </w:pPr>
            <w:r>
              <w:rPr>
                <w:rFonts w:ascii="Arial" w:cs="Arial" w:eastAsia="Arial" w:hAnsi="Arial"/>
                <w:sz w:val="15"/>
                <w:szCs w:val="15"/>
                <w:b w:val="1"/>
                <w:bCs w:val="1"/>
                <w:color w:val="auto"/>
                <w:w w:val="89"/>
              </w:rPr>
              <w:t>Months</w:t>
            </w:r>
          </w:p>
        </w:tc>
        <w:tc>
          <w:tcPr>
            <w:tcW w:w="220" w:type="dxa"/>
            <w:vAlign w:val="bottom"/>
          </w:tcPr>
          <w:p>
            <w:pPr>
              <w:spacing w:after="0"/>
              <w:rPr>
                <w:sz w:val="15"/>
                <w:szCs w:val="15"/>
                <w:color w:val="auto"/>
              </w:rPr>
            </w:pPr>
          </w:p>
        </w:tc>
        <w:tc>
          <w:tcPr>
            <w:tcW w:w="1120" w:type="dxa"/>
            <w:vAlign w:val="bottom"/>
          </w:tcPr>
          <w:p>
            <w:pPr>
              <w:jc w:val="center"/>
              <w:ind w:right="136"/>
              <w:spacing w:after="0"/>
              <w:rPr>
                <w:sz w:val="20"/>
                <w:szCs w:val="20"/>
                <w:color w:val="auto"/>
              </w:rPr>
            </w:pPr>
            <w:r>
              <w:rPr>
                <w:rFonts w:ascii="Arial" w:cs="Arial" w:eastAsia="Arial" w:hAnsi="Arial"/>
                <w:sz w:val="15"/>
                <w:szCs w:val="15"/>
                <w:b w:val="1"/>
                <w:bCs w:val="1"/>
                <w:color w:val="auto"/>
                <w:w w:val="93"/>
              </w:rPr>
              <w:t>Months</w:t>
            </w:r>
          </w:p>
        </w:tc>
        <w:tc>
          <w:tcPr>
            <w:tcW w:w="320" w:type="dxa"/>
            <w:vAlign w:val="bottom"/>
          </w:tcPr>
          <w:p>
            <w:pPr>
              <w:spacing w:after="0"/>
              <w:rPr>
                <w:sz w:val="15"/>
                <w:szCs w:val="15"/>
                <w:color w:val="auto"/>
              </w:rPr>
            </w:pPr>
          </w:p>
        </w:tc>
        <w:tc>
          <w:tcPr>
            <w:tcW w:w="1220" w:type="dxa"/>
            <w:vAlign w:val="bottom"/>
          </w:tcPr>
          <w:p>
            <w:pPr>
              <w:jc w:val="center"/>
              <w:ind w:right="376"/>
              <w:spacing w:after="0"/>
              <w:rPr>
                <w:sz w:val="20"/>
                <w:szCs w:val="20"/>
                <w:color w:val="auto"/>
              </w:rPr>
            </w:pPr>
            <w:r>
              <w:rPr>
                <w:rFonts w:ascii="Arial" w:cs="Arial" w:eastAsia="Arial" w:hAnsi="Arial"/>
                <w:sz w:val="15"/>
                <w:szCs w:val="15"/>
                <w:b w:val="1"/>
                <w:bCs w:val="1"/>
                <w:color w:val="auto"/>
                <w:w w:val="89"/>
              </w:rPr>
              <w:t>Value</w:t>
            </w: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Value</w:t>
            </w:r>
          </w:p>
        </w:tc>
      </w:tr>
      <w:tr>
        <w:trPr>
          <w:trHeight w:val="216"/>
        </w:trPr>
        <w:tc>
          <w:tcPr>
            <w:tcW w:w="3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Political subdivisions of States,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Territories and Possessions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8,094,036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465,453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(4,564)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8,554,925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 bonds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Industrial and miscellaneous</w:t>
            </w:r>
          </w:p>
        </w:tc>
        <w:tc>
          <w:tcPr>
            <w:tcW w:w="30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51,884,984</w:t>
            </w: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1,613,713</w:t>
            </w:r>
          </w:p>
        </w:tc>
        <w:tc>
          <w:tcPr>
            <w:tcW w:w="26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(45,063)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(47,332)</w:t>
            </w:r>
          </w:p>
        </w:tc>
        <w:tc>
          <w:tcPr>
            <w:tcW w:w="320" w:type="dxa"/>
            <w:vAlign w:val="bottom"/>
          </w:tcPr>
          <w:p>
            <w:pPr>
              <w:spacing w:after="0"/>
              <w:rPr>
                <w:sz w:val="18"/>
                <w:szCs w:val="18"/>
                <w:color w:val="auto"/>
              </w:rPr>
            </w:pPr>
          </w:p>
        </w:tc>
        <w:tc>
          <w:tcPr>
            <w:tcW w:w="1220" w:type="dxa"/>
            <w:vAlign w:val="bottom"/>
          </w:tcPr>
          <w:p>
            <w:pPr>
              <w:jc w:val="right"/>
              <w:ind w:right="236"/>
              <w:spacing w:after="0"/>
              <w:rPr>
                <w:sz w:val="20"/>
                <w:szCs w:val="20"/>
                <w:color w:val="auto"/>
              </w:rPr>
            </w:pPr>
            <w:r>
              <w:rPr>
                <w:rFonts w:ascii="Arial" w:cs="Arial" w:eastAsia="Arial" w:hAnsi="Arial"/>
                <w:sz w:val="18"/>
                <w:szCs w:val="18"/>
                <w:color w:val="auto"/>
                <w:w w:val="97"/>
              </w:rPr>
              <w:t>53,406,302</w:t>
            </w:r>
          </w:p>
        </w:tc>
        <w:tc>
          <w:tcPr>
            <w:tcW w:w="1180" w:type="dxa"/>
            <w:vAlign w:val="bottom"/>
          </w:tcPr>
          <w:p>
            <w:pPr>
              <w:jc w:val="right"/>
              <w:spacing w:after="0"/>
              <w:rPr>
                <w:sz w:val="20"/>
                <w:szCs w:val="20"/>
                <w:color w:val="auto"/>
              </w:rPr>
            </w:pPr>
            <w:r>
              <w:rPr>
                <w:rFonts w:ascii="Arial" w:cs="Arial" w:eastAsia="Arial" w:hAnsi="Arial"/>
                <w:sz w:val="18"/>
                <w:szCs w:val="18"/>
                <w:color w:val="auto"/>
              </w:rPr>
              <w:t>58.4%</w:t>
            </w: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Residential mortgage backed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18,938,428</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243,487</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(54,967)</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(9,222)</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7"/>
              </w:rPr>
              <w:t>19,117,726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Total fixed-maturity securities</w:t>
            </w:r>
          </w:p>
        </w:tc>
        <w:tc>
          <w:tcPr>
            <w:tcW w:w="30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78,917,448</w:t>
            </w: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2,322,653</w:t>
            </w:r>
          </w:p>
        </w:tc>
        <w:tc>
          <w:tcPr>
            <w:tcW w:w="26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(104,594)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(56,554)</w:t>
            </w:r>
          </w:p>
        </w:tc>
        <w:tc>
          <w:tcPr>
            <w:tcW w:w="320" w:type="dxa"/>
            <w:vAlign w:val="bottom"/>
          </w:tcPr>
          <w:p>
            <w:pPr>
              <w:spacing w:after="0"/>
              <w:rPr>
                <w:sz w:val="18"/>
                <w:szCs w:val="18"/>
                <w:color w:val="auto"/>
              </w:rPr>
            </w:pPr>
          </w:p>
        </w:tc>
        <w:tc>
          <w:tcPr>
            <w:tcW w:w="1220" w:type="dxa"/>
            <w:vAlign w:val="bottom"/>
          </w:tcPr>
          <w:p>
            <w:pPr>
              <w:jc w:val="right"/>
              <w:ind w:right="236"/>
              <w:spacing w:after="0"/>
              <w:rPr>
                <w:sz w:val="20"/>
                <w:szCs w:val="20"/>
                <w:color w:val="auto"/>
              </w:rPr>
            </w:pPr>
            <w:r>
              <w:rPr>
                <w:rFonts w:ascii="Arial" w:cs="Arial" w:eastAsia="Arial" w:hAnsi="Arial"/>
                <w:sz w:val="18"/>
                <w:szCs w:val="18"/>
                <w:color w:val="auto"/>
                <w:w w:val="97"/>
              </w:rPr>
              <w:t>81,078,953</w:t>
            </w:r>
          </w:p>
        </w:tc>
        <w:tc>
          <w:tcPr>
            <w:tcW w:w="1180" w:type="dxa"/>
            <w:vAlign w:val="bottom"/>
          </w:tcPr>
          <w:p>
            <w:pPr>
              <w:jc w:val="right"/>
              <w:spacing w:after="0"/>
              <w:rPr>
                <w:sz w:val="20"/>
                <w:szCs w:val="20"/>
                <w:color w:val="auto"/>
              </w:rPr>
            </w:pPr>
            <w:r>
              <w:rPr>
                <w:rFonts w:ascii="Arial" w:cs="Arial" w:eastAsia="Arial" w:hAnsi="Arial"/>
                <w:sz w:val="18"/>
                <w:szCs w:val="18"/>
                <w:color w:val="auto"/>
              </w:rPr>
              <w:t>88.7%</w:t>
            </w:r>
          </w:p>
        </w:tc>
        <w:tc>
          <w:tcPr>
            <w:tcW w:w="20" w:type="dxa"/>
            <w:vAlign w:val="bottom"/>
          </w:tcPr>
          <w:p>
            <w:pPr>
              <w:spacing w:after="0"/>
              <w:rPr>
                <w:sz w:val="18"/>
                <w:szCs w:val="18"/>
                <w:color w:val="auto"/>
              </w:rPr>
            </w:pPr>
          </w:p>
        </w:tc>
      </w:tr>
      <w:tr>
        <w:trPr>
          <w:trHeight w:val="223"/>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9,978,137</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591,377</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(149,741)</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(56,071)</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7"/>
              </w:rPr>
              <w:t>10,363,702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88,895,585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2,914,030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(254,335)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(112,625)</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7"/>
              </w:rPr>
              <w:t>91,442,655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1"/>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6"/>
        </w:trPr>
        <w:tc>
          <w:tcPr>
            <w:tcW w:w="3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5"/>
                <w:szCs w:val="15"/>
                <w:b w:val="1"/>
                <w:bCs w:val="1"/>
                <w:color w:val="auto"/>
              </w:rPr>
              <w:t>December 31, 2015</w:t>
            </w: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center"/>
              <w:ind w:right="177"/>
              <w:spacing w:after="0"/>
              <w:rPr>
                <w:sz w:val="20"/>
                <w:szCs w:val="20"/>
                <w:color w:val="auto"/>
              </w:rPr>
            </w:pPr>
            <w:r>
              <w:rPr>
                <w:rFonts w:ascii="Arial" w:cs="Arial" w:eastAsia="Arial" w:hAnsi="Arial"/>
                <w:sz w:val="15"/>
                <w:szCs w:val="15"/>
                <w:b w:val="1"/>
                <w:bCs w:val="1"/>
                <w:color w:val="auto"/>
                <w:w w:val="87"/>
              </w:rPr>
              <w:t>Cost or</w:t>
            </w:r>
          </w:p>
        </w:tc>
        <w:tc>
          <w:tcPr>
            <w:tcW w:w="300" w:type="dxa"/>
            <w:vAlign w:val="bottom"/>
          </w:tcPr>
          <w:p>
            <w:pPr>
              <w:spacing w:after="0"/>
              <w:rPr>
                <w:sz w:val="24"/>
                <w:szCs w:val="24"/>
                <w:color w:val="auto"/>
              </w:rPr>
            </w:pPr>
          </w:p>
        </w:tc>
        <w:tc>
          <w:tcPr>
            <w:tcW w:w="1080" w:type="dxa"/>
            <w:vAlign w:val="bottom"/>
          </w:tcPr>
          <w:p>
            <w:pPr>
              <w:jc w:val="center"/>
              <w:ind w:right="176"/>
              <w:spacing w:after="0"/>
              <w:rPr>
                <w:sz w:val="20"/>
                <w:szCs w:val="20"/>
                <w:color w:val="auto"/>
              </w:rPr>
            </w:pPr>
            <w:r>
              <w:rPr>
                <w:rFonts w:ascii="Arial" w:cs="Arial" w:eastAsia="Arial" w:hAnsi="Arial"/>
                <w:sz w:val="15"/>
                <w:szCs w:val="15"/>
                <w:b w:val="1"/>
                <w:bCs w:val="1"/>
                <w:color w:val="auto"/>
                <w:w w:val="87"/>
              </w:rPr>
              <w:t>Gross</w:t>
            </w: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5"/>
                <w:szCs w:val="15"/>
                <w:b w:val="1"/>
                <w:bCs w:val="1"/>
                <w:color w:val="auto"/>
              </w:rPr>
              <w:t>Gross Unrealized Losses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 of</w:t>
            </w:r>
          </w:p>
        </w:tc>
      </w:tr>
      <w:tr>
        <w:trPr>
          <w:trHeight w:val="149"/>
        </w:trPr>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ind w:right="157"/>
              <w:spacing w:after="0" w:line="149" w:lineRule="exact"/>
              <w:rPr>
                <w:sz w:val="20"/>
                <w:szCs w:val="20"/>
                <w:color w:val="auto"/>
              </w:rPr>
            </w:pPr>
            <w:r>
              <w:rPr>
                <w:rFonts w:ascii="Arial" w:cs="Arial" w:eastAsia="Arial" w:hAnsi="Arial"/>
                <w:sz w:val="15"/>
                <w:szCs w:val="15"/>
                <w:b w:val="1"/>
                <w:bCs w:val="1"/>
                <w:color w:val="auto"/>
                <w:w w:val="92"/>
              </w:rPr>
              <w:t>Amortized</w:t>
            </w:r>
          </w:p>
        </w:tc>
        <w:tc>
          <w:tcPr>
            <w:tcW w:w="300" w:type="dxa"/>
            <w:vAlign w:val="bottom"/>
          </w:tcPr>
          <w:p>
            <w:pPr>
              <w:spacing w:after="0"/>
              <w:rPr>
                <w:sz w:val="12"/>
                <w:szCs w:val="12"/>
                <w:color w:val="auto"/>
              </w:rPr>
            </w:pPr>
          </w:p>
        </w:tc>
        <w:tc>
          <w:tcPr>
            <w:tcW w:w="1080" w:type="dxa"/>
            <w:vAlign w:val="bottom"/>
          </w:tcPr>
          <w:p>
            <w:pPr>
              <w:jc w:val="center"/>
              <w:ind w:right="176"/>
              <w:spacing w:after="0" w:line="149" w:lineRule="exact"/>
              <w:rPr>
                <w:sz w:val="20"/>
                <w:szCs w:val="20"/>
                <w:color w:val="auto"/>
              </w:rPr>
            </w:pPr>
            <w:r>
              <w:rPr>
                <w:rFonts w:ascii="Arial" w:cs="Arial" w:eastAsia="Arial" w:hAnsi="Arial"/>
                <w:sz w:val="15"/>
                <w:szCs w:val="15"/>
                <w:b w:val="1"/>
                <w:bCs w:val="1"/>
                <w:color w:val="auto"/>
                <w:w w:val="92"/>
              </w:rPr>
              <w:t>Unrealized</w:t>
            </w:r>
          </w:p>
        </w:tc>
        <w:tc>
          <w:tcPr>
            <w:tcW w:w="260" w:type="dxa"/>
            <w:vAlign w:val="bottom"/>
          </w:tcPr>
          <w:p>
            <w:pPr>
              <w:spacing w:after="0"/>
              <w:rPr>
                <w:sz w:val="12"/>
                <w:szCs w:val="12"/>
                <w:color w:val="auto"/>
              </w:rPr>
            </w:pPr>
          </w:p>
        </w:tc>
        <w:tc>
          <w:tcPr>
            <w:tcW w:w="1140" w:type="dxa"/>
            <w:vAlign w:val="bottom"/>
          </w:tcPr>
          <w:p>
            <w:pPr>
              <w:jc w:val="center"/>
              <w:ind w:right="178"/>
              <w:spacing w:after="0" w:line="149" w:lineRule="exact"/>
              <w:rPr>
                <w:sz w:val="20"/>
                <w:szCs w:val="20"/>
                <w:color w:val="auto"/>
              </w:rPr>
            </w:pPr>
            <w:r>
              <w:rPr>
                <w:rFonts w:ascii="Arial" w:cs="Arial" w:eastAsia="Arial" w:hAnsi="Arial"/>
                <w:sz w:val="15"/>
                <w:szCs w:val="15"/>
                <w:b w:val="1"/>
                <w:bCs w:val="1"/>
                <w:color w:val="auto"/>
                <w:w w:val="87"/>
              </w:rPr>
              <w:t>Less than 12</w:t>
            </w:r>
          </w:p>
        </w:tc>
        <w:tc>
          <w:tcPr>
            <w:tcW w:w="220" w:type="dxa"/>
            <w:vAlign w:val="bottom"/>
          </w:tcPr>
          <w:p>
            <w:pPr>
              <w:spacing w:after="0"/>
              <w:rPr>
                <w:sz w:val="12"/>
                <w:szCs w:val="12"/>
                <w:color w:val="auto"/>
              </w:rPr>
            </w:pPr>
          </w:p>
        </w:tc>
        <w:tc>
          <w:tcPr>
            <w:tcW w:w="1120" w:type="dxa"/>
            <w:vAlign w:val="bottom"/>
          </w:tcPr>
          <w:p>
            <w:pPr>
              <w:jc w:val="center"/>
              <w:ind w:right="136"/>
              <w:spacing w:after="0" w:line="149" w:lineRule="exact"/>
              <w:rPr>
                <w:sz w:val="20"/>
                <w:szCs w:val="20"/>
                <w:color w:val="auto"/>
              </w:rPr>
            </w:pPr>
            <w:r>
              <w:rPr>
                <w:rFonts w:ascii="Arial" w:cs="Arial" w:eastAsia="Arial" w:hAnsi="Arial"/>
                <w:sz w:val="15"/>
                <w:szCs w:val="15"/>
                <w:b w:val="1"/>
                <w:bCs w:val="1"/>
                <w:color w:val="auto"/>
                <w:w w:val="92"/>
              </w:rPr>
              <w:t>More than 12</w:t>
            </w:r>
          </w:p>
        </w:tc>
        <w:tc>
          <w:tcPr>
            <w:tcW w:w="320" w:type="dxa"/>
            <w:vAlign w:val="bottom"/>
          </w:tcPr>
          <w:p>
            <w:pPr>
              <w:spacing w:after="0"/>
              <w:rPr>
                <w:sz w:val="12"/>
                <w:szCs w:val="12"/>
                <w:color w:val="auto"/>
              </w:rPr>
            </w:pPr>
          </w:p>
        </w:tc>
        <w:tc>
          <w:tcPr>
            <w:tcW w:w="1220" w:type="dxa"/>
            <w:vAlign w:val="bottom"/>
          </w:tcPr>
          <w:p>
            <w:pPr>
              <w:jc w:val="center"/>
              <w:ind w:right="396"/>
              <w:spacing w:after="0" w:line="149" w:lineRule="exact"/>
              <w:rPr>
                <w:sz w:val="20"/>
                <w:szCs w:val="20"/>
                <w:color w:val="auto"/>
              </w:rPr>
            </w:pPr>
            <w:r>
              <w:rPr>
                <w:rFonts w:ascii="Arial" w:cs="Arial" w:eastAsia="Arial" w:hAnsi="Arial"/>
                <w:sz w:val="15"/>
                <w:szCs w:val="15"/>
                <w:b w:val="1"/>
                <w:bCs w:val="1"/>
                <w:color w:val="auto"/>
                <w:w w:val="94"/>
              </w:rPr>
              <w:t>Fair</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rPr>
              <w:t>Fair</w:t>
            </w:r>
          </w:p>
        </w:tc>
      </w:tr>
      <w:tr>
        <w:trPr>
          <w:trHeight w:val="182"/>
        </w:trPr>
        <w:tc>
          <w:tcPr>
            <w:tcW w:w="3200" w:type="dxa"/>
            <w:vAlign w:val="bottom"/>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300" w:type="dxa"/>
            <w:vAlign w:val="bottom"/>
          </w:tcPr>
          <w:p>
            <w:pPr>
              <w:spacing w:after="0"/>
              <w:rPr>
                <w:sz w:val="15"/>
                <w:szCs w:val="15"/>
                <w:color w:val="auto"/>
              </w:rPr>
            </w:pPr>
          </w:p>
        </w:tc>
        <w:tc>
          <w:tcPr>
            <w:tcW w:w="1080" w:type="dxa"/>
            <w:vAlign w:val="bottom"/>
          </w:tcPr>
          <w:p>
            <w:pPr>
              <w:jc w:val="center"/>
              <w:ind w:right="157"/>
              <w:spacing w:after="0"/>
              <w:rPr>
                <w:sz w:val="20"/>
                <w:szCs w:val="20"/>
                <w:color w:val="auto"/>
              </w:rPr>
            </w:pPr>
            <w:r>
              <w:rPr>
                <w:rFonts w:ascii="Arial" w:cs="Arial" w:eastAsia="Arial" w:hAnsi="Arial"/>
                <w:sz w:val="15"/>
                <w:szCs w:val="15"/>
                <w:b w:val="1"/>
                <w:bCs w:val="1"/>
                <w:color w:val="auto"/>
                <w:w w:val="85"/>
              </w:rPr>
              <w:t>Cos</w:t>
            </w:r>
            <w:r>
              <w:rPr>
                <w:rFonts w:ascii="Arial" w:cs="Arial" w:eastAsia="Arial" w:hAnsi="Arial"/>
                <w:sz w:val="15"/>
                <w:szCs w:val="15"/>
                <w:color w:val="auto"/>
                <w:w w:val="85"/>
              </w:rPr>
              <w:t>t</w:t>
            </w:r>
          </w:p>
        </w:tc>
        <w:tc>
          <w:tcPr>
            <w:tcW w:w="300" w:type="dxa"/>
            <w:vAlign w:val="bottom"/>
          </w:tcPr>
          <w:p>
            <w:pPr>
              <w:spacing w:after="0"/>
              <w:rPr>
                <w:sz w:val="15"/>
                <w:szCs w:val="15"/>
                <w:color w:val="auto"/>
              </w:rPr>
            </w:pPr>
          </w:p>
        </w:tc>
        <w:tc>
          <w:tcPr>
            <w:tcW w:w="1080" w:type="dxa"/>
            <w:vAlign w:val="bottom"/>
          </w:tcPr>
          <w:p>
            <w:pPr>
              <w:jc w:val="center"/>
              <w:ind w:right="176"/>
              <w:spacing w:after="0"/>
              <w:rPr>
                <w:sz w:val="20"/>
                <w:szCs w:val="20"/>
                <w:color w:val="auto"/>
              </w:rPr>
            </w:pPr>
            <w:r>
              <w:rPr>
                <w:rFonts w:ascii="Arial" w:cs="Arial" w:eastAsia="Arial" w:hAnsi="Arial"/>
                <w:sz w:val="15"/>
                <w:szCs w:val="15"/>
                <w:b w:val="1"/>
                <w:bCs w:val="1"/>
                <w:color w:val="auto"/>
                <w:w w:val="91"/>
              </w:rPr>
              <w:t>Gains</w:t>
            </w:r>
          </w:p>
        </w:tc>
        <w:tc>
          <w:tcPr>
            <w:tcW w:w="260" w:type="dxa"/>
            <w:vAlign w:val="bottom"/>
          </w:tcPr>
          <w:p>
            <w:pPr>
              <w:spacing w:after="0"/>
              <w:rPr>
                <w:sz w:val="15"/>
                <w:szCs w:val="15"/>
                <w:color w:val="auto"/>
              </w:rPr>
            </w:pPr>
          </w:p>
        </w:tc>
        <w:tc>
          <w:tcPr>
            <w:tcW w:w="1140" w:type="dxa"/>
            <w:vAlign w:val="bottom"/>
          </w:tcPr>
          <w:p>
            <w:pPr>
              <w:jc w:val="center"/>
              <w:ind w:right="178"/>
              <w:spacing w:after="0"/>
              <w:rPr>
                <w:sz w:val="20"/>
                <w:szCs w:val="20"/>
                <w:color w:val="auto"/>
              </w:rPr>
            </w:pPr>
            <w:r>
              <w:rPr>
                <w:rFonts w:ascii="Arial" w:cs="Arial" w:eastAsia="Arial" w:hAnsi="Arial"/>
                <w:sz w:val="15"/>
                <w:szCs w:val="15"/>
                <w:b w:val="1"/>
                <w:bCs w:val="1"/>
                <w:color w:val="auto"/>
                <w:w w:val="89"/>
              </w:rPr>
              <w:t>Months</w:t>
            </w:r>
          </w:p>
        </w:tc>
        <w:tc>
          <w:tcPr>
            <w:tcW w:w="220" w:type="dxa"/>
            <w:vAlign w:val="bottom"/>
          </w:tcPr>
          <w:p>
            <w:pPr>
              <w:spacing w:after="0"/>
              <w:rPr>
                <w:sz w:val="15"/>
                <w:szCs w:val="15"/>
                <w:color w:val="auto"/>
              </w:rPr>
            </w:pPr>
          </w:p>
        </w:tc>
        <w:tc>
          <w:tcPr>
            <w:tcW w:w="1120" w:type="dxa"/>
            <w:vAlign w:val="bottom"/>
          </w:tcPr>
          <w:p>
            <w:pPr>
              <w:jc w:val="center"/>
              <w:ind w:right="136"/>
              <w:spacing w:after="0"/>
              <w:rPr>
                <w:sz w:val="20"/>
                <w:szCs w:val="20"/>
                <w:color w:val="auto"/>
              </w:rPr>
            </w:pPr>
            <w:r>
              <w:rPr>
                <w:rFonts w:ascii="Arial" w:cs="Arial" w:eastAsia="Arial" w:hAnsi="Arial"/>
                <w:sz w:val="15"/>
                <w:szCs w:val="15"/>
                <w:b w:val="1"/>
                <w:bCs w:val="1"/>
                <w:color w:val="auto"/>
                <w:w w:val="93"/>
              </w:rPr>
              <w:t>Months</w:t>
            </w:r>
          </w:p>
        </w:tc>
        <w:tc>
          <w:tcPr>
            <w:tcW w:w="320" w:type="dxa"/>
            <w:vAlign w:val="bottom"/>
          </w:tcPr>
          <w:p>
            <w:pPr>
              <w:spacing w:after="0"/>
              <w:rPr>
                <w:sz w:val="15"/>
                <w:szCs w:val="15"/>
                <w:color w:val="auto"/>
              </w:rPr>
            </w:pPr>
          </w:p>
        </w:tc>
        <w:tc>
          <w:tcPr>
            <w:tcW w:w="1220" w:type="dxa"/>
            <w:vAlign w:val="bottom"/>
          </w:tcPr>
          <w:p>
            <w:pPr>
              <w:jc w:val="center"/>
              <w:ind w:right="376"/>
              <w:spacing w:after="0"/>
              <w:rPr>
                <w:sz w:val="20"/>
                <w:szCs w:val="20"/>
                <w:color w:val="auto"/>
              </w:rPr>
            </w:pPr>
            <w:r>
              <w:rPr>
                <w:rFonts w:ascii="Arial" w:cs="Arial" w:eastAsia="Arial" w:hAnsi="Arial"/>
                <w:sz w:val="15"/>
                <w:szCs w:val="15"/>
                <w:b w:val="1"/>
                <w:bCs w:val="1"/>
                <w:color w:val="auto"/>
                <w:w w:val="89"/>
              </w:rPr>
              <w:t>Value</w:t>
            </w: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Value</w:t>
            </w:r>
          </w:p>
        </w:tc>
      </w:tr>
      <w:tr>
        <w:trPr>
          <w:trHeight w:val="216"/>
        </w:trPr>
        <w:tc>
          <w:tcPr>
            <w:tcW w:w="3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Political subdivisions of States,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Territories and Possessions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12,139,793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431,194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(15,889)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7"/>
              </w:rPr>
              <w:t>12,555,098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 bonds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Industrial and miscellaneous</w:t>
            </w:r>
          </w:p>
        </w:tc>
        <w:tc>
          <w:tcPr>
            <w:tcW w:w="30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45,078,044</w:t>
            </w: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490,444</w:t>
            </w:r>
          </w:p>
        </w:tc>
        <w:tc>
          <w:tcPr>
            <w:tcW w:w="26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(512,427)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(99,593)</w:t>
            </w:r>
          </w:p>
        </w:tc>
        <w:tc>
          <w:tcPr>
            <w:tcW w:w="320" w:type="dxa"/>
            <w:vAlign w:val="bottom"/>
          </w:tcPr>
          <w:p>
            <w:pPr>
              <w:spacing w:after="0"/>
              <w:rPr>
                <w:sz w:val="18"/>
                <w:szCs w:val="18"/>
                <w:color w:val="auto"/>
              </w:rPr>
            </w:pPr>
          </w:p>
        </w:tc>
        <w:tc>
          <w:tcPr>
            <w:tcW w:w="1220" w:type="dxa"/>
            <w:vAlign w:val="bottom"/>
          </w:tcPr>
          <w:p>
            <w:pPr>
              <w:jc w:val="right"/>
              <w:ind w:right="236"/>
              <w:spacing w:after="0"/>
              <w:rPr>
                <w:sz w:val="20"/>
                <w:szCs w:val="20"/>
                <w:color w:val="auto"/>
              </w:rPr>
            </w:pPr>
            <w:r>
              <w:rPr>
                <w:rFonts w:ascii="Arial" w:cs="Arial" w:eastAsia="Arial" w:hAnsi="Arial"/>
                <w:sz w:val="18"/>
                <w:szCs w:val="18"/>
                <w:color w:val="auto"/>
                <w:w w:val="97"/>
              </w:rPr>
              <w:t>44,956,468</w:t>
            </w:r>
          </w:p>
        </w:tc>
        <w:tc>
          <w:tcPr>
            <w:tcW w:w="1180" w:type="dxa"/>
            <w:vAlign w:val="bottom"/>
          </w:tcPr>
          <w:p>
            <w:pPr>
              <w:jc w:val="right"/>
              <w:spacing w:after="0"/>
              <w:rPr>
                <w:sz w:val="20"/>
                <w:szCs w:val="20"/>
                <w:color w:val="auto"/>
              </w:rPr>
            </w:pPr>
            <w:r>
              <w:rPr>
                <w:rFonts w:ascii="Arial" w:cs="Arial" w:eastAsia="Arial" w:hAnsi="Arial"/>
                <w:sz w:val="18"/>
                <w:szCs w:val="18"/>
                <w:color w:val="auto"/>
              </w:rPr>
              <w:t>62.7%</w:t>
            </w:r>
          </w:p>
        </w:tc>
        <w:tc>
          <w:tcPr>
            <w:tcW w:w="2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Residential mortgage backed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5,003,292</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48,375</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(61,169)</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4,990,498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Total fixed-maturity securities</w:t>
            </w:r>
          </w:p>
        </w:tc>
        <w:tc>
          <w:tcPr>
            <w:tcW w:w="30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62,221,129</w:t>
            </w: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970,013</w:t>
            </w:r>
          </w:p>
        </w:tc>
        <w:tc>
          <w:tcPr>
            <w:tcW w:w="26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(589,485)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(99,593)</w:t>
            </w:r>
          </w:p>
        </w:tc>
        <w:tc>
          <w:tcPr>
            <w:tcW w:w="320" w:type="dxa"/>
            <w:vAlign w:val="bottom"/>
          </w:tcPr>
          <w:p>
            <w:pPr>
              <w:spacing w:after="0"/>
              <w:rPr>
                <w:sz w:val="18"/>
                <w:szCs w:val="18"/>
                <w:color w:val="auto"/>
              </w:rPr>
            </w:pPr>
          </w:p>
        </w:tc>
        <w:tc>
          <w:tcPr>
            <w:tcW w:w="1220" w:type="dxa"/>
            <w:vAlign w:val="bottom"/>
          </w:tcPr>
          <w:p>
            <w:pPr>
              <w:jc w:val="right"/>
              <w:ind w:right="236"/>
              <w:spacing w:after="0"/>
              <w:rPr>
                <w:sz w:val="20"/>
                <w:szCs w:val="20"/>
                <w:color w:val="auto"/>
              </w:rPr>
            </w:pPr>
            <w:r>
              <w:rPr>
                <w:rFonts w:ascii="Arial" w:cs="Arial" w:eastAsia="Arial" w:hAnsi="Arial"/>
                <w:sz w:val="18"/>
                <w:szCs w:val="18"/>
                <w:color w:val="auto"/>
                <w:w w:val="97"/>
              </w:rPr>
              <w:t>62,502,064</w:t>
            </w:r>
          </w:p>
        </w:tc>
        <w:tc>
          <w:tcPr>
            <w:tcW w:w="1180" w:type="dxa"/>
            <w:vAlign w:val="bottom"/>
          </w:tcPr>
          <w:p>
            <w:pPr>
              <w:jc w:val="right"/>
              <w:spacing w:after="0"/>
              <w:rPr>
                <w:sz w:val="20"/>
                <w:szCs w:val="20"/>
                <w:color w:val="auto"/>
              </w:rPr>
            </w:pPr>
            <w:r>
              <w:rPr>
                <w:rFonts w:ascii="Arial" w:cs="Arial" w:eastAsia="Arial" w:hAnsi="Arial"/>
                <w:sz w:val="18"/>
                <w:szCs w:val="18"/>
                <w:color w:val="auto"/>
              </w:rPr>
              <w:t>87.2%</w:t>
            </w:r>
          </w:p>
        </w:tc>
        <w:tc>
          <w:tcPr>
            <w:tcW w:w="20" w:type="dxa"/>
            <w:vAlign w:val="bottom"/>
          </w:tcPr>
          <w:p>
            <w:pPr>
              <w:spacing w:after="0"/>
              <w:rPr>
                <w:sz w:val="18"/>
                <w:szCs w:val="18"/>
                <w:color w:val="auto"/>
              </w:rPr>
            </w:pPr>
          </w:p>
        </w:tc>
      </w:tr>
      <w:tr>
        <w:trPr>
          <w:trHeight w:val="223"/>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8,751,537</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585,776</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(103,721)</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(29,322)</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9,204,270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70,972,666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1,555,789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(693,206)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(128,915)</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7"/>
              </w:rPr>
              <w:t>71,706,334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1"/>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4"/>
        </w:trPr>
        <w:tc>
          <w:tcPr>
            <w:tcW w:w="3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61</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09"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u w:val="single" w:color="auto"/>
          <w:color w:val="auto"/>
        </w:rPr>
        <w:t>Held-to-Maturity Securities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5"/>
                <w:szCs w:val="15"/>
                <w:b w:val="1"/>
                <w:bCs w:val="1"/>
                <w:color w:val="auto"/>
              </w:rPr>
              <w:t>September 30, 2016</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87"/>
              </w:rPr>
              <w:t>Cost or</w:t>
            </w:r>
          </w:p>
        </w:tc>
        <w:tc>
          <w:tcPr>
            <w:tcW w:w="300" w:type="dxa"/>
            <w:vAlign w:val="bottom"/>
          </w:tcPr>
          <w:p>
            <w:pPr>
              <w:spacing w:after="0"/>
              <w:rPr>
                <w:sz w:val="24"/>
                <w:szCs w:val="24"/>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87"/>
              </w:rPr>
              <w:t>Gross</w:t>
            </w: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5"/>
                <w:szCs w:val="15"/>
                <w:b w:val="1"/>
                <w:bCs w:val="1"/>
                <w:color w:val="auto"/>
              </w:rPr>
              <w:t>Gross Unrealized Losses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 of</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ind w:right="158"/>
              <w:spacing w:after="0" w:line="149" w:lineRule="exact"/>
              <w:rPr>
                <w:sz w:val="20"/>
                <w:szCs w:val="20"/>
                <w:color w:val="auto"/>
              </w:rPr>
            </w:pPr>
            <w:r>
              <w:rPr>
                <w:rFonts w:ascii="Arial" w:cs="Arial" w:eastAsia="Arial" w:hAnsi="Arial"/>
                <w:sz w:val="15"/>
                <w:szCs w:val="15"/>
                <w:b w:val="1"/>
                <w:bCs w:val="1"/>
                <w:color w:val="auto"/>
                <w:w w:val="92"/>
              </w:rPr>
              <w:t>Amortized</w:t>
            </w:r>
          </w:p>
        </w:tc>
        <w:tc>
          <w:tcPr>
            <w:tcW w:w="300" w:type="dxa"/>
            <w:vAlign w:val="bottom"/>
          </w:tcPr>
          <w:p>
            <w:pPr>
              <w:spacing w:after="0"/>
              <w:rPr>
                <w:sz w:val="12"/>
                <w:szCs w:val="12"/>
                <w:color w:val="auto"/>
              </w:rPr>
            </w:pPr>
          </w:p>
        </w:tc>
        <w:tc>
          <w:tcPr>
            <w:tcW w:w="1080" w:type="dxa"/>
            <w:vAlign w:val="bottom"/>
          </w:tcPr>
          <w:p>
            <w:pPr>
              <w:jc w:val="center"/>
              <w:ind w:right="178"/>
              <w:spacing w:after="0" w:line="149" w:lineRule="exact"/>
              <w:rPr>
                <w:sz w:val="20"/>
                <w:szCs w:val="20"/>
                <w:color w:val="auto"/>
              </w:rPr>
            </w:pPr>
            <w:r>
              <w:rPr>
                <w:rFonts w:ascii="Arial" w:cs="Arial" w:eastAsia="Arial" w:hAnsi="Arial"/>
                <w:sz w:val="15"/>
                <w:szCs w:val="15"/>
                <w:b w:val="1"/>
                <w:bCs w:val="1"/>
                <w:color w:val="auto"/>
                <w:w w:val="92"/>
              </w:rPr>
              <w:t>Unrealized</w:t>
            </w:r>
          </w:p>
        </w:tc>
        <w:tc>
          <w:tcPr>
            <w:tcW w:w="260" w:type="dxa"/>
            <w:vAlign w:val="bottom"/>
          </w:tcPr>
          <w:p>
            <w:pPr>
              <w:spacing w:after="0"/>
              <w:rPr>
                <w:sz w:val="12"/>
                <w:szCs w:val="12"/>
                <w:color w:val="auto"/>
              </w:rPr>
            </w:pPr>
          </w:p>
        </w:tc>
        <w:tc>
          <w:tcPr>
            <w:tcW w:w="1140" w:type="dxa"/>
            <w:vAlign w:val="bottom"/>
          </w:tcPr>
          <w:p>
            <w:pPr>
              <w:jc w:val="center"/>
              <w:ind w:right="179"/>
              <w:spacing w:after="0" w:line="149" w:lineRule="exact"/>
              <w:rPr>
                <w:sz w:val="20"/>
                <w:szCs w:val="20"/>
                <w:color w:val="auto"/>
              </w:rPr>
            </w:pPr>
            <w:r>
              <w:rPr>
                <w:rFonts w:ascii="Arial" w:cs="Arial" w:eastAsia="Arial" w:hAnsi="Arial"/>
                <w:sz w:val="15"/>
                <w:szCs w:val="15"/>
                <w:b w:val="1"/>
                <w:bCs w:val="1"/>
                <w:color w:val="auto"/>
                <w:w w:val="87"/>
              </w:rPr>
              <w:t>Less than 12</w:t>
            </w:r>
          </w:p>
        </w:tc>
        <w:tc>
          <w:tcPr>
            <w:tcW w:w="220" w:type="dxa"/>
            <w:vAlign w:val="bottom"/>
          </w:tcPr>
          <w:p>
            <w:pPr>
              <w:spacing w:after="0"/>
              <w:rPr>
                <w:sz w:val="12"/>
                <w:szCs w:val="12"/>
                <w:color w:val="auto"/>
              </w:rPr>
            </w:pPr>
          </w:p>
        </w:tc>
        <w:tc>
          <w:tcPr>
            <w:tcW w:w="1120" w:type="dxa"/>
            <w:vAlign w:val="bottom"/>
          </w:tcPr>
          <w:p>
            <w:pPr>
              <w:jc w:val="center"/>
              <w:ind w:right="137"/>
              <w:spacing w:after="0" w:line="149" w:lineRule="exact"/>
              <w:rPr>
                <w:sz w:val="20"/>
                <w:szCs w:val="20"/>
                <w:color w:val="auto"/>
              </w:rPr>
            </w:pPr>
            <w:r>
              <w:rPr>
                <w:rFonts w:ascii="Arial" w:cs="Arial" w:eastAsia="Arial" w:hAnsi="Arial"/>
                <w:sz w:val="15"/>
                <w:szCs w:val="15"/>
                <w:b w:val="1"/>
                <w:bCs w:val="1"/>
                <w:color w:val="auto"/>
                <w:w w:val="92"/>
              </w:rPr>
              <w:t>More than 12</w:t>
            </w:r>
          </w:p>
        </w:tc>
        <w:tc>
          <w:tcPr>
            <w:tcW w:w="360" w:type="dxa"/>
            <w:vAlign w:val="bottom"/>
          </w:tcPr>
          <w:p>
            <w:pPr>
              <w:spacing w:after="0"/>
              <w:rPr>
                <w:sz w:val="12"/>
                <w:szCs w:val="12"/>
                <w:color w:val="auto"/>
              </w:rPr>
            </w:pPr>
          </w:p>
        </w:tc>
        <w:tc>
          <w:tcPr>
            <w:tcW w:w="1180" w:type="dxa"/>
            <w:vAlign w:val="bottom"/>
          </w:tcPr>
          <w:p>
            <w:pPr>
              <w:jc w:val="center"/>
              <w:ind w:right="437"/>
              <w:spacing w:after="0" w:line="149" w:lineRule="exact"/>
              <w:rPr>
                <w:sz w:val="20"/>
                <w:szCs w:val="20"/>
                <w:color w:val="auto"/>
              </w:rPr>
            </w:pPr>
            <w:r>
              <w:rPr>
                <w:rFonts w:ascii="Arial" w:cs="Arial" w:eastAsia="Arial" w:hAnsi="Arial"/>
                <w:sz w:val="15"/>
                <w:szCs w:val="15"/>
                <w:b w:val="1"/>
                <w:bCs w:val="1"/>
                <w:color w:val="auto"/>
                <w:w w:val="94"/>
              </w:rPr>
              <w:t>Fair</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82"/>
        </w:trPr>
        <w:tc>
          <w:tcPr>
            <w:tcW w:w="3200" w:type="dxa"/>
            <w:vAlign w:val="bottom"/>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300" w:type="dxa"/>
            <w:vAlign w:val="bottom"/>
          </w:tcPr>
          <w:p>
            <w:pPr>
              <w:spacing w:after="0"/>
              <w:rPr>
                <w:sz w:val="15"/>
                <w:szCs w:val="15"/>
                <w:color w:val="auto"/>
              </w:rPr>
            </w:pPr>
          </w:p>
        </w:tc>
        <w:tc>
          <w:tcPr>
            <w:tcW w:w="1080" w:type="dxa"/>
            <w:vAlign w:val="bottom"/>
          </w:tcPr>
          <w:p>
            <w:pPr>
              <w:jc w:val="center"/>
              <w:ind w:right="158"/>
              <w:spacing w:after="0"/>
              <w:rPr>
                <w:sz w:val="20"/>
                <w:szCs w:val="20"/>
                <w:color w:val="auto"/>
              </w:rPr>
            </w:pPr>
            <w:r>
              <w:rPr>
                <w:rFonts w:ascii="Arial" w:cs="Arial" w:eastAsia="Arial" w:hAnsi="Arial"/>
                <w:sz w:val="15"/>
                <w:szCs w:val="15"/>
                <w:b w:val="1"/>
                <w:bCs w:val="1"/>
                <w:color w:val="auto"/>
                <w:w w:val="85"/>
              </w:rPr>
              <w:t>Cos</w:t>
            </w:r>
            <w:r>
              <w:rPr>
                <w:rFonts w:ascii="Arial" w:cs="Arial" w:eastAsia="Arial" w:hAnsi="Arial"/>
                <w:sz w:val="15"/>
                <w:szCs w:val="15"/>
                <w:color w:val="auto"/>
                <w:w w:val="85"/>
              </w:rPr>
              <w:t>t</w:t>
            </w:r>
          </w:p>
        </w:tc>
        <w:tc>
          <w:tcPr>
            <w:tcW w:w="300" w:type="dxa"/>
            <w:vAlign w:val="bottom"/>
          </w:tcPr>
          <w:p>
            <w:pPr>
              <w:spacing w:after="0"/>
              <w:rPr>
                <w:sz w:val="15"/>
                <w:szCs w:val="15"/>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91"/>
              </w:rPr>
              <w:t>Gains</w:t>
            </w:r>
          </w:p>
        </w:tc>
        <w:tc>
          <w:tcPr>
            <w:tcW w:w="260" w:type="dxa"/>
            <w:vAlign w:val="bottom"/>
          </w:tcPr>
          <w:p>
            <w:pPr>
              <w:spacing w:after="0"/>
              <w:rPr>
                <w:sz w:val="15"/>
                <w:szCs w:val="15"/>
                <w:color w:val="auto"/>
              </w:rPr>
            </w:pPr>
          </w:p>
        </w:tc>
        <w:tc>
          <w:tcPr>
            <w:tcW w:w="1140" w:type="dxa"/>
            <w:vAlign w:val="bottom"/>
          </w:tcPr>
          <w:p>
            <w:pPr>
              <w:jc w:val="center"/>
              <w:ind w:right="179"/>
              <w:spacing w:after="0"/>
              <w:rPr>
                <w:sz w:val="20"/>
                <w:szCs w:val="20"/>
                <w:color w:val="auto"/>
              </w:rPr>
            </w:pPr>
            <w:r>
              <w:rPr>
                <w:rFonts w:ascii="Arial" w:cs="Arial" w:eastAsia="Arial" w:hAnsi="Arial"/>
                <w:sz w:val="15"/>
                <w:szCs w:val="15"/>
                <w:b w:val="1"/>
                <w:bCs w:val="1"/>
                <w:color w:val="auto"/>
                <w:w w:val="89"/>
              </w:rPr>
              <w:t>Months</w:t>
            </w:r>
          </w:p>
        </w:tc>
        <w:tc>
          <w:tcPr>
            <w:tcW w:w="220" w:type="dxa"/>
            <w:vAlign w:val="bottom"/>
          </w:tcPr>
          <w:p>
            <w:pPr>
              <w:spacing w:after="0"/>
              <w:rPr>
                <w:sz w:val="15"/>
                <w:szCs w:val="15"/>
                <w:color w:val="auto"/>
              </w:rPr>
            </w:pPr>
          </w:p>
        </w:tc>
        <w:tc>
          <w:tcPr>
            <w:tcW w:w="1120" w:type="dxa"/>
            <w:vAlign w:val="bottom"/>
          </w:tcPr>
          <w:p>
            <w:pPr>
              <w:jc w:val="center"/>
              <w:ind w:right="137"/>
              <w:spacing w:after="0"/>
              <w:rPr>
                <w:sz w:val="20"/>
                <w:szCs w:val="20"/>
                <w:color w:val="auto"/>
              </w:rPr>
            </w:pPr>
            <w:r>
              <w:rPr>
                <w:rFonts w:ascii="Arial" w:cs="Arial" w:eastAsia="Arial" w:hAnsi="Arial"/>
                <w:sz w:val="15"/>
                <w:szCs w:val="15"/>
                <w:b w:val="1"/>
                <w:bCs w:val="1"/>
                <w:color w:val="auto"/>
                <w:w w:val="93"/>
              </w:rPr>
              <w:t>Months</w:t>
            </w:r>
          </w:p>
        </w:tc>
        <w:tc>
          <w:tcPr>
            <w:tcW w:w="360" w:type="dxa"/>
            <w:vAlign w:val="bottom"/>
          </w:tcPr>
          <w:p>
            <w:pPr>
              <w:spacing w:after="0"/>
              <w:rPr>
                <w:sz w:val="15"/>
                <w:szCs w:val="15"/>
                <w:color w:val="auto"/>
              </w:rPr>
            </w:pPr>
          </w:p>
        </w:tc>
        <w:tc>
          <w:tcPr>
            <w:tcW w:w="1180" w:type="dxa"/>
            <w:vAlign w:val="bottom"/>
          </w:tcPr>
          <w:p>
            <w:pPr>
              <w:jc w:val="center"/>
              <w:ind w:right="417"/>
              <w:spacing w:after="0"/>
              <w:rPr>
                <w:sz w:val="20"/>
                <w:szCs w:val="20"/>
                <w:color w:val="auto"/>
              </w:rPr>
            </w:pPr>
            <w:r>
              <w:rPr>
                <w:rFonts w:ascii="Arial" w:cs="Arial" w:eastAsia="Arial" w:hAnsi="Arial"/>
                <w:sz w:val="15"/>
                <w:szCs w:val="15"/>
                <w:b w:val="1"/>
                <w:bCs w:val="1"/>
                <w:color w:val="auto"/>
                <w:w w:val="89"/>
              </w:rPr>
              <w:t>Value</w:t>
            </w: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216"/>
        </w:trPr>
        <w:tc>
          <w:tcPr>
            <w:tcW w:w="3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U.S. Treasury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606,417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147,622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7"/>
              <w:spacing w:after="0"/>
              <w:rPr>
                <w:sz w:val="20"/>
                <w:szCs w:val="20"/>
                <w:color w:val="auto"/>
              </w:rPr>
            </w:pPr>
            <w:r>
              <w:rPr>
                <w:rFonts w:ascii="Arial" w:cs="Arial" w:eastAsia="Arial" w:hAnsi="Arial"/>
                <w:sz w:val="18"/>
                <w:szCs w:val="18"/>
                <w:color w:val="auto"/>
              </w:rPr>
              <w:t>754,039</w:t>
            </w:r>
          </w:p>
        </w:tc>
        <w:tc>
          <w:tcPr>
            <w:tcW w:w="118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Political subdivisions of States,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Territories and Possessions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1,349,988</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101,599</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1,451,587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 bonds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60"/>
              <w:spacing w:after="0"/>
              <w:rPr>
                <w:sz w:val="20"/>
                <w:szCs w:val="20"/>
                <w:color w:val="auto"/>
              </w:rPr>
            </w:pPr>
            <w:r>
              <w:rPr>
                <w:rFonts w:ascii="Arial" w:cs="Arial" w:eastAsia="Arial" w:hAnsi="Arial"/>
                <w:sz w:val="18"/>
                <w:szCs w:val="18"/>
                <w:color w:val="auto"/>
              </w:rPr>
              <w:t>Industrial and miscellaneous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3,138,050</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170,747</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(31,688)</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3,277,109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5,094,455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419,968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(31,688)</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5,482,735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3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697"/>
              <w:spacing w:after="0"/>
              <w:rPr>
                <w:sz w:val="20"/>
                <w:szCs w:val="20"/>
                <w:color w:val="auto"/>
              </w:rPr>
            </w:pPr>
            <w:r>
              <w:rPr>
                <w:rFonts w:ascii="Arial" w:cs="Arial" w:eastAsia="Arial" w:hAnsi="Arial"/>
                <w:sz w:val="15"/>
                <w:szCs w:val="15"/>
                <w:b w:val="1"/>
                <w:bCs w:val="1"/>
                <w:color w:val="auto"/>
              </w:rPr>
              <w:t>December 31, 2015</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87"/>
              </w:rPr>
              <w:t>Cost or</w:t>
            </w:r>
          </w:p>
        </w:tc>
        <w:tc>
          <w:tcPr>
            <w:tcW w:w="300" w:type="dxa"/>
            <w:vAlign w:val="bottom"/>
          </w:tcPr>
          <w:p>
            <w:pPr>
              <w:spacing w:after="0"/>
              <w:rPr>
                <w:sz w:val="24"/>
                <w:szCs w:val="24"/>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87"/>
              </w:rPr>
              <w:t>Gross</w:t>
            </w: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5"/>
                <w:szCs w:val="15"/>
                <w:b w:val="1"/>
                <w:bCs w:val="1"/>
                <w:color w:val="auto"/>
              </w:rPr>
              <w:t>Gross Unrealized Losses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 of</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ind w:right="158"/>
              <w:spacing w:after="0" w:line="149" w:lineRule="exact"/>
              <w:rPr>
                <w:sz w:val="20"/>
                <w:szCs w:val="20"/>
                <w:color w:val="auto"/>
              </w:rPr>
            </w:pPr>
            <w:r>
              <w:rPr>
                <w:rFonts w:ascii="Arial" w:cs="Arial" w:eastAsia="Arial" w:hAnsi="Arial"/>
                <w:sz w:val="15"/>
                <w:szCs w:val="15"/>
                <w:b w:val="1"/>
                <w:bCs w:val="1"/>
                <w:color w:val="auto"/>
                <w:w w:val="92"/>
              </w:rPr>
              <w:t>Amortized</w:t>
            </w:r>
          </w:p>
        </w:tc>
        <w:tc>
          <w:tcPr>
            <w:tcW w:w="300" w:type="dxa"/>
            <w:vAlign w:val="bottom"/>
          </w:tcPr>
          <w:p>
            <w:pPr>
              <w:spacing w:after="0"/>
              <w:rPr>
                <w:sz w:val="12"/>
                <w:szCs w:val="12"/>
                <w:color w:val="auto"/>
              </w:rPr>
            </w:pPr>
          </w:p>
        </w:tc>
        <w:tc>
          <w:tcPr>
            <w:tcW w:w="1080" w:type="dxa"/>
            <w:vAlign w:val="bottom"/>
          </w:tcPr>
          <w:p>
            <w:pPr>
              <w:jc w:val="center"/>
              <w:ind w:right="178"/>
              <w:spacing w:after="0" w:line="149" w:lineRule="exact"/>
              <w:rPr>
                <w:sz w:val="20"/>
                <w:szCs w:val="20"/>
                <w:color w:val="auto"/>
              </w:rPr>
            </w:pPr>
            <w:r>
              <w:rPr>
                <w:rFonts w:ascii="Arial" w:cs="Arial" w:eastAsia="Arial" w:hAnsi="Arial"/>
                <w:sz w:val="15"/>
                <w:szCs w:val="15"/>
                <w:b w:val="1"/>
                <w:bCs w:val="1"/>
                <w:color w:val="auto"/>
                <w:w w:val="92"/>
              </w:rPr>
              <w:t>Unrealized</w:t>
            </w:r>
          </w:p>
        </w:tc>
        <w:tc>
          <w:tcPr>
            <w:tcW w:w="260" w:type="dxa"/>
            <w:vAlign w:val="bottom"/>
          </w:tcPr>
          <w:p>
            <w:pPr>
              <w:spacing w:after="0"/>
              <w:rPr>
                <w:sz w:val="12"/>
                <w:szCs w:val="12"/>
                <w:color w:val="auto"/>
              </w:rPr>
            </w:pPr>
          </w:p>
        </w:tc>
        <w:tc>
          <w:tcPr>
            <w:tcW w:w="1140" w:type="dxa"/>
            <w:vAlign w:val="bottom"/>
          </w:tcPr>
          <w:p>
            <w:pPr>
              <w:jc w:val="center"/>
              <w:ind w:right="179"/>
              <w:spacing w:after="0" w:line="149" w:lineRule="exact"/>
              <w:rPr>
                <w:sz w:val="20"/>
                <w:szCs w:val="20"/>
                <w:color w:val="auto"/>
              </w:rPr>
            </w:pPr>
            <w:r>
              <w:rPr>
                <w:rFonts w:ascii="Arial" w:cs="Arial" w:eastAsia="Arial" w:hAnsi="Arial"/>
                <w:sz w:val="15"/>
                <w:szCs w:val="15"/>
                <w:b w:val="1"/>
                <w:bCs w:val="1"/>
                <w:color w:val="auto"/>
                <w:w w:val="87"/>
              </w:rPr>
              <w:t>Less than 12</w:t>
            </w:r>
          </w:p>
        </w:tc>
        <w:tc>
          <w:tcPr>
            <w:tcW w:w="220" w:type="dxa"/>
            <w:vAlign w:val="bottom"/>
          </w:tcPr>
          <w:p>
            <w:pPr>
              <w:spacing w:after="0"/>
              <w:rPr>
                <w:sz w:val="12"/>
                <w:szCs w:val="12"/>
                <w:color w:val="auto"/>
              </w:rPr>
            </w:pPr>
          </w:p>
        </w:tc>
        <w:tc>
          <w:tcPr>
            <w:tcW w:w="1120" w:type="dxa"/>
            <w:vAlign w:val="bottom"/>
          </w:tcPr>
          <w:p>
            <w:pPr>
              <w:jc w:val="center"/>
              <w:ind w:right="137"/>
              <w:spacing w:after="0" w:line="149" w:lineRule="exact"/>
              <w:rPr>
                <w:sz w:val="20"/>
                <w:szCs w:val="20"/>
                <w:color w:val="auto"/>
              </w:rPr>
            </w:pPr>
            <w:r>
              <w:rPr>
                <w:rFonts w:ascii="Arial" w:cs="Arial" w:eastAsia="Arial" w:hAnsi="Arial"/>
                <w:sz w:val="15"/>
                <w:szCs w:val="15"/>
                <w:b w:val="1"/>
                <w:bCs w:val="1"/>
                <w:color w:val="auto"/>
                <w:w w:val="92"/>
              </w:rPr>
              <w:t>More than 12</w:t>
            </w:r>
          </w:p>
        </w:tc>
        <w:tc>
          <w:tcPr>
            <w:tcW w:w="360" w:type="dxa"/>
            <w:vAlign w:val="bottom"/>
          </w:tcPr>
          <w:p>
            <w:pPr>
              <w:spacing w:after="0"/>
              <w:rPr>
                <w:sz w:val="12"/>
                <w:szCs w:val="12"/>
                <w:color w:val="auto"/>
              </w:rPr>
            </w:pPr>
          </w:p>
        </w:tc>
        <w:tc>
          <w:tcPr>
            <w:tcW w:w="1180" w:type="dxa"/>
            <w:vAlign w:val="bottom"/>
          </w:tcPr>
          <w:p>
            <w:pPr>
              <w:jc w:val="center"/>
              <w:ind w:right="437"/>
              <w:spacing w:after="0" w:line="149" w:lineRule="exact"/>
              <w:rPr>
                <w:sz w:val="20"/>
                <w:szCs w:val="20"/>
                <w:color w:val="auto"/>
              </w:rPr>
            </w:pPr>
            <w:r>
              <w:rPr>
                <w:rFonts w:ascii="Arial" w:cs="Arial" w:eastAsia="Arial" w:hAnsi="Arial"/>
                <w:sz w:val="15"/>
                <w:szCs w:val="15"/>
                <w:b w:val="1"/>
                <w:bCs w:val="1"/>
                <w:color w:val="auto"/>
                <w:w w:val="94"/>
              </w:rPr>
              <w:t>Fair</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82"/>
        </w:trPr>
        <w:tc>
          <w:tcPr>
            <w:tcW w:w="3200" w:type="dxa"/>
            <w:vAlign w:val="bottom"/>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300" w:type="dxa"/>
            <w:vAlign w:val="bottom"/>
          </w:tcPr>
          <w:p>
            <w:pPr>
              <w:spacing w:after="0"/>
              <w:rPr>
                <w:sz w:val="15"/>
                <w:szCs w:val="15"/>
                <w:color w:val="auto"/>
              </w:rPr>
            </w:pPr>
          </w:p>
        </w:tc>
        <w:tc>
          <w:tcPr>
            <w:tcW w:w="1080" w:type="dxa"/>
            <w:vAlign w:val="bottom"/>
          </w:tcPr>
          <w:p>
            <w:pPr>
              <w:jc w:val="center"/>
              <w:ind w:right="158"/>
              <w:spacing w:after="0"/>
              <w:rPr>
                <w:sz w:val="20"/>
                <w:szCs w:val="20"/>
                <w:color w:val="auto"/>
              </w:rPr>
            </w:pPr>
            <w:r>
              <w:rPr>
                <w:rFonts w:ascii="Arial" w:cs="Arial" w:eastAsia="Arial" w:hAnsi="Arial"/>
                <w:sz w:val="15"/>
                <w:szCs w:val="15"/>
                <w:b w:val="1"/>
                <w:bCs w:val="1"/>
                <w:color w:val="auto"/>
                <w:w w:val="85"/>
              </w:rPr>
              <w:t>Cos</w:t>
            </w:r>
            <w:r>
              <w:rPr>
                <w:rFonts w:ascii="Arial" w:cs="Arial" w:eastAsia="Arial" w:hAnsi="Arial"/>
                <w:sz w:val="15"/>
                <w:szCs w:val="15"/>
                <w:color w:val="auto"/>
                <w:w w:val="85"/>
              </w:rPr>
              <w:t>t</w:t>
            </w:r>
          </w:p>
        </w:tc>
        <w:tc>
          <w:tcPr>
            <w:tcW w:w="300" w:type="dxa"/>
            <w:vAlign w:val="bottom"/>
          </w:tcPr>
          <w:p>
            <w:pPr>
              <w:spacing w:after="0"/>
              <w:rPr>
                <w:sz w:val="15"/>
                <w:szCs w:val="15"/>
                <w:color w:val="auto"/>
              </w:rPr>
            </w:pPr>
          </w:p>
        </w:tc>
        <w:tc>
          <w:tcPr>
            <w:tcW w:w="1080" w:type="dxa"/>
            <w:vAlign w:val="bottom"/>
          </w:tcPr>
          <w:p>
            <w:pPr>
              <w:jc w:val="center"/>
              <w:ind w:right="178"/>
              <w:spacing w:after="0"/>
              <w:rPr>
                <w:sz w:val="20"/>
                <w:szCs w:val="20"/>
                <w:color w:val="auto"/>
              </w:rPr>
            </w:pPr>
            <w:r>
              <w:rPr>
                <w:rFonts w:ascii="Arial" w:cs="Arial" w:eastAsia="Arial" w:hAnsi="Arial"/>
                <w:sz w:val="15"/>
                <w:szCs w:val="15"/>
                <w:b w:val="1"/>
                <w:bCs w:val="1"/>
                <w:color w:val="auto"/>
                <w:w w:val="91"/>
              </w:rPr>
              <w:t>Gains</w:t>
            </w:r>
          </w:p>
        </w:tc>
        <w:tc>
          <w:tcPr>
            <w:tcW w:w="260" w:type="dxa"/>
            <w:vAlign w:val="bottom"/>
          </w:tcPr>
          <w:p>
            <w:pPr>
              <w:spacing w:after="0"/>
              <w:rPr>
                <w:sz w:val="15"/>
                <w:szCs w:val="15"/>
                <w:color w:val="auto"/>
              </w:rPr>
            </w:pPr>
          </w:p>
        </w:tc>
        <w:tc>
          <w:tcPr>
            <w:tcW w:w="1140" w:type="dxa"/>
            <w:vAlign w:val="bottom"/>
          </w:tcPr>
          <w:p>
            <w:pPr>
              <w:jc w:val="center"/>
              <w:ind w:right="179"/>
              <w:spacing w:after="0"/>
              <w:rPr>
                <w:sz w:val="20"/>
                <w:szCs w:val="20"/>
                <w:color w:val="auto"/>
              </w:rPr>
            </w:pPr>
            <w:r>
              <w:rPr>
                <w:rFonts w:ascii="Arial" w:cs="Arial" w:eastAsia="Arial" w:hAnsi="Arial"/>
                <w:sz w:val="15"/>
                <w:szCs w:val="15"/>
                <w:b w:val="1"/>
                <w:bCs w:val="1"/>
                <w:color w:val="auto"/>
                <w:w w:val="89"/>
              </w:rPr>
              <w:t>Months</w:t>
            </w:r>
          </w:p>
        </w:tc>
        <w:tc>
          <w:tcPr>
            <w:tcW w:w="220" w:type="dxa"/>
            <w:vAlign w:val="bottom"/>
          </w:tcPr>
          <w:p>
            <w:pPr>
              <w:spacing w:after="0"/>
              <w:rPr>
                <w:sz w:val="15"/>
                <w:szCs w:val="15"/>
                <w:color w:val="auto"/>
              </w:rPr>
            </w:pPr>
          </w:p>
        </w:tc>
        <w:tc>
          <w:tcPr>
            <w:tcW w:w="1120" w:type="dxa"/>
            <w:vAlign w:val="bottom"/>
          </w:tcPr>
          <w:p>
            <w:pPr>
              <w:jc w:val="center"/>
              <w:ind w:right="137"/>
              <w:spacing w:after="0"/>
              <w:rPr>
                <w:sz w:val="20"/>
                <w:szCs w:val="20"/>
                <w:color w:val="auto"/>
              </w:rPr>
            </w:pPr>
            <w:r>
              <w:rPr>
                <w:rFonts w:ascii="Arial" w:cs="Arial" w:eastAsia="Arial" w:hAnsi="Arial"/>
                <w:sz w:val="15"/>
                <w:szCs w:val="15"/>
                <w:b w:val="1"/>
                <w:bCs w:val="1"/>
                <w:color w:val="auto"/>
                <w:w w:val="93"/>
              </w:rPr>
              <w:t>Months</w:t>
            </w:r>
          </w:p>
        </w:tc>
        <w:tc>
          <w:tcPr>
            <w:tcW w:w="360" w:type="dxa"/>
            <w:vAlign w:val="bottom"/>
          </w:tcPr>
          <w:p>
            <w:pPr>
              <w:spacing w:after="0"/>
              <w:rPr>
                <w:sz w:val="15"/>
                <w:szCs w:val="15"/>
                <w:color w:val="auto"/>
              </w:rPr>
            </w:pPr>
          </w:p>
        </w:tc>
        <w:tc>
          <w:tcPr>
            <w:tcW w:w="1180" w:type="dxa"/>
            <w:vAlign w:val="bottom"/>
          </w:tcPr>
          <w:p>
            <w:pPr>
              <w:jc w:val="center"/>
              <w:ind w:right="417"/>
              <w:spacing w:after="0"/>
              <w:rPr>
                <w:sz w:val="20"/>
                <w:szCs w:val="20"/>
                <w:color w:val="auto"/>
              </w:rPr>
            </w:pPr>
            <w:r>
              <w:rPr>
                <w:rFonts w:ascii="Arial" w:cs="Arial" w:eastAsia="Arial" w:hAnsi="Arial"/>
                <w:sz w:val="15"/>
                <w:szCs w:val="15"/>
                <w:b w:val="1"/>
                <w:bCs w:val="1"/>
                <w:color w:val="auto"/>
                <w:w w:val="89"/>
              </w:rPr>
              <w:t>Value</w:t>
            </w: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216"/>
        </w:trPr>
        <w:tc>
          <w:tcPr>
            <w:tcW w:w="3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U.S. Treasury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606,389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147,650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7"/>
              <w:spacing w:after="0"/>
              <w:rPr>
                <w:sz w:val="20"/>
                <w:szCs w:val="20"/>
                <w:color w:val="auto"/>
              </w:rPr>
            </w:pPr>
            <w:r>
              <w:rPr>
                <w:rFonts w:ascii="Arial" w:cs="Arial" w:eastAsia="Arial" w:hAnsi="Arial"/>
                <w:sz w:val="18"/>
                <w:szCs w:val="18"/>
                <w:color w:val="auto"/>
              </w:rPr>
              <w:t>754,039</w:t>
            </w: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60"/>
              <w:spacing w:after="0"/>
              <w:rPr>
                <w:sz w:val="20"/>
                <w:szCs w:val="20"/>
                <w:color w:val="auto"/>
              </w:rPr>
            </w:pPr>
            <w:r>
              <w:rPr>
                <w:rFonts w:ascii="Arial" w:cs="Arial" w:eastAsia="Arial" w:hAnsi="Arial"/>
                <w:sz w:val="18"/>
                <w:szCs w:val="18"/>
                <w:color w:val="auto"/>
              </w:rPr>
              <w:t>Political subdivisions of States,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Territories and Possessions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1,417,679</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70,284</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(54,189)</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1,433,774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and other bonds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60"/>
              <w:spacing w:after="0"/>
              <w:rPr>
                <w:sz w:val="20"/>
                <w:szCs w:val="20"/>
                <w:color w:val="auto"/>
              </w:rPr>
            </w:pPr>
            <w:r>
              <w:rPr>
                <w:rFonts w:ascii="Arial" w:cs="Arial" w:eastAsia="Arial" w:hAnsi="Arial"/>
                <w:sz w:val="18"/>
                <w:szCs w:val="18"/>
                <w:color w:val="auto"/>
              </w:rPr>
              <w:t>Industrial and miscellaneous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3,114,804</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82,265</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(17,980)</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(125,807)</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3,053,282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5,138,872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300,199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(17,980)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(179,996)</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5,241,095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U.S. Treasury securities included in held-to-maturity securities are held in trust pursuant to the New York State Department of Financial Services’ minimum funds requirement.</w:t>
      </w:r>
    </w:p>
    <w:p>
      <w:pPr>
        <w:spacing w:after="0" w:line="21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 summary of the amortized cost and fair value of the Company’s investments in held-to-maturity securities by contractual maturity as of September 30, 2016 and December 31, 2015 is shown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5"/>
                <w:szCs w:val="15"/>
                <w:b w:val="1"/>
                <w:bCs w:val="1"/>
                <w:color w:val="auto"/>
              </w:rPr>
              <w:t>September 30, 2016</w:t>
            </w:r>
          </w:p>
        </w:tc>
        <w:tc>
          <w:tcPr>
            <w:tcW w:w="2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5"/>
                <w:szCs w:val="15"/>
                <w:b w:val="1"/>
                <w:bCs w:val="1"/>
                <w:color w:val="auto"/>
              </w:rPr>
              <w:t>December 31, 2015</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57"/>
              <w:spacing w:after="0" w:line="149" w:lineRule="exact"/>
              <w:rPr>
                <w:sz w:val="20"/>
                <w:szCs w:val="20"/>
                <w:color w:val="auto"/>
              </w:rPr>
            </w:pPr>
            <w:r>
              <w:rPr>
                <w:rFonts w:ascii="Arial" w:cs="Arial" w:eastAsia="Arial" w:hAnsi="Arial"/>
                <w:sz w:val="15"/>
                <w:szCs w:val="15"/>
                <w:b w:val="1"/>
                <w:bCs w:val="1"/>
                <w:color w:val="auto"/>
                <w:w w:val="98"/>
              </w:rPr>
              <w:t>Amortized</w:t>
            </w: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57"/>
              <w:spacing w:after="0" w:line="149" w:lineRule="exact"/>
              <w:rPr>
                <w:sz w:val="20"/>
                <w:szCs w:val="20"/>
                <w:color w:val="auto"/>
              </w:rPr>
            </w:pPr>
            <w:r>
              <w:rPr>
                <w:rFonts w:ascii="Arial" w:cs="Arial" w:eastAsia="Arial" w:hAnsi="Arial"/>
                <w:sz w:val="15"/>
                <w:szCs w:val="15"/>
                <w:b w:val="1"/>
                <w:bCs w:val="1"/>
                <w:color w:val="auto"/>
                <w:w w:val="98"/>
              </w:rPr>
              <w:t>Amortized</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Remaining Time to Maturit</w:t>
            </w:r>
            <w:r>
              <w:rPr>
                <w:rFonts w:ascii="Arial" w:cs="Arial" w:eastAsia="Arial" w:hAnsi="Arial"/>
                <w:sz w:val="15"/>
                <w:szCs w:val="15"/>
                <w:color w:val="auto"/>
              </w:rPr>
              <w:t>y</w:t>
            </w:r>
          </w:p>
        </w:tc>
        <w:tc>
          <w:tcPr>
            <w:tcW w:w="2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Cost</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5"/>
                <w:szCs w:val="15"/>
                <w:b w:val="1"/>
                <w:bCs w:val="1"/>
                <w:color w:val="auto"/>
                <w:w w:val="97"/>
              </w:rPr>
              <w:t>Fair Value</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Cost</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4"/>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60"/>
              <w:spacing w:after="0"/>
              <w:rPr>
                <w:sz w:val="20"/>
                <w:szCs w:val="20"/>
                <w:color w:val="auto"/>
              </w:rPr>
            </w:pPr>
            <w:r>
              <w:rPr>
                <w:rFonts w:ascii="Arial" w:cs="Arial" w:eastAsia="Arial" w:hAnsi="Arial"/>
                <w:sz w:val="18"/>
                <w:szCs w:val="18"/>
                <w:color w:val="auto"/>
              </w:rPr>
              <w:t>Less than one year</w:t>
            </w:r>
          </w:p>
        </w:tc>
        <w:tc>
          <w:tcPr>
            <w:tcW w:w="2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One to five years</w:t>
            </w:r>
          </w:p>
        </w:tc>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650,000</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658,165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500,000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496,245</w:t>
            </w:r>
          </w:p>
        </w:tc>
        <w:tc>
          <w:tcPr>
            <w:tcW w:w="0" w:type="dxa"/>
            <w:vAlign w:val="bottom"/>
          </w:tcPr>
          <w:p>
            <w:pPr>
              <w:spacing w:after="0"/>
              <w:rPr>
                <w:sz w:val="1"/>
                <w:szCs w:val="1"/>
                <w:color w:val="auto"/>
              </w:rPr>
            </w:pPr>
          </w:p>
        </w:tc>
      </w:tr>
      <w:tr>
        <w:trPr>
          <w:trHeight w:val="216"/>
        </w:trPr>
        <w:tc>
          <w:tcPr>
            <w:tcW w:w="3760" w:type="dxa"/>
            <w:vAlign w:val="bottom"/>
          </w:tcPr>
          <w:p>
            <w:pPr>
              <w:ind w:left="60"/>
              <w:spacing w:after="0"/>
              <w:rPr>
                <w:sz w:val="20"/>
                <w:szCs w:val="20"/>
                <w:color w:val="auto"/>
              </w:rPr>
            </w:pPr>
            <w:r>
              <w:rPr>
                <w:rFonts w:ascii="Arial" w:cs="Arial" w:eastAsia="Arial" w:hAnsi="Arial"/>
                <w:sz w:val="18"/>
                <w:szCs w:val="18"/>
                <w:color w:val="auto"/>
              </w:rPr>
              <w:t>Five to ten years</w:t>
            </w:r>
          </w:p>
        </w:tc>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3,838,038</w:t>
            </w:r>
          </w:p>
        </w:tc>
        <w:tc>
          <w:tcPr>
            <w:tcW w:w="30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4,070,530</w:t>
            </w:r>
          </w:p>
        </w:tc>
        <w:tc>
          <w:tcPr>
            <w:tcW w:w="28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4,032,483</w:t>
            </w:r>
          </w:p>
        </w:tc>
        <w:tc>
          <w:tcPr>
            <w:tcW w:w="28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3,990,811</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More than 10 years</w:t>
            </w:r>
          </w:p>
        </w:tc>
        <w:tc>
          <w:tcPr>
            <w:tcW w:w="2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606,417</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754,040</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606,389</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754,039</w:t>
            </w:r>
          </w:p>
        </w:tc>
        <w:tc>
          <w:tcPr>
            <w:tcW w:w="0" w:type="dxa"/>
            <w:vAlign w:val="bottom"/>
          </w:tcPr>
          <w:p>
            <w:pPr>
              <w:spacing w:after="0"/>
              <w:rPr>
                <w:sz w:val="1"/>
                <w:szCs w:val="1"/>
                <w:color w:val="auto"/>
              </w:rPr>
            </w:pPr>
          </w:p>
        </w:tc>
      </w:tr>
      <w:tr>
        <w:trPr>
          <w:trHeight w:val="216"/>
        </w:trPr>
        <w:tc>
          <w:tcPr>
            <w:tcW w:w="3760" w:type="dxa"/>
            <w:vAlign w:val="bottom"/>
          </w:tcPr>
          <w:p>
            <w:pPr>
              <w:ind w:left="40"/>
              <w:spacing w:after="0"/>
              <w:rPr>
                <w:sz w:val="20"/>
                <w:szCs w:val="20"/>
                <w:color w:val="auto"/>
              </w:rPr>
            </w:pPr>
            <w:r>
              <w:rPr>
                <w:rFonts w:ascii="Arial" w:cs="Arial" w:eastAsia="Arial" w:hAnsi="Arial"/>
                <w:sz w:val="18"/>
                <w:szCs w:val="18"/>
                <w:color w:val="auto"/>
              </w:rPr>
              <w:t>Total</w:t>
            </w:r>
          </w:p>
        </w:tc>
        <w:tc>
          <w:tcPr>
            <w:tcW w:w="2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5,094,455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5,482,735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5,138,872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5,241,095</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2200" w:type="dxa"/>
            <w:vAlign w:val="bottom"/>
            <w:vMerge w:val="restart"/>
          </w:tcPr>
          <w:p>
            <w:pPr>
              <w:jc w:val="right"/>
              <w:ind w:right="72"/>
              <w:spacing w:after="0"/>
              <w:rPr>
                <w:sz w:val="20"/>
                <w:szCs w:val="20"/>
                <w:color w:val="auto"/>
              </w:rPr>
            </w:pPr>
            <w:r>
              <w:rPr>
                <w:rFonts w:ascii="Arial" w:cs="Arial" w:eastAsia="Arial" w:hAnsi="Arial"/>
                <w:sz w:val="18"/>
                <w:szCs w:val="18"/>
                <w:color w:val="auto"/>
              </w:rPr>
              <w:t>62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7"/>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9"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b w:val="1"/>
          <w:bCs w:val="1"/>
          <w:i w:val="1"/>
          <w:iCs w:val="1"/>
          <w:color w:val="auto"/>
        </w:rPr>
        <w:t>Credit Rating of Fixed-Maturity Securities</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table below summarizes the credit quality of our available-for-sale fixed-maturity securities as of September 30, 2016 and December 31, 2015 as rated by Standard &amp; Poor’s (or, if unavailable from Standard &amp; Poor’s, then Moody’s or Fitch):</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2"/>
          </w:tcPr>
          <w:p>
            <w:pPr>
              <w:jc w:val="right"/>
              <w:ind w:right="735"/>
              <w:spacing w:after="0"/>
              <w:rPr>
                <w:sz w:val="20"/>
                <w:szCs w:val="20"/>
                <w:color w:val="auto"/>
              </w:rPr>
            </w:pPr>
            <w:r>
              <w:rPr>
                <w:rFonts w:ascii="Arial" w:cs="Arial" w:eastAsia="Arial" w:hAnsi="Arial"/>
                <w:sz w:val="15"/>
                <w:szCs w:val="15"/>
                <w:b w:val="1"/>
                <w:bCs w:val="1"/>
                <w:color w:val="auto"/>
              </w:rPr>
              <w:t>September 30, 2016</w:t>
            </w:r>
          </w:p>
        </w:tc>
        <w:tc>
          <w:tcPr>
            <w:tcW w:w="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2"/>
          </w:tcPr>
          <w:p>
            <w:pPr>
              <w:jc w:val="right"/>
              <w:ind w:right="675"/>
              <w:spacing w:after="0"/>
              <w:rPr>
                <w:sz w:val="20"/>
                <w:szCs w:val="20"/>
                <w:color w:val="auto"/>
              </w:rPr>
            </w:pPr>
            <w:r>
              <w:rPr>
                <w:rFonts w:ascii="Arial" w:cs="Arial" w:eastAsia="Arial" w:hAnsi="Arial"/>
                <w:sz w:val="15"/>
                <w:szCs w:val="15"/>
                <w:b w:val="1"/>
                <w:bCs w:val="1"/>
                <w:color w:val="auto"/>
              </w:rPr>
              <w:t>December 31, 2015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tcPr>
          <w:p>
            <w:pPr>
              <w:jc w:val="center"/>
              <w:ind w:right="15"/>
              <w:spacing w:after="0"/>
              <w:rPr>
                <w:sz w:val="20"/>
                <w:szCs w:val="20"/>
                <w:color w:val="auto"/>
              </w:rPr>
            </w:pPr>
            <w:r>
              <w:rPr>
                <w:rFonts w:ascii="Arial" w:cs="Arial" w:eastAsia="Arial" w:hAnsi="Arial"/>
                <w:sz w:val="15"/>
                <w:szCs w:val="15"/>
                <w:b w:val="1"/>
                <w:bCs w:val="1"/>
                <w:color w:val="auto"/>
                <w:w w:val="86"/>
              </w:rPr>
              <w:t>Percentage of</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6"/>
              </w:rPr>
              <w:t>Percentage of</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55"/>
              <w:spacing w:after="0"/>
              <w:rPr>
                <w:sz w:val="20"/>
                <w:szCs w:val="20"/>
                <w:color w:val="auto"/>
              </w:rPr>
            </w:pPr>
            <w:r>
              <w:rPr>
                <w:rFonts w:ascii="Arial" w:cs="Arial" w:eastAsia="Arial" w:hAnsi="Arial"/>
                <w:sz w:val="15"/>
                <w:szCs w:val="15"/>
                <w:b w:val="1"/>
                <w:bCs w:val="1"/>
                <w:color w:val="auto"/>
              </w:rPr>
              <w:t>Fair Market</w:t>
            </w:r>
          </w:p>
        </w:tc>
        <w:tc>
          <w:tcPr>
            <w:tcW w:w="1360" w:type="dxa"/>
            <w:vAlign w:val="bottom"/>
          </w:tcPr>
          <w:p>
            <w:pPr>
              <w:jc w:val="center"/>
              <w:ind w:right="15"/>
              <w:spacing w:after="0"/>
              <w:rPr>
                <w:sz w:val="20"/>
                <w:szCs w:val="20"/>
                <w:color w:val="auto"/>
              </w:rPr>
            </w:pPr>
            <w:r>
              <w:rPr>
                <w:rFonts w:ascii="Arial" w:cs="Arial" w:eastAsia="Arial" w:hAnsi="Arial"/>
                <w:sz w:val="15"/>
                <w:szCs w:val="15"/>
                <w:b w:val="1"/>
                <w:bCs w:val="1"/>
                <w:color w:val="auto"/>
                <w:w w:val="97"/>
              </w:rPr>
              <w:t>Fair Market</w:t>
            </w:r>
          </w:p>
        </w:tc>
        <w:tc>
          <w:tcPr>
            <w:tcW w:w="160" w:type="dxa"/>
            <w:vAlign w:val="bottom"/>
          </w:tcPr>
          <w:p>
            <w:pPr>
              <w:spacing w:after="0"/>
              <w:rPr>
                <w:sz w:val="18"/>
                <w:szCs w:val="18"/>
                <w:color w:val="auto"/>
              </w:rPr>
            </w:pPr>
          </w:p>
        </w:tc>
        <w:tc>
          <w:tcPr>
            <w:tcW w:w="1260" w:type="dxa"/>
            <w:vAlign w:val="bottom"/>
          </w:tcPr>
          <w:p>
            <w:pPr>
              <w:jc w:val="center"/>
              <w:ind w:right="235"/>
              <w:spacing w:after="0"/>
              <w:rPr>
                <w:sz w:val="20"/>
                <w:szCs w:val="20"/>
                <w:color w:val="auto"/>
              </w:rPr>
            </w:pPr>
            <w:r>
              <w:rPr>
                <w:rFonts w:ascii="Arial" w:cs="Arial" w:eastAsia="Arial" w:hAnsi="Arial"/>
                <w:sz w:val="15"/>
                <w:szCs w:val="15"/>
                <w:b w:val="1"/>
                <w:bCs w:val="1"/>
                <w:color w:val="auto"/>
                <w:w w:val="97"/>
              </w:rPr>
              <w:t>Fair Market</w:t>
            </w:r>
          </w:p>
        </w:tc>
        <w:tc>
          <w:tcPr>
            <w:tcW w:w="12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9"/>
              </w:rPr>
              <w:t>Fair Market</w:t>
            </w:r>
          </w:p>
        </w:tc>
        <w:tc>
          <w:tcPr>
            <w:tcW w:w="0" w:type="dxa"/>
            <w:vAlign w:val="bottom"/>
          </w:tcPr>
          <w:p>
            <w:pPr>
              <w:spacing w:after="0"/>
              <w:rPr>
                <w:sz w:val="1"/>
                <w:szCs w:val="1"/>
                <w:color w:val="auto"/>
              </w:rPr>
            </w:pPr>
          </w:p>
        </w:tc>
      </w:tr>
      <w:tr>
        <w:trPr>
          <w:trHeight w:val="206"/>
        </w:trPr>
        <w:tc>
          <w:tcPr>
            <w:tcW w:w="4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475"/>
              <w:spacing w:after="0"/>
              <w:rPr>
                <w:sz w:val="20"/>
                <w:szCs w:val="20"/>
                <w:color w:val="auto"/>
              </w:rPr>
            </w:pPr>
            <w:r>
              <w:rPr>
                <w:rFonts w:ascii="Arial" w:cs="Arial" w:eastAsia="Arial" w:hAnsi="Arial"/>
                <w:sz w:val="15"/>
                <w:szCs w:val="15"/>
                <w:b w:val="1"/>
                <w:bCs w:val="1"/>
                <w:color w:val="auto"/>
              </w:rPr>
              <w:t>Value</w:t>
            </w:r>
          </w:p>
        </w:tc>
        <w:tc>
          <w:tcPr>
            <w:tcW w:w="1360" w:type="dxa"/>
            <w:vAlign w:val="bottom"/>
          </w:tcPr>
          <w:p>
            <w:pPr>
              <w:jc w:val="center"/>
              <w:ind w:right="35"/>
              <w:spacing w:after="0"/>
              <w:rPr>
                <w:sz w:val="20"/>
                <w:szCs w:val="20"/>
                <w:color w:val="auto"/>
              </w:rPr>
            </w:pPr>
            <w:r>
              <w:rPr>
                <w:rFonts w:ascii="Arial" w:cs="Arial" w:eastAsia="Arial" w:hAnsi="Arial"/>
                <w:sz w:val="15"/>
                <w:szCs w:val="15"/>
                <w:b w:val="1"/>
                <w:bCs w:val="1"/>
                <w:color w:val="auto"/>
                <w:w w:val="89"/>
              </w:rPr>
              <w:t>Value</w:t>
            </w:r>
          </w:p>
        </w:tc>
        <w:tc>
          <w:tcPr>
            <w:tcW w:w="160" w:type="dxa"/>
            <w:vAlign w:val="bottom"/>
          </w:tcPr>
          <w:p>
            <w:pPr>
              <w:spacing w:after="0"/>
              <w:rPr>
                <w:sz w:val="17"/>
                <w:szCs w:val="17"/>
                <w:color w:val="auto"/>
              </w:rPr>
            </w:pPr>
          </w:p>
        </w:tc>
        <w:tc>
          <w:tcPr>
            <w:tcW w:w="1260" w:type="dxa"/>
            <w:vAlign w:val="bottom"/>
          </w:tcPr>
          <w:p>
            <w:pPr>
              <w:jc w:val="center"/>
              <w:ind w:right="215"/>
              <w:spacing w:after="0"/>
              <w:rPr>
                <w:sz w:val="20"/>
                <w:szCs w:val="20"/>
                <w:color w:val="auto"/>
              </w:rPr>
            </w:pPr>
            <w:r>
              <w:rPr>
                <w:rFonts w:ascii="Arial" w:cs="Arial" w:eastAsia="Arial" w:hAnsi="Arial"/>
                <w:sz w:val="15"/>
                <w:szCs w:val="15"/>
                <w:b w:val="1"/>
                <w:bCs w:val="1"/>
                <w:color w:val="auto"/>
                <w:w w:val="89"/>
              </w:rPr>
              <w:t>Value</w:t>
            </w:r>
          </w:p>
        </w:tc>
        <w:tc>
          <w:tcPr>
            <w:tcW w:w="12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216"/>
        </w:trPr>
        <w:tc>
          <w:tcPr>
            <w:tcW w:w="45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Rating</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60"/>
              <w:spacing w:after="0"/>
              <w:rPr>
                <w:sz w:val="20"/>
                <w:szCs w:val="20"/>
                <w:color w:val="auto"/>
              </w:rPr>
            </w:pPr>
            <w:r>
              <w:rPr>
                <w:rFonts w:ascii="Arial" w:cs="Arial" w:eastAsia="Arial" w:hAnsi="Arial"/>
                <w:sz w:val="18"/>
                <w:szCs w:val="18"/>
                <w:color w:val="auto"/>
              </w:rPr>
              <w:t>U.S. Treasury securities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60"/>
              <w:spacing w:after="0"/>
              <w:rPr>
                <w:sz w:val="20"/>
                <w:szCs w:val="20"/>
                <w:color w:val="auto"/>
              </w:rPr>
            </w:pPr>
            <w:r>
              <w:rPr>
                <w:rFonts w:ascii="Arial" w:cs="Arial" w:eastAsia="Arial" w:hAnsi="Arial"/>
                <w:sz w:val="18"/>
                <w:szCs w:val="18"/>
                <w:color w:val="auto"/>
              </w:rPr>
              <w:t>Corporate and municipal bonds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AAA</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1,855,056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2,218,147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0"/>
              <w:spacing w:after="0"/>
              <w:rPr>
                <w:sz w:val="20"/>
                <w:szCs w:val="20"/>
                <w:color w:val="auto"/>
              </w:rPr>
            </w:pPr>
            <w:r>
              <w:rPr>
                <w:rFonts w:ascii="Arial" w:cs="Arial" w:eastAsia="Arial" w:hAnsi="Arial"/>
                <w:sz w:val="18"/>
                <w:szCs w:val="18"/>
                <w:color w:val="auto"/>
              </w:rPr>
              <w:t>AA</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8,098,527</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9,060,781</w:t>
            </w:r>
          </w:p>
        </w:tc>
        <w:tc>
          <w:tcPr>
            <w:tcW w:w="124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18,950,930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10,639,888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BBB</w:t>
            </w:r>
          </w:p>
        </w:tc>
        <w:tc>
          <w:tcPr>
            <w:tcW w:w="1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33,056,715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35,592,750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corporate and municipal bonds</w:t>
            </w:r>
          </w:p>
        </w:tc>
        <w:tc>
          <w:tcPr>
            <w:tcW w:w="14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61,961,228</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57,511,566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mortgage backed securities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0"/>
              <w:spacing w:after="0"/>
              <w:rPr>
                <w:sz w:val="20"/>
                <w:szCs w:val="20"/>
                <w:color w:val="auto"/>
              </w:rPr>
            </w:pPr>
            <w:r>
              <w:rPr>
                <w:rFonts w:ascii="Arial" w:cs="Arial" w:eastAsia="Arial" w:hAnsi="Arial"/>
                <w:sz w:val="18"/>
                <w:szCs w:val="18"/>
                <w:color w:val="auto"/>
              </w:rPr>
              <w:t>AAA</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14,345,988</w:t>
            </w:r>
          </w:p>
        </w:tc>
        <w:tc>
          <w:tcPr>
            <w:tcW w:w="1360" w:type="dxa"/>
            <w:vAlign w:val="bottom"/>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196,166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216,077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CCC</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3,163,425</w:t>
            </w: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457,889</w:t>
            </w: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CC</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131,777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402,558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20"/>
              <w:spacing w:after="0"/>
              <w:rPr>
                <w:sz w:val="20"/>
                <w:szCs w:val="20"/>
                <w:color w:val="auto"/>
              </w:rPr>
            </w:pPr>
            <w:r>
              <w:rPr>
                <w:rFonts w:ascii="Arial" w:cs="Arial" w:eastAsia="Arial" w:hAnsi="Arial"/>
                <w:sz w:val="18"/>
                <w:szCs w:val="18"/>
                <w:color w:val="auto"/>
              </w:rPr>
              <w:t>D</w:t>
            </w:r>
          </w:p>
        </w:tc>
        <w:tc>
          <w:tcPr>
            <w:tcW w:w="1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1,280,369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3,913,974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residential mortgage backed securities</w:t>
            </w:r>
          </w:p>
        </w:tc>
        <w:tc>
          <w:tcPr>
            <w:tcW w:w="14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19,117,725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4,990,498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1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81,078,953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62,502,064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10180" w:type="dxa"/>
            <w:vAlign w:val="bottom"/>
            <w:gridSpan w:val="7"/>
          </w:tcPr>
          <w:p>
            <w:pPr>
              <w:ind w:left="660"/>
              <w:spacing w:after="0"/>
              <w:rPr>
                <w:sz w:val="20"/>
                <w:szCs w:val="20"/>
                <w:color w:val="auto"/>
              </w:rPr>
            </w:pPr>
            <w:r>
              <w:rPr>
                <w:rFonts w:ascii="Arial" w:cs="Arial" w:eastAsia="Arial" w:hAnsi="Arial"/>
                <w:sz w:val="18"/>
                <w:szCs w:val="18"/>
                <w:color w:val="auto"/>
                <w:w w:val="90"/>
              </w:rPr>
              <w:t>The table below summarizes the average yield by type of fixed-maturity security as of September 30, 2016 and December 31, 2015:</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center"/>
              <w:ind w:right="275"/>
              <w:spacing w:after="0"/>
              <w:rPr>
                <w:sz w:val="20"/>
                <w:szCs w:val="20"/>
                <w:color w:val="auto"/>
              </w:rPr>
            </w:pPr>
            <w:r>
              <w:rPr>
                <w:rFonts w:ascii="Arial" w:cs="Arial" w:eastAsia="Arial" w:hAnsi="Arial"/>
                <w:sz w:val="15"/>
                <w:szCs w:val="15"/>
                <w:b w:val="1"/>
                <w:bCs w:val="1"/>
                <w:color w:val="auto"/>
                <w:w w:val="87"/>
              </w:rPr>
              <w:t>September 30,</w:t>
            </w:r>
          </w:p>
        </w:tc>
        <w:tc>
          <w:tcPr>
            <w:tcW w:w="12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0"/>
              </w:rPr>
              <w:t>December 31,</w:t>
            </w:r>
          </w:p>
        </w:tc>
        <w:tc>
          <w:tcPr>
            <w:tcW w:w="0" w:type="dxa"/>
            <w:vAlign w:val="bottom"/>
          </w:tcPr>
          <w:p>
            <w:pPr>
              <w:spacing w:after="0"/>
              <w:rPr>
                <w:sz w:val="1"/>
                <w:szCs w:val="1"/>
                <w:color w:val="auto"/>
              </w:rPr>
            </w:pPr>
          </w:p>
        </w:tc>
      </w:tr>
      <w:tr>
        <w:trPr>
          <w:trHeight w:val="182"/>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1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75"/>
              <w:spacing w:after="0"/>
              <w:rPr>
                <w:sz w:val="20"/>
                <w:szCs w:val="20"/>
                <w:color w:val="auto"/>
              </w:rPr>
            </w:pPr>
            <w:r>
              <w:rPr>
                <w:rFonts w:ascii="Arial" w:cs="Arial" w:eastAsia="Arial" w:hAnsi="Arial"/>
                <w:sz w:val="15"/>
                <w:szCs w:val="15"/>
                <w:b w:val="1"/>
                <w:bCs w:val="1"/>
                <w:color w:val="auto"/>
                <w:w w:val="89"/>
              </w:rPr>
              <w:t>2016</w:t>
            </w:r>
          </w:p>
        </w:tc>
        <w:tc>
          <w:tcPr>
            <w:tcW w:w="1240" w:type="dxa"/>
            <w:vAlign w:val="bottom"/>
            <w:tcBorders>
              <w:bottom w:val="single" w:sz="8" w:color="auto"/>
            </w:tcBorders>
          </w:tcPr>
          <w:p>
            <w:pPr>
              <w:jc w:val="center"/>
              <w:ind w:right="55"/>
              <w:spacing w:after="0"/>
              <w:rPr>
                <w:sz w:val="20"/>
                <w:szCs w:val="20"/>
                <w:color w:val="auto"/>
              </w:rPr>
            </w:pPr>
            <w:r>
              <w:rPr>
                <w:rFonts w:ascii="Arial" w:cs="Arial" w:eastAsia="Arial" w:hAnsi="Arial"/>
                <w:sz w:val="15"/>
                <w:szCs w:val="15"/>
                <w:b w:val="1"/>
                <w:bCs w:val="1"/>
                <w:color w:val="auto"/>
                <w:w w:val="89"/>
              </w:rPr>
              <w:t>2015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 Treasury securities and</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60"/>
              <w:spacing w:after="0"/>
              <w:rPr>
                <w:sz w:val="20"/>
                <w:szCs w:val="20"/>
                <w:color w:val="auto"/>
              </w:rPr>
            </w:pPr>
            <w:r>
              <w:rPr>
                <w:rFonts w:ascii="Arial" w:cs="Arial" w:eastAsia="Arial" w:hAnsi="Arial"/>
                <w:sz w:val="18"/>
                <w:szCs w:val="18"/>
                <w:color w:val="auto"/>
              </w:rPr>
              <w:t>obligations of U.S. government</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corporations and agencies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3.44%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Political subdivisions of States,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0"/>
              <w:spacing w:after="0"/>
              <w:rPr>
                <w:sz w:val="20"/>
                <w:szCs w:val="20"/>
                <w:color w:val="auto"/>
              </w:rPr>
            </w:pPr>
            <w:r>
              <w:rPr>
                <w:rFonts w:ascii="Arial" w:cs="Arial" w:eastAsia="Arial" w:hAnsi="Arial"/>
                <w:sz w:val="18"/>
                <w:szCs w:val="18"/>
                <w:color w:val="auto"/>
              </w:rPr>
              <w:t>Territories and Possessions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3.72%</w:t>
            </w:r>
          </w:p>
        </w:tc>
        <w:tc>
          <w:tcPr>
            <w:tcW w:w="1240" w:type="dxa"/>
            <w:vAlign w:val="bottom"/>
          </w:tcPr>
          <w:p>
            <w:pPr>
              <w:jc w:val="right"/>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60"/>
              <w:spacing w:after="0"/>
              <w:rPr>
                <w:sz w:val="20"/>
                <w:szCs w:val="20"/>
                <w:color w:val="auto"/>
              </w:rPr>
            </w:pPr>
            <w:r>
              <w:rPr>
                <w:rFonts w:ascii="Arial" w:cs="Arial" w:eastAsia="Arial" w:hAnsi="Arial"/>
                <w:sz w:val="18"/>
                <w:szCs w:val="18"/>
                <w:color w:val="auto"/>
              </w:rPr>
              <w:t>Corporate and other bonds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Industrial and miscellaneous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3.75%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mortgage backed securities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3.79%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3.75%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20"/>
        </w:trPr>
        <w:tc>
          <w:tcPr>
            <w:tcW w:w="45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9"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16"/>
          <w:szCs w:val="16"/>
          <w:color w:val="auto"/>
        </w:rPr>
        <w:t>The table below lists the weighted average maturity and effective duration in years on our fixed-maturity securities as of September 30, 2016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60" w:type="dxa"/>
            <w:vAlign w:val="bottom"/>
          </w:tcPr>
          <w:p>
            <w:pPr>
              <w:spacing w:after="0"/>
              <w:rPr>
                <w:sz w:val="14"/>
                <w:szCs w:val="14"/>
                <w:color w:val="auto"/>
              </w:rPr>
            </w:pPr>
          </w:p>
        </w:tc>
        <w:tc>
          <w:tcPr>
            <w:tcW w:w="4360" w:type="dxa"/>
            <w:vAlign w:val="bottom"/>
          </w:tcPr>
          <w:p>
            <w:pPr>
              <w:jc w:val="right"/>
              <w:ind w:right="218"/>
              <w:spacing w:after="0"/>
              <w:rPr>
                <w:sz w:val="20"/>
                <w:szCs w:val="20"/>
                <w:color w:val="auto"/>
              </w:rPr>
            </w:pPr>
            <w:r>
              <w:rPr>
                <w:rFonts w:ascii="Arial" w:cs="Arial" w:eastAsia="Arial" w:hAnsi="Arial"/>
                <w:sz w:val="15"/>
                <w:szCs w:val="15"/>
                <w:b w:val="1"/>
                <w:bCs w:val="1"/>
                <w:color w:val="auto"/>
              </w:rPr>
              <w:t>September 30,</w:t>
            </w:r>
          </w:p>
        </w:tc>
        <w:tc>
          <w:tcPr>
            <w:tcW w:w="1300" w:type="dxa"/>
            <w:vAlign w:val="bottom"/>
          </w:tcPr>
          <w:p>
            <w:pPr>
              <w:jc w:val="right"/>
              <w:ind w:right="158"/>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5760" w:type="dxa"/>
            <w:vAlign w:val="bottom"/>
            <w:tcBorders>
              <w:bottom w:val="single" w:sz="8" w:color="auto"/>
            </w:tcBorders>
          </w:tcPr>
          <w:p>
            <w:pPr>
              <w:spacing w:after="0"/>
              <w:rPr>
                <w:sz w:val="15"/>
                <w:szCs w:val="15"/>
                <w:color w:val="auto"/>
              </w:rPr>
            </w:pPr>
          </w:p>
        </w:tc>
        <w:tc>
          <w:tcPr>
            <w:tcW w:w="436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2016</w:t>
            </w:r>
          </w:p>
        </w:tc>
        <w:tc>
          <w:tcPr>
            <w:tcW w:w="130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2015</w:t>
            </w:r>
          </w:p>
        </w:tc>
      </w:tr>
      <w:tr>
        <w:trPr>
          <w:trHeight w:val="216"/>
        </w:trPr>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effective maturity</w:t>
            </w:r>
          </w:p>
        </w:tc>
        <w:tc>
          <w:tcPr>
            <w:tcW w:w="43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4.9</w:t>
            </w: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5.5</w:t>
            </w:r>
          </w:p>
        </w:tc>
      </w:tr>
      <w:tr>
        <w:trPr>
          <w:trHeight w:val="216"/>
        </w:trPr>
        <w:tc>
          <w:tcPr>
            <w:tcW w:w="57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final maturity</w:t>
            </w:r>
          </w:p>
        </w:tc>
        <w:tc>
          <w:tcPr>
            <w:tcW w:w="43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8.4</w:t>
            </w: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7.3</w:t>
            </w:r>
          </w:p>
        </w:tc>
      </w:tr>
      <w:tr>
        <w:trPr>
          <w:trHeight w:val="216"/>
        </w:trPr>
        <w:tc>
          <w:tcPr>
            <w:tcW w:w="57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Effective duration</w:t>
            </w:r>
          </w:p>
        </w:tc>
        <w:tc>
          <w:tcPr>
            <w:tcW w:w="43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4.2</w:t>
            </w: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4.9</w:t>
            </w:r>
          </w:p>
        </w:tc>
      </w:tr>
    </w:tbl>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Consideration</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disclosed in Note 4 to the Condensed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September 30, 2016 and December 31, 2015, 63% and 66%, respectively, of the investment portfolio recorded at fair value was priced based upon quoted market prices.</w:t>
      </w:r>
    </w:p>
    <w:p>
      <w:pPr>
        <w:spacing w:after="0" w:line="20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more fully described in Note 3 to our Condensed Consolidated Financial Statements, “Investments—Impairment Review,” we completed a detailed review of all our securities in a continuous loss position as of September 30, 2016 and December 31, 2015. As of September 30, 2016 our held-to-maturity debt securities included an investment in one bond issued by the Commonwealth of Puerto Rico (“PR”). In July 2016, PR defaulted on its interest payment to bondholders. Due to the credit deterioration of PR, we recorded a credit loss component of other-than-temporary impairment (“OTTI”) on this investment as of June 30, 2016. For the nine months ended September 30, 2016, the full amount of the write-down was recognized as a credit component of OTTI in the amount of $69,911 and is included as a reduction to net realized gains in the condensed consolidated statements of income and comprehensive income. We concluded that the other unrealized losses in these asset classes are temporary in nature and the result of a decrease in value due to technical spread widening and broader market sentiment, rather than fundamental collateral deterioration.</w:t>
      </w:r>
    </w:p>
    <w:p>
      <w:pPr>
        <w:spacing w:after="0" w:line="199"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The table below summarizes the gross unrealized losses of our fixed-maturity securities available-for-sale and equity securities by length of time the security has continuously been in an unrealized loss position as of September 30, 2016 and December 31, 2015:</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26"/>
              <w:spacing w:after="0"/>
              <w:rPr>
                <w:sz w:val="20"/>
                <w:szCs w:val="20"/>
                <w:color w:val="auto"/>
              </w:rPr>
            </w:pPr>
            <w:r>
              <w:rPr>
                <w:rFonts w:ascii="Arial" w:cs="Arial" w:eastAsia="Arial" w:hAnsi="Arial"/>
                <w:sz w:val="15"/>
                <w:szCs w:val="15"/>
                <w:b w:val="1"/>
                <w:bCs w:val="1"/>
                <w:color w:val="auto"/>
                <w:w w:val="88"/>
              </w:rPr>
              <w:t>September 30, 2016</w:t>
            </w:r>
          </w:p>
        </w:tc>
        <w:tc>
          <w:tcPr>
            <w:tcW w:w="10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69"/>
        </w:trPr>
        <w:tc>
          <w:tcPr>
            <w:tcW w:w="2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86"/>
              <w:spacing w:after="0" w:line="162" w:lineRule="exact"/>
              <w:rPr>
                <w:sz w:val="20"/>
                <w:szCs w:val="20"/>
                <w:color w:val="auto"/>
              </w:rPr>
            </w:pPr>
            <w:r>
              <w:rPr>
                <w:rFonts w:ascii="Arial" w:cs="Arial" w:eastAsia="Arial" w:hAnsi="Arial"/>
                <w:sz w:val="15"/>
                <w:szCs w:val="15"/>
                <w:b w:val="1"/>
                <w:bCs w:val="1"/>
                <w:color w:val="auto"/>
              </w:rPr>
              <w:t>Less than 12 months</w:t>
            </w: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86"/>
              <w:spacing w:after="0" w:line="162" w:lineRule="exact"/>
              <w:rPr>
                <w:sz w:val="20"/>
                <w:szCs w:val="20"/>
                <w:color w:val="auto"/>
              </w:rPr>
            </w:pPr>
            <w:r>
              <w:rPr>
                <w:rFonts w:ascii="Arial" w:cs="Arial" w:eastAsia="Arial" w:hAnsi="Arial"/>
                <w:sz w:val="15"/>
                <w:szCs w:val="15"/>
                <w:b w:val="1"/>
                <w:bCs w:val="1"/>
                <w:color w:val="auto"/>
                <w:w w:val="87"/>
              </w:rPr>
              <w:t>12 months or more</w:t>
            </w: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Total</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9"/>
        </w:trPr>
        <w:tc>
          <w:tcPr>
            <w:tcW w:w="2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jc w:val="center"/>
              <w:ind w:right="6"/>
              <w:spacing w:after="0" w:line="149" w:lineRule="exact"/>
              <w:rPr>
                <w:sz w:val="20"/>
                <w:szCs w:val="20"/>
                <w:color w:val="auto"/>
              </w:rPr>
            </w:pPr>
            <w:r>
              <w:rPr>
                <w:rFonts w:ascii="Arial" w:cs="Arial" w:eastAsia="Arial" w:hAnsi="Arial"/>
                <w:sz w:val="15"/>
                <w:szCs w:val="15"/>
                <w:b w:val="1"/>
                <w:bCs w:val="1"/>
                <w:color w:val="auto"/>
                <w:w w:val="89"/>
              </w:rPr>
              <w:t>No. of</w:t>
            </w:r>
          </w:p>
        </w:tc>
        <w:tc>
          <w:tcPr>
            <w:tcW w:w="220" w:type="dxa"/>
            <w:vAlign w:val="bottom"/>
          </w:tcPr>
          <w:p>
            <w:pPr>
              <w:spacing w:after="0"/>
              <w:rPr>
                <w:sz w:val="12"/>
                <w:szCs w:val="12"/>
                <w:color w:val="auto"/>
              </w:rPr>
            </w:pPr>
          </w:p>
        </w:tc>
        <w:tc>
          <w:tcPr>
            <w:tcW w:w="1000" w:type="dxa"/>
            <w:vAlign w:val="bottom"/>
          </w:tcPr>
          <w:p>
            <w:pPr>
              <w:jc w:val="center"/>
              <w:ind w:right="226"/>
              <w:spacing w:after="0" w:line="149" w:lineRule="exact"/>
              <w:rPr>
                <w:sz w:val="20"/>
                <w:szCs w:val="20"/>
                <w:color w:val="auto"/>
              </w:rPr>
            </w:pPr>
            <w:r>
              <w:rPr>
                <w:rFonts w:ascii="Arial" w:cs="Arial" w:eastAsia="Arial" w:hAnsi="Arial"/>
                <w:sz w:val="15"/>
                <w:szCs w:val="15"/>
                <w:b w:val="1"/>
                <w:bCs w:val="1"/>
                <w:color w:val="auto"/>
                <w:w w:val="88"/>
              </w:rPr>
              <w:t>Aggregate</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46"/>
              <w:spacing w:after="0" w:line="162"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4"/>
                <w:szCs w:val="14"/>
                <w:color w:val="auto"/>
              </w:rPr>
            </w:pPr>
          </w:p>
        </w:tc>
        <w:tc>
          <w:tcPr>
            <w:tcW w:w="1080" w:type="dxa"/>
            <w:vAlign w:val="bottom"/>
          </w:tcPr>
          <w:p>
            <w:pPr>
              <w:jc w:val="right"/>
              <w:ind w:right="306"/>
              <w:spacing w:after="0" w:line="162" w:lineRule="exact"/>
              <w:rPr>
                <w:sz w:val="20"/>
                <w:szCs w:val="20"/>
                <w:color w:val="auto"/>
              </w:rPr>
            </w:pPr>
            <w:r>
              <w:rPr>
                <w:rFonts w:ascii="Arial" w:cs="Arial" w:eastAsia="Arial" w:hAnsi="Arial"/>
                <w:sz w:val="15"/>
                <w:szCs w:val="15"/>
                <w:b w:val="1"/>
                <w:bCs w:val="1"/>
                <w:color w:val="auto"/>
                <w:w w:val="89"/>
              </w:rPr>
              <w:t>Unrealized</w:t>
            </w:r>
          </w:p>
        </w:tc>
        <w:tc>
          <w:tcPr>
            <w:tcW w:w="9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Positions</w:t>
            </w:r>
          </w:p>
        </w:tc>
        <w:tc>
          <w:tcPr>
            <w:tcW w:w="360" w:type="dxa"/>
            <w:vAlign w:val="bottom"/>
          </w:tcPr>
          <w:p>
            <w:pPr>
              <w:spacing w:after="0"/>
              <w:rPr>
                <w:sz w:val="14"/>
                <w:szCs w:val="14"/>
                <w:color w:val="auto"/>
              </w:rPr>
            </w:pPr>
          </w:p>
        </w:tc>
        <w:tc>
          <w:tcPr>
            <w:tcW w:w="740" w:type="dxa"/>
            <w:vAlign w:val="bottom"/>
          </w:tcPr>
          <w:p>
            <w:pPr>
              <w:jc w:val="center"/>
              <w:ind w:right="86"/>
              <w:spacing w:after="0" w:line="162" w:lineRule="exact"/>
              <w:rPr>
                <w:sz w:val="20"/>
                <w:szCs w:val="20"/>
                <w:color w:val="auto"/>
              </w:rPr>
            </w:pPr>
            <w:r>
              <w:rPr>
                <w:rFonts w:ascii="Arial" w:cs="Arial" w:eastAsia="Arial" w:hAnsi="Arial"/>
                <w:sz w:val="15"/>
                <w:szCs w:val="15"/>
                <w:b w:val="1"/>
                <w:bCs w:val="1"/>
                <w:color w:val="auto"/>
                <w:w w:val="94"/>
              </w:rPr>
              <w:t>Fair</w:t>
            </w:r>
          </w:p>
        </w:tc>
        <w:tc>
          <w:tcPr>
            <w:tcW w:w="320" w:type="dxa"/>
            <w:vAlign w:val="bottom"/>
          </w:tcPr>
          <w:p>
            <w:pPr>
              <w:spacing w:after="0"/>
              <w:rPr>
                <w:sz w:val="14"/>
                <w:szCs w:val="14"/>
                <w:color w:val="auto"/>
              </w:rPr>
            </w:pPr>
          </w:p>
        </w:tc>
        <w:tc>
          <w:tcPr>
            <w:tcW w:w="1040" w:type="dxa"/>
            <w:vAlign w:val="bottom"/>
          </w:tcPr>
          <w:p>
            <w:pPr>
              <w:jc w:val="right"/>
              <w:ind w:right="246"/>
              <w:spacing w:after="0" w:line="162" w:lineRule="exact"/>
              <w:rPr>
                <w:sz w:val="20"/>
                <w:szCs w:val="20"/>
                <w:color w:val="auto"/>
              </w:rPr>
            </w:pPr>
            <w:r>
              <w:rPr>
                <w:rFonts w:ascii="Arial" w:cs="Arial" w:eastAsia="Arial" w:hAnsi="Arial"/>
                <w:sz w:val="15"/>
                <w:szCs w:val="15"/>
                <w:b w:val="1"/>
                <w:bCs w:val="1"/>
                <w:color w:val="auto"/>
                <w:w w:val="92"/>
              </w:rPr>
              <w:t>Unrealized</w:t>
            </w:r>
          </w:p>
        </w:tc>
        <w:tc>
          <w:tcPr>
            <w:tcW w:w="1020" w:type="dxa"/>
            <w:vAlign w:val="bottom"/>
          </w:tcPr>
          <w:p>
            <w:pPr>
              <w:jc w:val="center"/>
              <w:ind w:right="26"/>
              <w:spacing w:after="0" w:line="162" w:lineRule="exact"/>
              <w:rPr>
                <w:sz w:val="20"/>
                <w:szCs w:val="20"/>
                <w:color w:val="auto"/>
              </w:rPr>
            </w:pPr>
            <w:r>
              <w:rPr>
                <w:rFonts w:ascii="Arial" w:cs="Arial" w:eastAsia="Arial" w:hAnsi="Arial"/>
                <w:sz w:val="15"/>
                <w:szCs w:val="15"/>
                <w:b w:val="1"/>
                <w:bCs w:val="1"/>
                <w:color w:val="auto"/>
                <w:w w:val="82"/>
              </w:rPr>
              <w:t>Positions</w:t>
            </w:r>
          </w:p>
        </w:tc>
        <w:tc>
          <w:tcPr>
            <w:tcW w:w="220" w:type="dxa"/>
            <w:vAlign w:val="bottom"/>
          </w:tcPr>
          <w:p>
            <w:pPr>
              <w:spacing w:after="0"/>
              <w:rPr>
                <w:sz w:val="14"/>
                <w:szCs w:val="14"/>
                <w:color w:val="auto"/>
              </w:rPr>
            </w:pPr>
          </w:p>
        </w:tc>
        <w:tc>
          <w:tcPr>
            <w:tcW w:w="1000" w:type="dxa"/>
            <w:vAlign w:val="bottom"/>
          </w:tcPr>
          <w:p>
            <w:pPr>
              <w:jc w:val="center"/>
              <w:ind w:right="206"/>
              <w:spacing w:after="0" w:line="162" w:lineRule="exact"/>
              <w:rPr>
                <w:sz w:val="20"/>
                <w:szCs w:val="20"/>
                <w:color w:val="auto"/>
              </w:rPr>
            </w:pPr>
            <w:r>
              <w:rPr>
                <w:rFonts w:ascii="Arial" w:cs="Arial" w:eastAsia="Arial" w:hAnsi="Arial"/>
                <w:sz w:val="15"/>
                <w:szCs w:val="15"/>
                <w:b w:val="1"/>
                <w:bCs w:val="1"/>
                <w:color w:val="auto"/>
              </w:rPr>
              <w:t>Fair</w:t>
            </w:r>
          </w:p>
        </w:tc>
        <w:tc>
          <w:tcPr>
            <w:tcW w:w="120" w:type="dxa"/>
            <w:vAlign w:val="bottom"/>
          </w:tcPr>
          <w:p>
            <w:pPr>
              <w:spacing w:after="0"/>
              <w:rPr>
                <w:sz w:val="14"/>
                <w:szCs w:val="14"/>
                <w:color w:val="auto"/>
              </w:rPr>
            </w:pPr>
          </w:p>
        </w:tc>
        <w:tc>
          <w:tcPr>
            <w:tcW w:w="920" w:type="dxa"/>
            <w:vAlign w:val="bottom"/>
          </w:tcPr>
          <w:p>
            <w:pPr>
              <w:jc w:val="right"/>
              <w:ind w:right="126"/>
              <w:spacing w:after="0" w:line="162" w:lineRule="exact"/>
              <w:rPr>
                <w:sz w:val="20"/>
                <w:szCs w:val="20"/>
                <w:color w:val="auto"/>
              </w:rPr>
            </w:pPr>
            <w:r>
              <w:rPr>
                <w:rFonts w:ascii="Arial" w:cs="Arial" w:eastAsia="Arial" w:hAnsi="Arial"/>
                <w:sz w:val="15"/>
                <w:szCs w:val="15"/>
                <w:b w:val="1"/>
                <w:bCs w:val="1"/>
                <w:color w:val="auto"/>
                <w:w w:val="92"/>
              </w:rPr>
              <w:t>Unrealized</w:t>
            </w:r>
          </w:p>
        </w:tc>
      </w:tr>
      <w:tr>
        <w:trPr>
          <w:trHeight w:val="18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Value</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Losses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b w:val="1"/>
                <w:bCs w:val="1"/>
                <w:color w:val="auto"/>
                <w:w w:val="89"/>
              </w:rPr>
              <w:t>Value</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Losses</w:t>
            </w:r>
          </w:p>
        </w:tc>
        <w:tc>
          <w:tcPr>
            <w:tcW w:w="1020" w:type="dxa"/>
            <w:vAlign w:val="bottom"/>
            <w:tcBorders>
              <w:bottom w:val="single" w:sz="8" w:color="auto"/>
            </w:tcBorders>
          </w:tcPr>
          <w:p>
            <w:pPr>
              <w:jc w:val="center"/>
              <w:ind w:right="26"/>
              <w:spacing w:after="0"/>
              <w:rPr>
                <w:sz w:val="20"/>
                <w:szCs w:val="20"/>
                <w:color w:val="auto"/>
              </w:rPr>
            </w:pPr>
            <w:r>
              <w:rPr>
                <w:rFonts w:ascii="Arial" w:cs="Arial" w:eastAsia="Arial" w:hAnsi="Arial"/>
                <w:sz w:val="15"/>
                <w:szCs w:val="15"/>
                <w:b w:val="1"/>
                <w:bCs w:val="1"/>
                <w:color w:val="auto"/>
                <w:w w:val="98"/>
              </w:rPr>
              <w:t>Held</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06"/>
              <w:spacing w:after="0"/>
              <w:rPr>
                <w:sz w:val="20"/>
                <w:szCs w:val="20"/>
                <w:color w:val="auto"/>
              </w:rPr>
            </w:pPr>
            <w:r>
              <w:rPr>
                <w:rFonts w:ascii="Arial" w:cs="Arial" w:eastAsia="Arial" w:hAnsi="Arial"/>
                <w:sz w:val="15"/>
                <w:szCs w:val="15"/>
                <w:b w:val="1"/>
                <w:bCs w:val="1"/>
                <w:color w:val="auto"/>
                <w:w w:val="89"/>
              </w:rPr>
              <w:t>Value</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Losses</w:t>
            </w:r>
          </w:p>
        </w:tc>
      </w:tr>
      <w:tr>
        <w:trPr>
          <w:trHeight w:val="216"/>
        </w:trPr>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Fixed-Maturity Securities: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5"/>
                <w:szCs w:val="15"/>
                <w:color w:val="auto"/>
              </w:rPr>
              <w:t>Political subdivisions of</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States, Territories and</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Possessions</w:t>
            </w:r>
          </w:p>
        </w:tc>
        <w:tc>
          <w:tcPr>
            <w:tcW w:w="280" w:type="dxa"/>
            <w:vAlign w:val="bottom"/>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46"/>
              <w:spacing w:after="0" w:line="162" w:lineRule="exact"/>
              <w:rPr>
                <w:sz w:val="20"/>
                <w:szCs w:val="20"/>
                <w:color w:val="auto"/>
              </w:rPr>
            </w:pPr>
            <w:r>
              <w:rPr>
                <w:rFonts w:ascii="Arial" w:cs="Arial" w:eastAsia="Arial" w:hAnsi="Arial"/>
                <w:sz w:val="15"/>
                <w:szCs w:val="15"/>
                <w:color w:val="auto"/>
              </w:rPr>
              <w:t>330,141</w:t>
            </w: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(4,564)</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330,141</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(4,564)</w:t>
            </w:r>
          </w:p>
        </w:tc>
      </w:tr>
      <w:tr>
        <w:trPr>
          <w:trHeight w:val="162"/>
        </w:trPr>
        <w:tc>
          <w:tcPr>
            <w:tcW w:w="2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Corporate and other</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bonds industrial and</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miscellaneous</w:t>
            </w:r>
          </w:p>
        </w:tc>
        <w:tc>
          <w:tcPr>
            <w:tcW w:w="280" w:type="dxa"/>
            <w:vAlign w:val="bottom"/>
          </w:tcPr>
          <w:p>
            <w:pPr>
              <w:spacing w:after="0"/>
              <w:rPr>
                <w:sz w:val="14"/>
                <w:szCs w:val="14"/>
                <w:color w:val="auto"/>
              </w:rPr>
            </w:pPr>
          </w:p>
        </w:tc>
        <w:tc>
          <w:tcPr>
            <w:tcW w:w="880" w:type="dxa"/>
            <w:vAlign w:val="bottom"/>
          </w:tcPr>
          <w:p>
            <w:pPr>
              <w:jc w:val="right"/>
              <w:ind w:right="46"/>
              <w:spacing w:after="0" w:line="162" w:lineRule="exact"/>
              <w:rPr>
                <w:sz w:val="20"/>
                <w:szCs w:val="20"/>
                <w:color w:val="auto"/>
              </w:rPr>
            </w:pPr>
            <w:r>
              <w:rPr>
                <w:rFonts w:ascii="Arial" w:cs="Arial" w:eastAsia="Arial" w:hAnsi="Arial"/>
                <w:sz w:val="15"/>
                <w:szCs w:val="15"/>
                <w:color w:val="auto"/>
              </w:rPr>
              <w:t>7,829,356</w:t>
            </w:r>
          </w:p>
        </w:tc>
        <w:tc>
          <w:tcPr>
            <w:tcW w:w="220" w:type="dxa"/>
            <w:vAlign w:val="bottom"/>
          </w:tcPr>
          <w:p>
            <w:pPr>
              <w:spacing w:after="0"/>
              <w:rPr>
                <w:sz w:val="14"/>
                <w:szCs w:val="14"/>
                <w:color w:val="auto"/>
              </w:rPr>
            </w:pPr>
          </w:p>
        </w:tc>
        <w:tc>
          <w:tcPr>
            <w:tcW w:w="108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(45,063)</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13</w:t>
            </w:r>
          </w:p>
        </w:tc>
        <w:tc>
          <w:tcPr>
            <w:tcW w:w="3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716,422</w:t>
            </w:r>
          </w:p>
        </w:tc>
        <w:tc>
          <w:tcPr>
            <w:tcW w:w="320" w:type="dxa"/>
            <w:vAlign w:val="bottom"/>
          </w:tcPr>
          <w:p>
            <w:pPr>
              <w:spacing w:after="0"/>
              <w:rPr>
                <w:sz w:val="14"/>
                <w:szCs w:val="14"/>
                <w:color w:val="auto"/>
              </w:rPr>
            </w:pPr>
          </w:p>
        </w:tc>
        <w:tc>
          <w:tcPr>
            <w:tcW w:w="1040" w:type="dxa"/>
            <w:vAlign w:val="bottom"/>
          </w:tcPr>
          <w:p>
            <w:pPr>
              <w:jc w:val="right"/>
              <w:ind w:right="106"/>
              <w:spacing w:after="0" w:line="162" w:lineRule="exact"/>
              <w:rPr>
                <w:sz w:val="20"/>
                <w:szCs w:val="20"/>
                <w:color w:val="auto"/>
              </w:rPr>
            </w:pPr>
            <w:r>
              <w:rPr>
                <w:rFonts w:ascii="Arial" w:cs="Arial" w:eastAsia="Arial" w:hAnsi="Arial"/>
                <w:sz w:val="15"/>
                <w:szCs w:val="15"/>
                <w:color w:val="auto"/>
              </w:rPr>
              <w:t>(47,332)</w:t>
            </w:r>
          </w:p>
        </w:tc>
        <w:tc>
          <w:tcPr>
            <w:tcW w:w="10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2</w:t>
            </w:r>
          </w:p>
        </w:tc>
        <w:tc>
          <w:tcPr>
            <w:tcW w:w="220" w:type="dxa"/>
            <w:vAlign w:val="bottom"/>
          </w:tcPr>
          <w:p>
            <w:pPr>
              <w:spacing w:after="0"/>
              <w:rPr>
                <w:sz w:val="14"/>
                <w:szCs w:val="14"/>
                <w:color w:val="auto"/>
              </w:rPr>
            </w:pPr>
          </w:p>
        </w:tc>
        <w:tc>
          <w:tcPr>
            <w:tcW w:w="10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8,545,778</w:t>
            </w:r>
          </w:p>
        </w:tc>
        <w:tc>
          <w:tcPr>
            <w:tcW w:w="1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(92,395)</w:t>
            </w:r>
          </w:p>
        </w:tc>
      </w:tr>
      <w:tr>
        <w:trPr>
          <w:trHeight w:val="162"/>
        </w:trPr>
        <w:tc>
          <w:tcPr>
            <w:tcW w:w="2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Residential mortgage</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9"/>
        </w:trPr>
        <w:tc>
          <w:tcPr>
            <w:tcW w:w="2300" w:type="dxa"/>
            <w:vAlign w:val="bottom"/>
            <w:tcBorders>
              <w:bottom w:val="single" w:sz="8" w:color="CCEEFF"/>
            </w:tcBorders>
            <w:shd w:val="clear" w:color="auto" w:fill="CCEEFF"/>
          </w:tcPr>
          <w:p>
            <w:pPr>
              <w:ind w:left="40"/>
              <w:spacing w:after="0" w:line="162" w:lineRule="exact"/>
              <w:rPr>
                <w:sz w:val="20"/>
                <w:szCs w:val="20"/>
                <w:color w:val="auto"/>
              </w:rPr>
            </w:pPr>
            <w:r>
              <w:rPr>
                <w:rFonts w:ascii="Arial" w:cs="Arial" w:eastAsia="Arial" w:hAnsi="Arial"/>
                <w:sz w:val="15"/>
                <w:szCs w:val="15"/>
                <w:color w:val="auto"/>
              </w:rPr>
              <w:t>backed securities</w:t>
            </w: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2,444,402</w:t>
            </w: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(54,967)</w:t>
            </w: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13</w:t>
            </w:r>
          </w:p>
        </w:tc>
        <w:tc>
          <w:tcPr>
            <w:tcW w:w="3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396,682</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106"/>
              <w:spacing w:after="0" w:line="162" w:lineRule="exact"/>
              <w:rPr>
                <w:sz w:val="20"/>
                <w:szCs w:val="20"/>
                <w:color w:val="auto"/>
              </w:rPr>
            </w:pPr>
            <w:r>
              <w:rPr>
                <w:rFonts w:ascii="Arial" w:cs="Arial" w:eastAsia="Arial" w:hAnsi="Arial"/>
                <w:sz w:val="15"/>
                <w:szCs w:val="15"/>
                <w:color w:val="auto"/>
              </w:rPr>
              <w:t>(9,222)</w:t>
            </w:r>
          </w:p>
        </w:tc>
        <w:tc>
          <w:tcPr>
            <w:tcW w:w="102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2</w:t>
            </w: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2,841,084</w:t>
            </w: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(64,189)</w:t>
            </w: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Total fixed-maturity</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securities</w:t>
            </w:r>
          </w:p>
        </w:tc>
        <w:tc>
          <w:tcPr>
            <w:tcW w:w="280" w:type="dxa"/>
            <w:vAlign w:val="bottom"/>
            <w:tcBorders>
              <w:bottom w:val="single" w:sz="8" w:color="auto"/>
            </w:tcBorders>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w w:val="98"/>
              </w:rPr>
              <w:t>10,603,899</w:t>
            </w: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color w:val="auto"/>
              </w:rPr>
              <w:t>(104,594)</w:t>
            </w: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27</w:t>
            </w:r>
          </w:p>
        </w:tc>
        <w:tc>
          <w:tcPr>
            <w:tcW w:w="36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1,113,104</w:t>
            </w:r>
          </w:p>
        </w:tc>
        <w:tc>
          <w:tcPr>
            <w:tcW w:w="3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106"/>
              <w:spacing w:after="0" w:line="162" w:lineRule="exact"/>
              <w:rPr>
                <w:sz w:val="20"/>
                <w:szCs w:val="20"/>
                <w:color w:val="auto"/>
              </w:rPr>
            </w:pPr>
            <w:r>
              <w:rPr>
                <w:rFonts w:ascii="Arial" w:cs="Arial" w:eastAsia="Arial" w:hAnsi="Arial"/>
                <w:sz w:val="15"/>
                <w:szCs w:val="15"/>
                <w:color w:val="auto"/>
              </w:rPr>
              <w:t>(56,554)</w:t>
            </w:r>
          </w:p>
        </w:tc>
        <w:tc>
          <w:tcPr>
            <w:tcW w:w="102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26"/>
              <w:spacing w:after="0" w:line="162" w:lineRule="exact"/>
              <w:rPr>
                <w:sz w:val="20"/>
                <w:szCs w:val="20"/>
                <w:color w:val="auto"/>
              </w:rPr>
            </w:pPr>
            <w:r>
              <w:rPr>
                <w:rFonts w:ascii="Arial" w:cs="Arial" w:eastAsia="Arial" w:hAnsi="Arial"/>
                <w:sz w:val="15"/>
                <w:szCs w:val="15"/>
                <w:color w:val="auto"/>
              </w:rPr>
              <w:t>11,717,003</w:t>
            </w:r>
          </w:p>
        </w:tc>
        <w:tc>
          <w:tcPr>
            <w:tcW w:w="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(161,148)</w:t>
            </w:r>
          </w:p>
        </w:tc>
      </w:tr>
      <w:tr>
        <w:trPr>
          <w:trHeight w:val="162"/>
        </w:trPr>
        <w:tc>
          <w:tcPr>
            <w:tcW w:w="2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b w:val="1"/>
                <w:bCs w:val="1"/>
                <w:color w:val="auto"/>
              </w:rPr>
              <w:t>Equity Securities: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Preferred stocks</w:t>
            </w:r>
          </w:p>
        </w:tc>
        <w:tc>
          <w:tcPr>
            <w:tcW w:w="2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1,797,900</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(35,823)</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w:t>
            </w:r>
          </w:p>
        </w:tc>
        <w:tc>
          <w:tcPr>
            <w:tcW w:w="36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675,250</w:t>
            </w:r>
          </w:p>
        </w:tc>
        <w:tc>
          <w:tcPr>
            <w:tcW w:w="3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106"/>
              <w:spacing w:after="0" w:line="162" w:lineRule="exact"/>
              <w:rPr>
                <w:sz w:val="20"/>
                <w:szCs w:val="20"/>
                <w:color w:val="auto"/>
              </w:rPr>
            </w:pPr>
            <w:r>
              <w:rPr>
                <w:rFonts w:ascii="Arial" w:cs="Arial" w:eastAsia="Arial" w:hAnsi="Arial"/>
                <w:sz w:val="15"/>
                <w:szCs w:val="15"/>
                <w:color w:val="auto"/>
              </w:rPr>
              <w:t>(56,071)</w:t>
            </w:r>
          </w:p>
        </w:tc>
        <w:tc>
          <w:tcPr>
            <w:tcW w:w="102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2,473,150</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(91,894)</w:t>
            </w:r>
          </w:p>
        </w:tc>
      </w:tr>
      <w:tr>
        <w:trPr>
          <w:trHeight w:val="169"/>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Common stocks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rPr>
              <w:t>603,500</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color w:val="auto"/>
              </w:rPr>
              <w:t>(113,918)</w:t>
            </w: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6"/>
              <w:spacing w:after="0" w:line="162"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26"/>
              <w:spacing w:after="0" w:line="162" w:lineRule="exact"/>
              <w:rPr>
                <w:sz w:val="20"/>
                <w:szCs w:val="20"/>
                <w:color w:val="auto"/>
              </w:rPr>
            </w:pPr>
            <w:r>
              <w:rPr>
                <w:rFonts w:ascii="Arial" w:cs="Arial" w:eastAsia="Arial" w:hAnsi="Arial"/>
                <w:sz w:val="15"/>
                <w:szCs w:val="15"/>
                <w:color w:val="auto"/>
              </w:rPr>
              <w:t>603,500</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(113,918)</w:t>
            </w:r>
          </w:p>
        </w:tc>
      </w:tr>
      <w:tr>
        <w:trPr>
          <w:trHeight w:val="162"/>
        </w:trPr>
        <w:tc>
          <w:tcPr>
            <w:tcW w:w="2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Total equity securities</w:t>
            </w:r>
          </w:p>
        </w:tc>
        <w:tc>
          <w:tcPr>
            <w:tcW w:w="280" w:type="dxa"/>
            <w:vAlign w:val="bottom"/>
            <w:tcBorders>
              <w:bottom w:val="single" w:sz="8" w:color="auto"/>
            </w:tcBorders>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rPr>
              <w:t>2,401,400</w:t>
            </w: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color w:val="auto"/>
              </w:rPr>
              <w:t>(149,741)</w:t>
            </w: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w:t>
            </w:r>
          </w:p>
        </w:tc>
        <w:tc>
          <w:tcPr>
            <w:tcW w:w="36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675,250</w:t>
            </w:r>
          </w:p>
        </w:tc>
        <w:tc>
          <w:tcPr>
            <w:tcW w:w="3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106"/>
              <w:spacing w:after="0" w:line="162" w:lineRule="exact"/>
              <w:rPr>
                <w:sz w:val="20"/>
                <w:szCs w:val="20"/>
                <w:color w:val="auto"/>
              </w:rPr>
            </w:pPr>
            <w:r>
              <w:rPr>
                <w:rFonts w:ascii="Arial" w:cs="Arial" w:eastAsia="Arial" w:hAnsi="Arial"/>
                <w:sz w:val="15"/>
                <w:szCs w:val="15"/>
                <w:color w:val="auto"/>
              </w:rPr>
              <w:t>(56,071)</w:t>
            </w:r>
          </w:p>
        </w:tc>
        <w:tc>
          <w:tcPr>
            <w:tcW w:w="102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rPr>
              <w:t>1</w:t>
            </w: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26"/>
              <w:spacing w:after="0" w:line="162" w:lineRule="exact"/>
              <w:rPr>
                <w:sz w:val="20"/>
                <w:szCs w:val="20"/>
                <w:color w:val="auto"/>
              </w:rPr>
            </w:pPr>
            <w:r>
              <w:rPr>
                <w:rFonts w:ascii="Arial" w:cs="Arial" w:eastAsia="Arial" w:hAnsi="Arial"/>
                <w:sz w:val="15"/>
                <w:szCs w:val="15"/>
                <w:color w:val="auto"/>
              </w:rPr>
              <w:t>3,076,650</w:t>
            </w:r>
          </w:p>
        </w:tc>
        <w:tc>
          <w:tcPr>
            <w:tcW w:w="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(205,812)</w:t>
            </w:r>
          </w:p>
        </w:tc>
      </w:tr>
      <w:tr>
        <w:trPr>
          <w:trHeight w:val="162"/>
        </w:trPr>
        <w:tc>
          <w:tcPr>
            <w:tcW w:w="2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Total</w:t>
            </w:r>
          </w:p>
        </w:tc>
        <w:tc>
          <w:tcPr>
            <w:tcW w:w="280" w:type="dxa"/>
            <w:vAlign w:val="bottom"/>
            <w:tcBorders>
              <w:bottom w:val="single" w:sz="8" w:color="auto"/>
            </w:tcBorders>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w w:val="98"/>
              </w:rPr>
              <w:t>13,005,299</w:t>
            </w: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color w:val="auto"/>
              </w:rPr>
              <w:t>(254,335)</w:t>
            </w: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32</w:t>
            </w:r>
          </w:p>
        </w:tc>
        <w:tc>
          <w:tcPr>
            <w:tcW w:w="36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1,788,354</w:t>
            </w:r>
          </w:p>
        </w:tc>
        <w:tc>
          <w:tcPr>
            <w:tcW w:w="3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106"/>
              <w:spacing w:after="0" w:line="162" w:lineRule="exact"/>
              <w:rPr>
                <w:sz w:val="20"/>
                <w:szCs w:val="20"/>
                <w:color w:val="auto"/>
              </w:rPr>
            </w:pPr>
            <w:r>
              <w:rPr>
                <w:rFonts w:ascii="Arial" w:cs="Arial" w:eastAsia="Arial" w:hAnsi="Arial"/>
                <w:sz w:val="15"/>
                <w:szCs w:val="15"/>
                <w:color w:val="auto"/>
              </w:rPr>
              <w:t>(112,625)</w:t>
            </w:r>
          </w:p>
        </w:tc>
        <w:tc>
          <w:tcPr>
            <w:tcW w:w="102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rPr>
              <w:t>5</w:t>
            </w: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26"/>
              <w:spacing w:after="0" w:line="162" w:lineRule="exact"/>
              <w:rPr>
                <w:sz w:val="20"/>
                <w:szCs w:val="20"/>
                <w:color w:val="auto"/>
              </w:rPr>
            </w:pPr>
            <w:r>
              <w:rPr>
                <w:rFonts w:ascii="Arial" w:cs="Arial" w:eastAsia="Arial" w:hAnsi="Arial"/>
                <w:sz w:val="15"/>
                <w:szCs w:val="15"/>
                <w:color w:val="auto"/>
              </w:rPr>
              <w:t>14,793,653</w:t>
            </w:r>
          </w:p>
        </w:tc>
        <w:tc>
          <w:tcPr>
            <w:tcW w:w="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(366,960)</w:t>
            </w:r>
          </w:p>
        </w:tc>
      </w:tr>
      <w:tr>
        <w:trPr>
          <w:trHeight w:val="21"/>
        </w:trPr>
        <w:tc>
          <w:tcPr>
            <w:tcW w:w="2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26"/>
              <w:spacing w:after="0"/>
              <w:rPr>
                <w:sz w:val="20"/>
                <w:szCs w:val="20"/>
                <w:color w:val="auto"/>
              </w:rPr>
            </w:pPr>
            <w:r>
              <w:rPr>
                <w:rFonts w:ascii="Arial" w:cs="Arial" w:eastAsia="Arial" w:hAnsi="Arial"/>
                <w:sz w:val="15"/>
                <w:szCs w:val="15"/>
                <w:b w:val="1"/>
                <w:bCs w:val="1"/>
                <w:color w:val="auto"/>
                <w:w w:val="88"/>
              </w:rPr>
              <w:t>December 31, 2015</w:t>
            </w:r>
          </w:p>
        </w:tc>
        <w:tc>
          <w:tcPr>
            <w:tcW w:w="10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69"/>
        </w:trPr>
        <w:tc>
          <w:tcPr>
            <w:tcW w:w="2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86"/>
              <w:spacing w:after="0" w:line="162" w:lineRule="exact"/>
              <w:rPr>
                <w:sz w:val="20"/>
                <w:szCs w:val="20"/>
                <w:color w:val="auto"/>
              </w:rPr>
            </w:pPr>
            <w:r>
              <w:rPr>
                <w:rFonts w:ascii="Arial" w:cs="Arial" w:eastAsia="Arial" w:hAnsi="Arial"/>
                <w:sz w:val="15"/>
                <w:szCs w:val="15"/>
                <w:b w:val="1"/>
                <w:bCs w:val="1"/>
                <w:color w:val="auto"/>
              </w:rPr>
              <w:t>Less than 12 months</w:t>
            </w: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86"/>
              <w:spacing w:after="0" w:line="162" w:lineRule="exact"/>
              <w:rPr>
                <w:sz w:val="20"/>
                <w:szCs w:val="20"/>
                <w:color w:val="auto"/>
              </w:rPr>
            </w:pPr>
            <w:r>
              <w:rPr>
                <w:rFonts w:ascii="Arial" w:cs="Arial" w:eastAsia="Arial" w:hAnsi="Arial"/>
                <w:sz w:val="15"/>
                <w:szCs w:val="15"/>
                <w:b w:val="1"/>
                <w:bCs w:val="1"/>
                <w:color w:val="auto"/>
                <w:w w:val="87"/>
              </w:rPr>
              <w:t>12 months or more</w:t>
            </w: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Total</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9"/>
        </w:trPr>
        <w:tc>
          <w:tcPr>
            <w:tcW w:w="2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No. of</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jc w:val="center"/>
              <w:ind w:right="6"/>
              <w:spacing w:after="0" w:line="149" w:lineRule="exact"/>
              <w:rPr>
                <w:sz w:val="20"/>
                <w:szCs w:val="20"/>
                <w:color w:val="auto"/>
              </w:rPr>
            </w:pPr>
            <w:r>
              <w:rPr>
                <w:rFonts w:ascii="Arial" w:cs="Arial" w:eastAsia="Arial" w:hAnsi="Arial"/>
                <w:sz w:val="15"/>
                <w:szCs w:val="15"/>
                <w:b w:val="1"/>
                <w:bCs w:val="1"/>
                <w:color w:val="auto"/>
                <w:w w:val="89"/>
              </w:rPr>
              <w:t>No. of</w:t>
            </w:r>
          </w:p>
        </w:tc>
        <w:tc>
          <w:tcPr>
            <w:tcW w:w="220" w:type="dxa"/>
            <w:vAlign w:val="bottom"/>
          </w:tcPr>
          <w:p>
            <w:pPr>
              <w:spacing w:after="0"/>
              <w:rPr>
                <w:sz w:val="12"/>
                <w:szCs w:val="12"/>
                <w:color w:val="auto"/>
              </w:rPr>
            </w:pPr>
          </w:p>
        </w:tc>
        <w:tc>
          <w:tcPr>
            <w:tcW w:w="1000" w:type="dxa"/>
            <w:vAlign w:val="bottom"/>
          </w:tcPr>
          <w:p>
            <w:pPr>
              <w:jc w:val="center"/>
              <w:ind w:right="226"/>
              <w:spacing w:after="0" w:line="149" w:lineRule="exact"/>
              <w:rPr>
                <w:sz w:val="20"/>
                <w:szCs w:val="20"/>
                <w:color w:val="auto"/>
              </w:rPr>
            </w:pPr>
            <w:r>
              <w:rPr>
                <w:rFonts w:ascii="Arial" w:cs="Arial" w:eastAsia="Arial" w:hAnsi="Arial"/>
                <w:sz w:val="15"/>
                <w:szCs w:val="15"/>
                <w:b w:val="1"/>
                <w:bCs w:val="1"/>
                <w:color w:val="auto"/>
                <w:w w:val="88"/>
              </w:rPr>
              <w:t>Aggregate</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46"/>
              <w:spacing w:after="0" w:line="162"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4"/>
                <w:szCs w:val="14"/>
                <w:color w:val="auto"/>
              </w:rPr>
            </w:pPr>
          </w:p>
        </w:tc>
        <w:tc>
          <w:tcPr>
            <w:tcW w:w="1080" w:type="dxa"/>
            <w:vAlign w:val="bottom"/>
          </w:tcPr>
          <w:p>
            <w:pPr>
              <w:jc w:val="right"/>
              <w:ind w:right="306"/>
              <w:spacing w:after="0" w:line="162" w:lineRule="exact"/>
              <w:rPr>
                <w:sz w:val="20"/>
                <w:szCs w:val="20"/>
                <w:color w:val="auto"/>
              </w:rPr>
            </w:pPr>
            <w:r>
              <w:rPr>
                <w:rFonts w:ascii="Arial" w:cs="Arial" w:eastAsia="Arial" w:hAnsi="Arial"/>
                <w:sz w:val="15"/>
                <w:szCs w:val="15"/>
                <w:b w:val="1"/>
                <w:bCs w:val="1"/>
                <w:color w:val="auto"/>
                <w:w w:val="89"/>
              </w:rPr>
              <w:t>Unrealized</w:t>
            </w:r>
          </w:p>
        </w:tc>
        <w:tc>
          <w:tcPr>
            <w:tcW w:w="9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Positions</w:t>
            </w:r>
          </w:p>
        </w:tc>
        <w:tc>
          <w:tcPr>
            <w:tcW w:w="360" w:type="dxa"/>
            <w:vAlign w:val="bottom"/>
          </w:tcPr>
          <w:p>
            <w:pPr>
              <w:spacing w:after="0"/>
              <w:rPr>
                <w:sz w:val="14"/>
                <w:szCs w:val="14"/>
                <w:color w:val="auto"/>
              </w:rPr>
            </w:pPr>
          </w:p>
        </w:tc>
        <w:tc>
          <w:tcPr>
            <w:tcW w:w="740" w:type="dxa"/>
            <w:vAlign w:val="bottom"/>
          </w:tcPr>
          <w:p>
            <w:pPr>
              <w:jc w:val="center"/>
              <w:ind w:right="86"/>
              <w:spacing w:after="0" w:line="162" w:lineRule="exact"/>
              <w:rPr>
                <w:sz w:val="20"/>
                <w:szCs w:val="20"/>
                <w:color w:val="auto"/>
              </w:rPr>
            </w:pPr>
            <w:r>
              <w:rPr>
                <w:rFonts w:ascii="Arial" w:cs="Arial" w:eastAsia="Arial" w:hAnsi="Arial"/>
                <w:sz w:val="15"/>
                <w:szCs w:val="15"/>
                <w:b w:val="1"/>
                <w:bCs w:val="1"/>
                <w:color w:val="auto"/>
                <w:w w:val="94"/>
              </w:rPr>
              <w:t>Fair</w:t>
            </w:r>
          </w:p>
        </w:tc>
        <w:tc>
          <w:tcPr>
            <w:tcW w:w="320" w:type="dxa"/>
            <w:vAlign w:val="bottom"/>
          </w:tcPr>
          <w:p>
            <w:pPr>
              <w:spacing w:after="0"/>
              <w:rPr>
                <w:sz w:val="14"/>
                <w:szCs w:val="14"/>
                <w:color w:val="auto"/>
              </w:rPr>
            </w:pPr>
          </w:p>
        </w:tc>
        <w:tc>
          <w:tcPr>
            <w:tcW w:w="1040" w:type="dxa"/>
            <w:vAlign w:val="bottom"/>
          </w:tcPr>
          <w:p>
            <w:pPr>
              <w:jc w:val="right"/>
              <w:ind w:right="246"/>
              <w:spacing w:after="0" w:line="162" w:lineRule="exact"/>
              <w:rPr>
                <w:sz w:val="20"/>
                <w:szCs w:val="20"/>
                <w:color w:val="auto"/>
              </w:rPr>
            </w:pPr>
            <w:r>
              <w:rPr>
                <w:rFonts w:ascii="Arial" w:cs="Arial" w:eastAsia="Arial" w:hAnsi="Arial"/>
                <w:sz w:val="15"/>
                <w:szCs w:val="15"/>
                <w:b w:val="1"/>
                <w:bCs w:val="1"/>
                <w:color w:val="auto"/>
                <w:w w:val="92"/>
              </w:rPr>
              <w:t>Unrealized</w:t>
            </w:r>
          </w:p>
        </w:tc>
        <w:tc>
          <w:tcPr>
            <w:tcW w:w="1020" w:type="dxa"/>
            <w:vAlign w:val="bottom"/>
          </w:tcPr>
          <w:p>
            <w:pPr>
              <w:jc w:val="center"/>
              <w:ind w:right="26"/>
              <w:spacing w:after="0" w:line="162" w:lineRule="exact"/>
              <w:rPr>
                <w:sz w:val="20"/>
                <w:szCs w:val="20"/>
                <w:color w:val="auto"/>
              </w:rPr>
            </w:pPr>
            <w:r>
              <w:rPr>
                <w:rFonts w:ascii="Arial" w:cs="Arial" w:eastAsia="Arial" w:hAnsi="Arial"/>
                <w:sz w:val="15"/>
                <w:szCs w:val="15"/>
                <w:b w:val="1"/>
                <w:bCs w:val="1"/>
                <w:color w:val="auto"/>
                <w:w w:val="82"/>
              </w:rPr>
              <w:t>Positions</w:t>
            </w:r>
          </w:p>
        </w:tc>
        <w:tc>
          <w:tcPr>
            <w:tcW w:w="220" w:type="dxa"/>
            <w:vAlign w:val="bottom"/>
          </w:tcPr>
          <w:p>
            <w:pPr>
              <w:spacing w:after="0"/>
              <w:rPr>
                <w:sz w:val="14"/>
                <w:szCs w:val="14"/>
                <w:color w:val="auto"/>
              </w:rPr>
            </w:pPr>
          </w:p>
        </w:tc>
        <w:tc>
          <w:tcPr>
            <w:tcW w:w="1000" w:type="dxa"/>
            <w:vAlign w:val="bottom"/>
          </w:tcPr>
          <w:p>
            <w:pPr>
              <w:jc w:val="center"/>
              <w:ind w:right="206"/>
              <w:spacing w:after="0" w:line="162" w:lineRule="exact"/>
              <w:rPr>
                <w:sz w:val="20"/>
                <w:szCs w:val="20"/>
                <w:color w:val="auto"/>
              </w:rPr>
            </w:pPr>
            <w:r>
              <w:rPr>
                <w:rFonts w:ascii="Arial" w:cs="Arial" w:eastAsia="Arial" w:hAnsi="Arial"/>
                <w:sz w:val="15"/>
                <w:szCs w:val="15"/>
                <w:b w:val="1"/>
                <w:bCs w:val="1"/>
                <w:color w:val="auto"/>
              </w:rPr>
              <w:t>Fair</w:t>
            </w:r>
          </w:p>
        </w:tc>
        <w:tc>
          <w:tcPr>
            <w:tcW w:w="120" w:type="dxa"/>
            <w:vAlign w:val="bottom"/>
          </w:tcPr>
          <w:p>
            <w:pPr>
              <w:spacing w:after="0"/>
              <w:rPr>
                <w:sz w:val="14"/>
                <w:szCs w:val="14"/>
                <w:color w:val="auto"/>
              </w:rPr>
            </w:pPr>
          </w:p>
        </w:tc>
        <w:tc>
          <w:tcPr>
            <w:tcW w:w="920" w:type="dxa"/>
            <w:vAlign w:val="bottom"/>
          </w:tcPr>
          <w:p>
            <w:pPr>
              <w:jc w:val="right"/>
              <w:ind w:right="126"/>
              <w:spacing w:after="0" w:line="162" w:lineRule="exact"/>
              <w:rPr>
                <w:sz w:val="20"/>
                <w:szCs w:val="20"/>
                <w:color w:val="auto"/>
              </w:rPr>
            </w:pPr>
            <w:r>
              <w:rPr>
                <w:rFonts w:ascii="Arial" w:cs="Arial" w:eastAsia="Arial" w:hAnsi="Arial"/>
                <w:sz w:val="15"/>
                <w:szCs w:val="15"/>
                <w:b w:val="1"/>
                <w:bCs w:val="1"/>
                <w:color w:val="auto"/>
                <w:w w:val="92"/>
              </w:rPr>
              <w:t>Unrealized</w:t>
            </w:r>
          </w:p>
        </w:tc>
      </w:tr>
      <w:tr>
        <w:trPr>
          <w:trHeight w:val="18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Value</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Losses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b w:val="1"/>
                <w:bCs w:val="1"/>
                <w:color w:val="auto"/>
                <w:w w:val="89"/>
              </w:rPr>
              <w:t>Value</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Losses</w:t>
            </w:r>
          </w:p>
        </w:tc>
        <w:tc>
          <w:tcPr>
            <w:tcW w:w="1020" w:type="dxa"/>
            <w:vAlign w:val="bottom"/>
            <w:tcBorders>
              <w:bottom w:val="single" w:sz="8" w:color="auto"/>
            </w:tcBorders>
          </w:tcPr>
          <w:p>
            <w:pPr>
              <w:jc w:val="center"/>
              <w:ind w:right="26"/>
              <w:spacing w:after="0"/>
              <w:rPr>
                <w:sz w:val="20"/>
                <w:szCs w:val="20"/>
                <w:color w:val="auto"/>
              </w:rPr>
            </w:pPr>
            <w:r>
              <w:rPr>
                <w:rFonts w:ascii="Arial" w:cs="Arial" w:eastAsia="Arial" w:hAnsi="Arial"/>
                <w:sz w:val="15"/>
                <w:szCs w:val="15"/>
                <w:b w:val="1"/>
                <w:bCs w:val="1"/>
                <w:color w:val="auto"/>
                <w:w w:val="98"/>
              </w:rPr>
              <w:t>Held</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06"/>
              <w:spacing w:after="0"/>
              <w:rPr>
                <w:sz w:val="20"/>
                <w:szCs w:val="20"/>
                <w:color w:val="auto"/>
              </w:rPr>
            </w:pPr>
            <w:r>
              <w:rPr>
                <w:rFonts w:ascii="Arial" w:cs="Arial" w:eastAsia="Arial" w:hAnsi="Arial"/>
                <w:sz w:val="15"/>
                <w:szCs w:val="15"/>
                <w:b w:val="1"/>
                <w:bCs w:val="1"/>
                <w:color w:val="auto"/>
                <w:w w:val="89"/>
              </w:rPr>
              <w:t>Value</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Losses</w:t>
            </w:r>
          </w:p>
        </w:tc>
      </w:tr>
      <w:tr>
        <w:trPr>
          <w:trHeight w:val="216"/>
        </w:trPr>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5"/>
                <w:szCs w:val="15"/>
                <w:b w:val="1"/>
                <w:bCs w:val="1"/>
                <w:color w:val="auto"/>
              </w:rPr>
              <w:t>Fixed-Maturity Securities: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Political subdivisions of</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5"/>
                <w:szCs w:val="15"/>
                <w:color w:val="auto"/>
              </w:rPr>
              <w:t>States, Territories and</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Possessions</w:t>
            </w:r>
          </w:p>
        </w:tc>
        <w:tc>
          <w:tcPr>
            <w:tcW w:w="2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1,432,005</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(15,889)</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w:t>
            </w:r>
          </w:p>
        </w:tc>
        <w:tc>
          <w:tcPr>
            <w:tcW w:w="36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1,432,005</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(15,889)</w:t>
            </w: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Corporate and other</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bonds industrial and</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miscellaneous</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w w:val="98"/>
              </w:rPr>
              <w:t>18,424,609</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(512,427)</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32</w:t>
            </w: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636,093</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06"/>
              <w:spacing w:after="0" w:line="162" w:lineRule="exact"/>
              <w:rPr>
                <w:sz w:val="20"/>
                <w:szCs w:val="20"/>
                <w:color w:val="auto"/>
              </w:rPr>
            </w:pPr>
            <w:r>
              <w:rPr>
                <w:rFonts w:ascii="Arial" w:cs="Arial" w:eastAsia="Arial" w:hAnsi="Arial"/>
                <w:sz w:val="15"/>
                <w:szCs w:val="15"/>
                <w:color w:val="auto"/>
              </w:rPr>
              <w:t>(99,593)</w:t>
            </w:r>
          </w:p>
        </w:tc>
        <w:tc>
          <w:tcPr>
            <w:tcW w:w="102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2</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19,060,702</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(612,020)</w:t>
            </w: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Residential mortgage</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backed securities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rPr>
              <w:t>2,413,980</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46"/>
              <w:spacing w:after="0" w:line="162" w:lineRule="exact"/>
              <w:rPr>
                <w:sz w:val="20"/>
                <w:szCs w:val="20"/>
                <w:color w:val="auto"/>
              </w:rPr>
            </w:pPr>
            <w:r>
              <w:rPr>
                <w:rFonts w:ascii="Arial" w:cs="Arial" w:eastAsia="Arial" w:hAnsi="Arial"/>
                <w:sz w:val="15"/>
                <w:szCs w:val="15"/>
                <w:color w:val="auto"/>
              </w:rPr>
              <w:t>(61,169)</w:t>
            </w: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6"/>
              <w:spacing w:after="0" w:line="162"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26"/>
              <w:spacing w:after="0" w:line="162" w:lineRule="exact"/>
              <w:rPr>
                <w:sz w:val="20"/>
                <w:szCs w:val="20"/>
                <w:color w:val="auto"/>
              </w:rPr>
            </w:pPr>
            <w:r>
              <w:rPr>
                <w:rFonts w:ascii="Arial" w:cs="Arial" w:eastAsia="Arial" w:hAnsi="Arial"/>
                <w:sz w:val="15"/>
                <w:szCs w:val="15"/>
                <w:color w:val="auto"/>
              </w:rPr>
              <w:t>2,413,980</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(61,169)</w:t>
            </w:r>
          </w:p>
        </w:tc>
      </w:tr>
      <w:tr>
        <w:trPr>
          <w:trHeight w:val="162"/>
        </w:trPr>
        <w:tc>
          <w:tcPr>
            <w:tcW w:w="2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Total fixed-maturity</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9"/>
        </w:trPr>
        <w:tc>
          <w:tcPr>
            <w:tcW w:w="2300" w:type="dxa"/>
            <w:vAlign w:val="bottom"/>
            <w:tcBorders>
              <w:bottom w:val="single" w:sz="8" w:color="CCEEFF"/>
            </w:tcBorders>
            <w:shd w:val="clear" w:color="auto" w:fill="CCEEFF"/>
          </w:tcPr>
          <w:p>
            <w:pPr>
              <w:ind w:left="40"/>
              <w:spacing w:after="0" w:line="162" w:lineRule="exact"/>
              <w:rPr>
                <w:sz w:val="20"/>
                <w:szCs w:val="20"/>
                <w:color w:val="auto"/>
              </w:rPr>
            </w:pPr>
            <w:r>
              <w:rPr>
                <w:rFonts w:ascii="Arial" w:cs="Arial" w:eastAsia="Arial" w:hAnsi="Arial"/>
                <w:sz w:val="15"/>
                <w:szCs w:val="15"/>
                <w:color w:val="auto"/>
              </w:rPr>
              <w:t>securities</w:t>
            </w:r>
          </w:p>
        </w:tc>
        <w:tc>
          <w:tcPr>
            <w:tcW w:w="280" w:type="dxa"/>
            <w:vAlign w:val="bottom"/>
            <w:tcBorders>
              <w:bottom w:val="single" w:sz="8" w:color="auto"/>
            </w:tcBorders>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w w:val="98"/>
              </w:rPr>
              <w:t>22,270,594</w:t>
            </w:r>
          </w:p>
        </w:tc>
        <w:tc>
          <w:tcPr>
            <w:tcW w:w="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(589,485)</w:t>
            </w: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48</w:t>
            </w:r>
          </w:p>
        </w:tc>
        <w:tc>
          <w:tcPr>
            <w:tcW w:w="360" w:type="dxa"/>
            <w:vAlign w:val="bottom"/>
            <w:tcBorders>
              <w:bottom w:val="single" w:sz="8" w:color="auto"/>
            </w:tcBorders>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636,093</w:t>
            </w:r>
          </w:p>
        </w:tc>
        <w:tc>
          <w:tcPr>
            <w:tcW w:w="3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106"/>
              <w:spacing w:after="0" w:line="162" w:lineRule="exact"/>
              <w:rPr>
                <w:sz w:val="20"/>
                <w:szCs w:val="20"/>
                <w:color w:val="auto"/>
              </w:rPr>
            </w:pPr>
            <w:r>
              <w:rPr>
                <w:rFonts w:ascii="Arial" w:cs="Arial" w:eastAsia="Arial" w:hAnsi="Arial"/>
                <w:sz w:val="15"/>
                <w:szCs w:val="15"/>
                <w:color w:val="auto"/>
              </w:rPr>
              <w:t>(99,593)</w:t>
            </w:r>
          </w:p>
        </w:tc>
        <w:tc>
          <w:tcPr>
            <w:tcW w:w="102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2</w:t>
            </w:r>
          </w:p>
        </w:tc>
        <w:tc>
          <w:tcPr>
            <w:tcW w:w="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22,906,687</w:t>
            </w:r>
          </w:p>
        </w:tc>
        <w:tc>
          <w:tcPr>
            <w:tcW w:w="1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(689,078)</w:t>
            </w: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2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b w:val="1"/>
                <w:bCs w:val="1"/>
                <w:color w:val="auto"/>
              </w:rPr>
              <w:t>Equity Securities:</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2"/>
        </w:trPr>
        <w:tc>
          <w:tcPr>
            <w:tcW w:w="2300" w:type="dxa"/>
            <w:vAlign w:val="bottom"/>
          </w:tcPr>
          <w:p>
            <w:pPr>
              <w:ind w:left="40"/>
              <w:spacing w:after="0" w:line="162" w:lineRule="exact"/>
              <w:rPr>
                <w:sz w:val="20"/>
                <w:szCs w:val="20"/>
                <w:color w:val="auto"/>
              </w:rPr>
            </w:pPr>
            <w:r>
              <w:rPr>
                <w:rFonts w:ascii="Arial" w:cs="Arial" w:eastAsia="Arial" w:hAnsi="Arial"/>
                <w:sz w:val="15"/>
                <w:szCs w:val="15"/>
                <w:color w:val="auto"/>
              </w:rPr>
              <w:t>Preferred stocks</w:t>
            </w:r>
          </w:p>
        </w:tc>
        <w:tc>
          <w:tcPr>
            <w:tcW w:w="280" w:type="dxa"/>
            <w:vAlign w:val="bottom"/>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702,000</w:t>
            </w:r>
          </w:p>
        </w:tc>
        <w:tc>
          <w:tcPr>
            <w:tcW w:w="3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106"/>
              <w:spacing w:after="0" w:line="162" w:lineRule="exact"/>
              <w:rPr>
                <w:sz w:val="20"/>
                <w:szCs w:val="20"/>
                <w:color w:val="auto"/>
              </w:rPr>
            </w:pPr>
            <w:r>
              <w:rPr>
                <w:rFonts w:ascii="Arial" w:cs="Arial" w:eastAsia="Arial" w:hAnsi="Arial"/>
                <w:sz w:val="15"/>
                <w:szCs w:val="15"/>
                <w:color w:val="auto"/>
              </w:rPr>
              <w:t>(29,322)</w:t>
            </w:r>
          </w:p>
        </w:tc>
        <w:tc>
          <w:tcPr>
            <w:tcW w:w="10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1</w:t>
            </w: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702,000</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(29,322)</w:t>
            </w:r>
          </w:p>
        </w:tc>
      </w:tr>
      <w:tr>
        <w:trPr>
          <w:trHeight w:val="169"/>
        </w:trPr>
        <w:tc>
          <w:tcPr>
            <w:tcW w:w="2300" w:type="dxa"/>
            <w:vAlign w:val="bottom"/>
            <w:tcBorders>
              <w:bottom w:val="single" w:sz="8" w:color="CCEEFF"/>
            </w:tcBorders>
            <w:shd w:val="clear" w:color="auto" w:fill="CCEEFF"/>
          </w:tcPr>
          <w:p>
            <w:pPr>
              <w:ind w:left="40"/>
              <w:spacing w:after="0" w:line="162" w:lineRule="exact"/>
              <w:rPr>
                <w:sz w:val="20"/>
                <w:szCs w:val="20"/>
                <w:color w:val="auto"/>
              </w:rPr>
            </w:pPr>
            <w:r>
              <w:rPr>
                <w:rFonts w:ascii="Arial" w:cs="Arial" w:eastAsia="Arial" w:hAnsi="Arial"/>
                <w:sz w:val="15"/>
                <w:szCs w:val="15"/>
                <w:color w:val="auto"/>
              </w:rPr>
              <w:t>Common stocks</w:t>
            </w: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2,538,900</w:t>
            </w: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(103,721)</w:t>
            </w: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w:t>
            </w:r>
          </w:p>
        </w:tc>
        <w:tc>
          <w:tcPr>
            <w:tcW w:w="3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166"/>
              <w:spacing w:after="0" w:line="162"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2,538,900</w:t>
            </w: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(103,721)</w:t>
            </w: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9"/>
        </w:trPr>
        <w:tc>
          <w:tcPr>
            <w:tcW w:w="2300" w:type="dxa"/>
            <w:vAlign w:val="bottom"/>
            <w:tcBorders>
              <w:bottom w:val="single" w:sz="8" w:color="CCEEFF"/>
            </w:tcBorders>
            <w:shd w:val="clear" w:color="auto" w:fill="CCEEFF"/>
          </w:tcPr>
          <w:p>
            <w:pPr>
              <w:ind w:left="40"/>
              <w:spacing w:after="0" w:line="162" w:lineRule="exact"/>
              <w:rPr>
                <w:sz w:val="20"/>
                <w:szCs w:val="20"/>
                <w:color w:val="auto"/>
              </w:rPr>
            </w:pPr>
            <w:r>
              <w:rPr>
                <w:rFonts w:ascii="Arial" w:cs="Arial" w:eastAsia="Arial" w:hAnsi="Arial"/>
                <w:sz w:val="15"/>
                <w:szCs w:val="15"/>
                <w:color w:val="auto"/>
              </w:rPr>
              <w:t>Total equity securities</w:t>
            </w:r>
          </w:p>
        </w:tc>
        <w:tc>
          <w:tcPr>
            <w:tcW w:w="280" w:type="dxa"/>
            <w:vAlign w:val="bottom"/>
            <w:tcBorders>
              <w:bottom w:val="single" w:sz="8" w:color="auto"/>
            </w:tcBorders>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2,538,900</w:t>
            </w:r>
          </w:p>
        </w:tc>
        <w:tc>
          <w:tcPr>
            <w:tcW w:w="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(103,721)</w:t>
            </w: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w:t>
            </w:r>
          </w:p>
        </w:tc>
        <w:tc>
          <w:tcPr>
            <w:tcW w:w="360" w:type="dxa"/>
            <w:vAlign w:val="bottom"/>
            <w:tcBorders>
              <w:bottom w:val="single" w:sz="8" w:color="auto"/>
            </w:tcBorders>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702,000</w:t>
            </w:r>
          </w:p>
        </w:tc>
        <w:tc>
          <w:tcPr>
            <w:tcW w:w="3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106"/>
              <w:spacing w:after="0" w:line="162" w:lineRule="exact"/>
              <w:rPr>
                <w:sz w:val="20"/>
                <w:szCs w:val="20"/>
                <w:color w:val="auto"/>
              </w:rPr>
            </w:pPr>
            <w:r>
              <w:rPr>
                <w:rFonts w:ascii="Arial" w:cs="Arial" w:eastAsia="Arial" w:hAnsi="Arial"/>
                <w:sz w:val="15"/>
                <w:szCs w:val="15"/>
                <w:color w:val="auto"/>
              </w:rPr>
              <w:t>(29,322)</w:t>
            </w:r>
          </w:p>
        </w:tc>
        <w:tc>
          <w:tcPr>
            <w:tcW w:w="102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1</w:t>
            </w:r>
          </w:p>
        </w:tc>
        <w:tc>
          <w:tcPr>
            <w:tcW w:w="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3,240,900</w:t>
            </w:r>
          </w:p>
        </w:tc>
        <w:tc>
          <w:tcPr>
            <w:tcW w:w="1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(133,043)</w:t>
            </w:r>
          </w:p>
        </w:tc>
      </w:tr>
      <w:tr>
        <w:trPr>
          <w:trHeight w:val="162"/>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2300" w:type="dxa"/>
            <w:vAlign w:val="bottom"/>
            <w:tcBorders>
              <w:bottom w:val="single" w:sz="8" w:color="CCEEFF"/>
            </w:tcBorders>
            <w:shd w:val="clear" w:color="auto" w:fill="CCEEFF"/>
          </w:tcPr>
          <w:p>
            <w:pPr>
              <w:ind w:left="40"/>
              <w:spacing w:after="0" w:line="162" w:lineRule="exact"/>
              <w:rPr>
                <w:sz w:val="20"/>
                <w:szCs w:val="20"/>
                <w:color w:val="auto"/>
              </w:rPr>
            </w:pPr>
            <w:r>
              <w:rPr>
                <w:rFonts w:ascii="Arial" w:cs="Arial" w:eastAsia="Arial" w:hAnsi="Arial"/>
                <w:sz w:val="15"/>
                <w:szCs w:val="15"/>
                <w:color w:val="auto"/>
              </w:rPr>
              <w:t>Total</w:t>
            </w:r>
          </w:p>
        </w:tc>
        <w:tc>
          <w:tcPr>
            <w:tcW w:w="280" w:type="dxa"/>
            <w:vAlign w:val="bottom"/>
            <w:tcBorders>
              <w:bottom w:val="single" w:sz="8" w:color="auto"/>
            </w:tcBorders>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w w:val="98"/>
              </w:rPr>
              <w:t>24,809,494</w:t>
            </w:r>
          </w:p>
        </w:tc>
        <w:tc>
          <w:tcPr>
            <w:tcW w:w="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146"/>
              <w:spacing w:after="0" w:line="162" w:lineRule="exact"/>
              <w:rPr>
                <w:sz w:val="20"/>
                <w:szCs w:val="20"/>
                <w:color w:val="auto"/>
              </w:rPr>
            </w:pPr>
            <w:r>
              <w:rPr>
                <w:rFonts w:ascii="Arial" w:cs="Arial" w:eastAsia="Arial" w:hAnsi="Arial"/>
                <w:sz w:val="15"/>
                <w:szCs w:val="15"/>
                <w:color w:val="auto"/>
              </w:rPr>
              <w:t>(693,206)</w:t>
            </w: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54</w:t>
            </w:r>
          </w:p>
        </w:tc>
        <w:tc>
          <w:tcPr>
            <w:tcW w:w="360" w:type="dxa"/>
            <w:vAlign w:val="bottom"/>
            <w:tcBorders>
              <w:bottom w:val="single" w:sz="8" w:color="auto"/>
            </w:tcBorders>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1,338,093</w:t>
            </w:r>
          </w:p>
        </w:tc>
        <w:tc>
          <w:tcPr>
            <w:tcW w:w="3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106"/>
              <w:spacing w:after="0" w:line="162" w:lineRule="exact"/>
              <w:rPr>
                <w:sz w:val="20"/>
                <w:szCs w:val="20"/>
                <w:color w:val="auto"/>
              </w:rPr>
            </w:pPr>
            <w:r>
              <w:rPr>
                <w:rFonts w:ascii="Arial" w:cs="Arial" w:eastAsia="Arial" w:hAnsi="Arial"/>
                <w:sz w:val="15"/>
                <w:szCs w:val="15"/>
                <w:color w:val="auto"/>
              </w:rPr>
              <w:t>(128,915)</w:t>
            </w:r>
          </w:p>
        </w:tc>
        <w:tc>
          <w:tcPr>
            <w:tcW w:w="1020" w:type="dxa"/>
            <w:vAlign w:val="bottom"/>
            <w:tcBorders>
              <w:bottom w:val="single" w:sz="8" w:color="auto"/>
            </w:tcBorders>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3</w:t>
            </w:r>
          </w:p>
        </w:tc>
        <w:tc>
          <w:tcPr>
            <w:tcW w:w="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26,147,587</w:t>
            </w:r>
          </w:p>
        </w:tc>
        <w:tc>
          <w:tcPr>
            <w:tcW w:w="1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(822,121)</w:t>
            </w: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68" w:name="page69"/>
    <w:bookmarkEnd w:id="68"/>
    <w:p>
      <w:pPr>
        <w:jc w:val="both"/>
        <w:ind w:firstLine="648"/>
        <w:spacing w:after="0" w:line="294" w:lineRule="auto"/>
        <w:rPr>
          <w:sz w:val="20"/>
          <w:szCs w:val="20"/>
          <w:color w:val="auto"/>
        </w:rPr>
      </w:pPr>
      <w:r>
        <w:rPr>
          <w:rFonts w:ascii="Arial" w:cs="Arial" w:eastAsia="Arial" w:hAnsi="Arial"/>
          <w:sz w:val="16"/>
          <w:szCs w:val="16"/>
          <w:color w:val="auto"/>
        </w:rPr>
        <w:t>There were 37 securities at September 30, 2016 that accounted for the gross unrealized loss, none of which were deemed by us to be other than temporarily impaired. There were 57 securities at December 31, 2015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22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In April 2016 we sold 595,238 newly issued shares of our common stock to RenaissanceRe Ventures Ltd., a subsidiary of RenaissanceRe Holdings Ltd. (NYSE:RNR) (“RenaissanceRe”), in a private placement. RenaissanceRe is a global provider of catastrophe and specialty reinsurance and insurance. The new common shares were sold to RenaissanceRe at a price of $8.40 per share. We received net proceeds of approximately $4,802,000 from the private placement. In June 2016, we invested $3,000,000 of the proceeds in KICO as additional surplus to support its continued growth. We intend to use the remaining net proceeds of the offering to support the continued growth of KICO, and for general corporate purposes.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Through the quarter ended September 30, 2016, the primary sources of cash flow for our holding company are dividends received from KICO, subject to statutory restrictions. For the nine months ended September 30, 2016, KICO paid dividends of $1,450,000 to us.</w:t>
      </w:r>
    </w:p>
    <w:p>
      <w:pPr>
        <w:spacing w:after="0" w:line="213"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If the aforementioned sources of cash flow currently available are insufficient to cover our holding company cash requirements, we will seek to obtain additional financing.</w:t>
      </w:r>
    </w:p>
    <w:p>
      <w:pPr>
        <w:spacing w:after="0" w:line="213"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69" w:name="page70"/>
    <w:bookmarkEnd w:id="69"/>
    <w:p>
      <w:pPr>
        <w:jc w:val="both"/>
        <w:ind w:firstLine="648"/>
        <w:spacing w:after="0" w:line="268" w:lineRule="auto"/>
        <w:rPr>
          <w:sz w:val="20"/>
          <w:szCs w:val="20"/>
          <w:color w:val="auto"/>
        </w:rPr>
      </w:pPr>
      <w:r>
        <w:rPr>
          <w:rFonts w:ascii="Arial" w:cs="Arial" w:eastAsia="Arial" w:hAnsi="Arial"/>
          <w:sz w:val="18"/>
          <w:szCs w:val="18"/>
          <w:color w:val="auto"/>
        </w:rPr>
        <w:t>Cash flow and liquidity are categorized into three sources: (1) operating activities; (2) investing activities; and (3) financing activities, which are shown in the following table: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Nine Months Ended September 30,</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5"/>
                <w:szCs w:val="15"/>
                <w:b w:val="1"/>
                <w:bCs w:val="1"/>
                <w:color w:val="auto"/>
              </w:rPr>
              <w:t>2016</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5"/>
                <w:szCs w:val="15"/>
                <w:b w:val="1"/>
                <w:bCs w:val="1"/>
                <w:color w:val="auto"/>
              </w:rPr>
              <w:t>2015</w:t>
            </w:r>
          </w:p>
        </w:tc>
      </w:tr>
      <w:tr>
        <w:trPr>
          <w:trHeight w:val="216"/>
        </w:trPr>
        <w:tc>
          <w:tcPr>
            <w:tcW w:w="8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flows provided by (used in):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4"/>
              <w:spacing w:after="0"/>
              <w:rPr>
                <w:sz w:val="20"/>
                <w:szCs w:val="20"/>
                <w:color w:val="auto"/>
              </w:rPr>
            </w:pPr>
            <w:r>
              <w:rPr>
                <w:rFonts w:ascii="Arial" w:cs="Arial" w:eastAsia="Arial" w:hAnsi="Arial"/>
                <w:sz w:val="18"/>
                <w:szCs w:val="18"/>
                <w:color w:val="auto"/>
                <w:w w:val="99"/>
              </w:rPr>
              <w:t>13,474,432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w w:val="99"/>
              </w:rPr>
              <w:t>12,724,166</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4"/>
              </w:rPr>
              <w:t>(17,855,522)</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(14,576,723)</w:t>
            </w: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3,260,405</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(1,322,692)</w:t>
            </w: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Net decrease in cash and cash equivalents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(1,120,685)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(3,175,249)</w:t>
            </w: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13,551,372</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9,906,878</w:t>
            </w:r>
          </w:p>
        </w:tc>
      </w:tr>
      <w:tr>
        <w:trPr>
          <w:trHeight w:val="257"/>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12,430,687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6,731,629</w:t>
            </w:r>
          </w:p>
        </w:tc>
      </w:tr>
    </w:tbl>
    <w:p>
      <w:pPr>
        <w:spacing w:after="0" w:line="235"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5"/>
          <w:szCs w:val="15"/>
          <w:color w:val="auto"/>
        </w:rPr>
        <w:t>Net cash provided by operating activities was $13,474,000 in 2016 as compared to $12,724,000 provided in 2015. The $750,000 increase in cash flows provided by operating activities in 2016 was primarily a result of an increase in cash arising from net fluctuations in assets and liabilities relating to operating activities of KICO as affected by the growth in its operations which are described above, and an increase in net income (adjusted for non-cash items) of $526,000.</w:t>
      </w:r>
    </w:p>
    <w:p>
      <w:pPr>
        <w:spacing w:after="0" w:line="169" w:lineRule="exact"/>
        <w:rPr>
          <w:sz w:val="20"/>
          <w:szCs w:val="20"/>
          <w:color w:val="auto"/>
        </w:rPr>
      </w:pPr>
    </w:p>
    <w:p>
      <w:pPr>
        <w:jc w:val="both"/>
        <w:ind w:right="20" w:firstLine="648"/>
        <w:spacing w:after="0" w:line="306" w:lineRule="auto"/>
        <w:rPr>
          <w:sz w:val="20"/>
          <w:szCs w:val="20"/>
          <w:color w:val="auto"/>
        </w:rPr>
      </w:pPr>
      <w:r>
        <w:rPr>
          <w:rFonts w:ascii="Arial" w:cs="Arial" w:eastAsia="Arial" w:hAnsi="Arial"/>
          <w:sz w:val="16"/>
          <w:szCs w:val="16"/>
          <w:color w:val="auto"/>
        </w:rPr>
        <w:t>Net cash used in investing activities was $17,856,000 in 2016 compared to $14,577,000 used in 2015. The $3,279,000 increase in cash used in investing activities is the result of a $23,286,000 increase in acquisitions of invested assets, a $645,000 reduction in the amount of fixed asset acquisitions in 2016 and collection of a $250,000 note receivable included in other assets, offset by a $19,116,000 increase in sales or maturities of invested assets.</w:t>
      </w:r>
    </w:p>
    <w:p>
      <w:pPr>
        <w:spacing w:after="0" w:line="18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Net cash provided by financing activities was $3,260,000 in 2016 compared to $1,323,000 used in 2015. The $4,583,000 increase in cash provided by financing activities is the result of the $4,802,000 net proceeds we received from the private placement of our common stock in April 2016 and a $91,000 decrease in the purchase of treasury stock, offset partially by a $348,000 increase in dividends paid due an increase in the dividend rate and shares outstanding.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58"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Our quota share reinsurance treaties are on a July 1 through June 30 fiscal year basis; therefore, for year to date fiscal periods after June 30, two separate treaties will be included in such periods.</w:t>
      </w:r>
    </w:p>
    <w:p>
      <w:pPr>
        <w:spacing w:after="0" w:line="213"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Our quota share reinsurance treaties in effect for the nine months ended September 30, 2016 for our personal lines business, which primarily consists of homeowners’ policies, were covered under the 2015/2016 Treaty and the 2016/2017 Treaty. Our quota share reinsurance treaties in effect for the nine months ended September 30, 2015 for our personal lines business, which primarily consists of homeowners’ policies, were covered under the 2014/2015 Treaty and the 2015/2016 Treaty.</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personal lines quota share treaty that covered the July 1, 2013/June 30, 2014 treaty year was a two year treaty that expired on June 30, 2015.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Effective July 1, 2014, we exercised our contractual option to reduce the ceding percentage in the personal lines quota share treaty from 75% to 55%.</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2014/2015 Treaty, 2015/2016 Treaty and 2016/2017 Treaty provide for the following material terms: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413"/>
              <w:spacing w:after="0"/>
              <w:rPr>
                <w:sz w:val="20"/>
                <w:szCs w:val="20"/>
                <w:color w:val="auto"/>
              </w:rPr>
            </w:pPr>
            <w:r>
              <w:rPr>
                <w:rFonts w:ascii="Arial" w:cs="Arial" w:eastAsia="Arial" w:hAnsi="Arial"/>
                <w:sz w:val="15"/>
                <w:szCs w:val="15"/>
                <w:b w:val="1"/>
                <w:bCs w:val="1"/>
                <w:color w:val="auto"/>
              </w:rPr>
              <w:t>Treaty Year</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233"/>
              <w:spacing w:after="0" w:line="149" w:lineRule="exact"/>
              <w:rPr>
                <w:sz w:val="20"/>
                <w:szCs w:val="20"/>
                <w:color w:val="auto"/>
              </w:rPr>
            </w:pPr>
            <w:r>
              <w:rPr>
                <w:rFonts w:ascii="Arial" w:cs="Arial" w:eastAsia="Arial" w:hAnsi="Arial"/>
                <w:sz w:val="15"/>
                <w:szCs w:val="15"/>
                <w:b w:val="1"/>
                <w:bCs w:val="1"/>
                <w:color w:val="auto"/>
                <w:w w:val="90"/>
              </w:rPr>
              <w:t>July 1, 2016</w:t>
            </w:r>
          </w:p>
        </w:tc>
        <w:tc>
          <w:tcPr>
            <w:tcW w:w="160" w:type="dxa"/>
            <w:vAlign w:val="bottom"/>
          </w:tcPr>
          <w:p>
            <w:pPr>
              <w:spacing w:after="0"/>
              <w:rPr>
                <w:sz w:val="12"/>
                <w:szCs w:val="12"/>
                <w:color w:val="auto"/>
              </w:rPr>
            </w:pPr>
          </w:p>
        </w:tc>
        <w:tc>
          <w:tcPr>
            <w:tcW w:w="1200" w:type="dxa"/>
            <w:vAlign w:val="bottom"/>
          </w:tcPr>
          <w:p>
            <w:pPr>
              <w:jc w:val="center"/>
              <w:ind w:right="193"/>
              <w:spacing w:after="0" w:line="149" w:lineRule="exact"/>
              <w:rPr>
                <w:sz w:val="20"/>
                <w:szCs w:val="20"/>
                <w:color w:val="auto"/>
              </w:rPr>
            </w:pPr>
            <w:r>
              <w:rPr>
                <w:rFonts w:ascii="Arial" w:cs="Arial" w:eastAsia="Arial" w:hAnsi="Arial"/>
                <w:sz w:val="15"/>
                <w:szCs w:val="15"/>
                <w:b w:val="1"/>
                <w:bCs w:val="1"/>
                <w:color w:val="auto"/>
                <w:w w:val="90"/>
              </w:rPr>
              <w:t>July 1, 2015</w:t>
            </w:r>
          </w:p>
        </w:tc>
        <w:tc>
          <w:tcPr>
            <w:tcW w:w="180" w:type="dxa"/>
            <w:vAlign w:val="bottom"/>
          </w:tcPr>
          <w:p>
            <w:pPr>
              <w:spacing w:after="0"/>
              <w:rPr>
                <w:sz w:val="12"/>
                <w:szCs w:val="12"/>
                <w:color w:val="auto"/>
              </w:rPr>
            </w:pPr>
          </w:p>
        </w:tc>
        <w:tc>
          <w:tcPr>
            <w:tcW w:w="1120" w:type="dxa"/>
            <w:vAlign w:val="bottom"/>
          </w:tcPr>
          <w:p>
            <w:pPr>
              <w:jc w:val="center"/>
              <w:ind w:right="153"/>
              <w:spacing w:after="0" w:line="149" w:lineRule="exact"/>
              <w:rPr>
                <w:sz w:val="20"/>
                <w:szCs w:val="20"/>
                <w:color w:val="auto"/>
              </w:rPr>
            </w:pPr>
            <w:r>
              <w:rPr>
                <w:rFonts w:ascii="Arial" w:cs="Arial" w:eastAsia="Arial" w:hAnsi="Arial"/>
                <w:sz w:val="15"/>
                <w:szCs w:val="15"/>
                <w:b w:val="1"/>
                <w:bCs w:val="1"/>
                <w:color w:val="auto"/>
                <w:w w:val="90"/>
              </w:rPr>
              <w:t>July 1, 2014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233"/>
              <w:spacing w:after="0" w:line="162" w:lineRule="exact"/>
              <w:rPr>
                <w:sz w:val="20"/>
                <w:szCs w:val="20"/>
                <w:color w:val="auto"/>
              </w:rPr>
            </w:pPr>
            <w:r>
              <w:rPr>
                <w:rFonts w:ascii="Arial" w:cs="Arial" w:eastAsia="Arial" w:hAnsi="Arial"/>
                <w:sz w:val="15"/>
                <w:szCs w:val="15"/>
                <w:b w:val="1"/>
                <w:bCs w:val="1"/>
                <w:color w:val="auto"/>
                <w:w w:val="84"/>
              </w:rPr>
              <w:t>to</w:t>
            </w:r>
          </w:p>
        </w:tc>
        <w:tc>
          <w:tcPr>
            <w:tcW w:w="160" w:type="dxa"/>
            <w:vAlign w:val="bottom"/>
          </w:tcPr>
          <w:p>
            <w:pPr>
              <w:spacing w:after="0"/>
              <w:rPr>
                <w:sz w:val="14"/>
                <w:szCs w:val="14"/>
                <w:color w:val="auto"/>
              </w:rPr>
            </w:pPr>
          </w:p>
        </w:tc>
        <w:tc>
          <w:tcPr>
            <w:tcW w:w="1200" w:type="dxa"/>
            <w:vAlign w:val="bottom"/>
          </w:tcPr>
          <w:p>
            <w:pPr>
              <w:jc w:val="center"/>
              <w:ind w:right="193"/>
              <w:spacing w:after="0" w:line="162" w:lineRule="exact"/>
              <w:rPr>
                <w:sz w:val="20"/>
                <w:szCs w:val="20"/>
                <w:color w:val="auto"/>
              </w:rPr>
            </w:pPr>
            <w:r>
              <w:rPr>
                <w:rFonts w:ascii="Arial" w:cs="Arial" w:eastAsia="Arial" w:hAnsi="Arial"/>
                <w:sz w:val="15"/>
                <w:szCs w:val="15"/>
                <w:b w:val="1"/>
                <w:bCs w:val="1"/>
                <w:color w:val="auto"/>
                <w:w w:val="84"/>
              </w:rPr>
              <w:t>to</w:t>
            </w:r>
          </w:p>
        </w:tc>
        <w:tc>
          <w:tcPr>
            <w:tcW w:w="18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4"/>
              </w:rPr>
              <w:t>to</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320" w:type="dxa"/>
            <w:vAlign w:val="bottom"/>
            <w:gridSpan w:val="5"/>
          </w:tcPr>
          <w:p>
            <w:pPr>
              <w:ind w:left="20"/>
              <w:spacing w:after="0"/>
              <w:rPr>
                <w:sz w:val="20"/>
                <w:szCs w:val="20"/>
                <w:color w:val="auto"/>
              </w:rPr>
            </w:pPr>
            <w:r>
              <w:rPr>
                <w:rFonts w:ascii="Arial" w:cs="Arial" w:eastAsia="Arial" w:hAnsi="Arial"/>
                <w:sz w:val="15"/>
                <w:szCs w:val="15"/>
                <w:b w:val="1"/>
                <w:bCs w:val="1"/>
                <w:color w:val="auto"/>
              </w:rPr>
              <w:t>Line of Busines</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213"/>
              <w:spacing w:after="0"/>
              <w:rPr>
                <w:sz w:val="20"/>
                <w:szCs w:val="20"/>
                <w:color w:val="auto"/>
              </w:rPr>
            </w:pPr>
            <w:r>
              <w:rPr>
                <w:rFonts w:ascii="Arial" w:cs="Arial" w:eastAsia="Arial" w:hAnsi="Arial"/>
                <w:sz w:val="15"/>
                <w:szCs w:val="15"/>
                <w:b w:val="1"/>
                <w:bCs w:val="1"/>
                <w:color w:val="auto"/>
                <w:w w:val="88"/>
              </w:rPr>
              <w:t>June 30, 2017</w:t>
            </w:r>
          </w:p>
        </w:tc>
        <w:tc>
          <w:tcPr>
            <w:tcW w:w="160" w:type="dxa"/>
            <w:vAlign w:val="bottom"/>
          </w:tcPr>
          <w:p>
            <w:pPr>
              <w:spacing w:after="0"/>
              <w:rPr>
                <w:sz w:val="15"/>
                <w:szCs w:val="15"/>
                <w:color w:val="auto"/>
              </w:rPr>
            </w:pPr>
          </w:p>
        </w:tc>
        <w:tc>
          <w:tcPr>
            <w:tcW w:w="1200" w:type="dxa"/>
            <w:vAlign w:val="bottom"/>
          </w:tcPr>
          <w:p>
            <w:pPr>
              <w:jc w:val="center"/>
              <w:ind w:right="213"/>
              <w:spacing w:after="0"/>
              <w:rPr>
                <w:sz w:val="20"/>
                <w:szCs w:val="20"/>
                <w:color w:val="auto"/>
              </w:rPr>
            </w:pPr>
            <w:r>
              <w:rPr>
                <w:rFonts w:ascii="Arial" w:cs="Arial" w:eastAsia="Arial" w:hAnsi="Arial"/>
                <w:sz w:val="15"/>
                <w:szCs w:val="15"/>
                <w:b w:val="1"/>
                <w:bCs w:val="1"/>
                <w:color w:val="auto"/>
                <w:w w:val="88"/>
              </w:rPr>
              <w:t>June 30, 2016</w:t>
            </w:r>
          </w:p>
        </w:tc>
        <w:tc>
          <w:tcPr>
            <w:tcW w:w="1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June 30, 2015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358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3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Personal Lines:</w:t>
            </w:r>
          </w:p>
        </w:tc>
        <w:tc>
          <w:tcPr>
            <w:tcW w:w="1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5"/>
          </w:tcPr>
          <w:p>
            <w:pPr>
              <w:spacing w:after="0"/>
              <w:rPr>
                <w:sz w:val="20"/>
                <w:szCs w:val="20"/>
                <w:color w:val="auto"/>
              </w:rPr>
            </w:pPr>
            <w:r>
              <w:rPr>
                <w:rFonts w:ascii="Arial" w:cs="Arial" w:eastAsia="Arial" w:hAnsi="Arial"/>
                <w:sz w:val="18"/>
                <w:szCs w:val="18"/>
                <w:color w:val="auto"/>
              </w:rPr>
              <w:t>Homeowners, dwelling fire and canine legal liability</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Quota share treaty:</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360"/>
              <w:spacing w:after="0"/>
              <w:rPr>
                <w:sz w:val="20"/>
                <w:szCs w:val="20"/>
                <w:color w:val="auto"/>
              </w:rPr>
            </w:pPr>
            <w:r>
              <w:rPr>
                <w:rFonts w:ascii="Arial" w:cs="Arial" w:eastAsia="Arial" w:hAnsi="Arial"/>
                <w:sz w:val="18"/>
                <w:szCs w:val="18"/>
                <w:color w:val="auto"/>
              </w:rPr>
              <w:t>Percent ceded</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Risk retained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450,000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360"/>
              <w:spacing w:after="0"/>
              <w:rPr>
                <w:sz w:val="20"/>
                <w:szCs w:val="20"/>
                <w:color w:val="auto"/>
              </w:rPr>
            </w:pPr>
            <w:r>
              <w:rPr>
                <w:rFonts w:ascii="Arial" w:cs="Arial" w:eastAsia="Arial" w:hAnsi="Arial"/>
                <w:sz w:val="18"/>
                <w:szCs w:val="18"/>
                <w:color w:val="auto"/>
                <w:w w:val="91"/>
              </w:rPr>
              <w:t>Losses per occurrence subject to quota share reinsurance coverage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833,333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750,000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Excess of loss coverage above quota share coverage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3,666,667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3,750,000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173"/>
              <w:spacing w:after="0"/>
              <w:rPr>
                <w:sz w:val="20"/>
                <w:szCs w:val="20"/>
                <w:color w:val="auto"/>
              </w:rPr>
            </w:pPr>
            <w:r>
              <w:rPr>
                <w:rFonts w:ascii="Arial" w:cs="Arial" w:eastAsia="Arial" w:hAnsi="Arial"/>
                <w:sz w:val="18"/>
                <w:szCs w:val="18"/>
                <w:color w:val="auto"/>
                <w:w w:val="86"/>
              </w:rPr>
              <w:t>in excess of</w:t>
            </w:r>
          </w:p>
        </w:tc>
        <w:tc>
          <w:tcPr>
            <w:tcW w:w="160" w:type="dxa"/>
            <w:vAlign w:val="bottom"/>
          </w:tcPr>
          <w:p>
            <w:pPr>
              <w:spacing w:after="0"/>
              <w:rPr>
                <w:sz w:val="18"/>
                <w:szCs w:val="18"/>
                <w:color w:val="auto"/>
              </w:rPr>
            </w:pPr>
          </w:p>
        </w:tc>
        <w:tc>
          <w:tcPr>
            <w:tcW w:w="1200" w:type="dxa"/>
            <w:vAlign w:val="bottom"/>
          </w:tcPr>
          <w:p>
            <w:pPr>
              <w:jc w:val="right"/>
              <w:ind w:right="213"/>
              <w:spacing w:after="0"/>
              <w:rPr>
                <w:sz w:val="20"/>
                <w:szCs w:val="20"/>
                <w:color w:val="auto"/>
              </w:rPr>
            </w:pPr>
            <w:r>
              <w:rPr>
                <w:rFonts w:ascii="Arial" w:cs="Arial" w:eastAsia="Arial" w:hAnsi="Arial"/>
                <w:sz w:val="18"/>
                <w:szCs w:val="18"/>
                <w:color w:val="auto"/>
                <w:w w:val="92"/>
              </w:rPr>
              <w:t>in excess of</w:t>
            </w:r>
          </w:p>
        </w:tc>
        <w:tc>
          <w:tcPr>
            <w:tcW w:w="180" w:type="dxa"/>
            <w:vAlign w:val="bottom"/>
          </w:tcPr>
          <w:p>
            <w:pPr>
              <w:spacing w:after="0"/>
              <w:rPr>
                <w:sz w:val="18"/>
                <w:szCs w:val="18"/>
                <w:color w:val="auto"/>
              </w:rPr>
            </w:pPr>
          </w:p>
        </w:tc>
        <w:tc>
          <w:tcPr>
            <w:tcW w:w="1120" w:type="dxa"/>
            <w:vAlign w:val="bottom"/>
          </w:tcPr>
          <w:p>
            <w:pPr>
              <w:jc w:val="center"/>
              <w:ind w:right="113"/>
              <w:spacing w:after="0"/>
              <w:rPr>
                <w:sz w:val="20"/>
                <w:szCs w:val="20"/>
                <w:color w:val="auto"/>
              </w:rPr>
            </w:pPr>
            <w:r>
              <w:rPr>
                <w:rFonts w:ascii="Arial" w:cs="Arial" w:eastAsia="Arial" w:hAnsi="Arial"/>
                <w:sz w:val="18"/>
                <w:szCs w:val="18"/>
                <w:color w:val="auto"/>
                <w:w w:val="88"/>
              </w:rPr>
              <w:t>in excess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833,333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750,000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200"/>
              <w:spacing w:after="0"/>
              <w:rPr>
                <w:sz w:val="20"/>
                <w:szCs w:val="20"/>
                <w:color w:val="auto"/>
              </w:rPr>
            </w:pPr>
            <w:r>
              <w:rPr>
                <w:rFonts w:ascii="Arial" w:cs="Arial" w:eastAsia="Arial" w:hAnsi="Arial"/>
                <w:sz w:val="18"/>
                <w:szCs w:val="18"/>
                <w:color w:val="auto"/>
              </w:rPr>
              <w:t>Total reinsurance coverage per occurrence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4,050,000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3,640,000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Losses per occurrence subject to reinsurance coverage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4,500,000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4,500,000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200"/>
              <w:spacing w:after="0"/>
              <w:rPr>
                <w:sz w:val="20"/>
                <w:szCs w:val="20"/>
                <w:color w:val="auto"/>
              </w:rPr>
            </w:pPr>
            <w:r>
              <w:rPr>
                <w:rFonts w:ascii="Arial" w:cs="Arial" w:eastAsia="Arial" w:hAnsi="Arial"/>
                <w:sz w:val="18"/>
                <w:szCs w:val="18"/>
                <w:color w:val="auto"/>
              </w:rPr>
              <w:t>Expiration date</w:t>
            </w:r>
          </w:p>
        </w:tc>
        <w:tc>
          <w:tcPr>
            <w:tcW w:w="198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5"/>
              </w:rPr>
              <w:t>June 30, 2017</w:t>
            </w:r>
          </w:p>
        </w:tc>
        <w:tc>
          <w:tcPr>
            <w:tcW w:w="1360" w:type="dxa"/>
            <w:vAlign w:val="bottom"/>
            <w:gridSpan w:val="2"/>
          </w:tcPr>
          <w:p>
            <w:pPr>
              <w:jc w:val="center"/>
              <w:ind w:right="53"/>
              <w:spacing w:after="0"/>
              <w:rPr>
                <w:sz w:val="20"/>
                <w:szCs w:val="20"/>
                <w:color w:val="auto"/>
              </w:rPr>
            </w:pPr>
            <w:r>
              <w:rPr>
                <w:rFonts w:ascii="Arial" w:cs="Arial" w:eastAsia="Arial" w:hAnsi="Arial"/>
                <w:sz w:val="18"/>
                <w:szCs w:val="18"/>
                <w:color w:val="auto"/>
                <w:w w:val="85"/>
              </w:rPr>
              <w:t>June 30, 2016</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5"/>
              </w:rPr>
              <w:t>June 30, 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40"/>
              <w:spacing w:after="0"/>
              <w:rPr>
                <w:sz w:val="20"/>
                <w:szCs w:val="20"/>
                <w:color w:val="auto"/>
              </w:rPr>
            </w:pPr>
            <w:r>
              <w:rPr>
                <w:rFonts w:ascii="Arial" w:cs="Arial" w:eastAsia="Arial" w:hAnsi="Arial"/>
                <w:sz w:val="18"/>
                <w:szCs w:val="18"/>
                <w:color w:val="auto"/>
              </w:rPr>
              <w:t>Personal Umbrella</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Quota share treaty:</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360"/>
              <w:spacing w:after="0"/>
              <w:rPr>
                <w:sz w:val="20"/>
                <w:szCs w:val="20"/>
                <w:color w:val="auto"/>
              </w:rPr>
            </w:pPr>
            <w:r>
              <w:rPr>
                <w:rFonts w:ascii="Arial" w:cs="Arial" w:eastAsia="Arial" w:hAnsi="Arial"/>
                <w:sz w:val="18"/>
                <w:szCs w:val="18"/>
                <w:color w:val="auto"/>
              </w:rPr>
              <w:t>Percent ceded - first $1,000,000 of coverage</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Percent ceded - excess of $1,000,000 dollars of coverage</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360"/>
              <w:spacing w:after="0"/>
              <w:rPr>
                <w:sz w:val="20"/>
                <w:szCs w:val="20"/>
                <w:color w:val="auto"/>
              </w:rPr>
            </w:pPr>
            <w:r>
              <w:rPr>
                <w:rFonts w:ascii="Arial" w:cs="Arial" w:eastAsia="Arial" w:hAnsi="Arial"/>
                <w:sz w:val="18"/>
                <w:szCs w:val="18"/>
                <w:color w:val="auto"/>
              </w:rPr>
              <w:t>Risk retained</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Total reinsurance coverage per occurrence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4,900,000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2,900,000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2,900,000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360"/>
              <w:spacing w:after="0"/>
              <w:rPr>
                <w:sz w:val="20"/>
                <w:szCs w:val="20"/>
                <w:color w:val="auto"/>
              </w:rPr>
            </w:pPr>
            <w:r>
              <w:rPr>
                <w:rFonts w:ascii="Arial" w:cs="Arial" w:eastAsia="Arial" w:hAnsi="Arial"/>
                <w:sz w:val="18"/>
                <w:szCs w:val="18"/>
                <w:color w:val="auto"/>
                <w:w w:val="91"/>
              </w:rPr>
              <w:t>Losses per occurrence subject to quota share reinsurance coverage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3,000,000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Expiration date</w:t>
            </w:r>
          </w:p>
        </w:tc>
        <w:tc>
          <w:tcPr>
            <w:tcW w:w="19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June 30, 2017</w:t>
            </w:r>
          </w:p>
        </w:tc>
        <w:tc>
          <w:tcPr>
            <w:tcW w:w="1360" w:type="dxa"/>
            <w:vAlign w:val="bottom"/>
            <w:gridSpan w:val="2"/>
            <w:shd w:val="clear" w:color="auto" w:fill="CCEEFF"/>
          </w:tcPr>
          <w:p>
            <w:pPr>
              <w:jc w:val="center"/>
              <w:ind w:right="53"/>
              <w:spacing w:after="0"/>
              <w:rPr>
                <w:sz w:val="20"/>
                <w:szCs w:val="20"/>
                <w:color w:val="auto"/>
              </w:rPr>
            </w:pPr>
            <w:r>
              <w:rPr>
                <w:rFonts w:ascii="Arial" w:cs="Arial" w:eastAsia="Arial" w:hAnsi="Arial"/>
                <w:sz w:val="18"/>
                <w:szCs w:val="18"/>
                <w:color w:val="auto"/>
                <w:w w:val="85"/>
              </w:rPr>
              <w:t>June 30, 2016</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June 30, 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3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Commercial Lines:</w:t>
            </w:r>
          </w:p>
        </w:tc>
        <w:tc>
          <w:tcPr>
            <w:tcW w:w="1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40"/>
              <w:spacing w:after="0"/>
              <w:rPr>
                <w:sz w:val="20"/>
                <w:szCs w:val="20"/>
                <w:color w:val="auto"/>
              </w:rPr>
            </w:pPr>
            <w:r>
              <w:rPr>
                <w:rFonts w:ascii="Arial" w:cs="Arial" w:eastAsia="Arial" w:hAnsi="Arial"/>
                <w:sz w:val="18"/>
                <w:szCs w:val="18"/>
                <w:color w:val="auto"/>
              </w:rPr>
              <w:t>General liability commercial policies, except for commercial auto</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Quota share treaty:</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360"/>
              <w:spacing w:after="0"/>
              <w:rPr>
                <w:sz w:val="20"/>
                <w:szCs w:val="20"/>
                <w:color w:val="auto"/>
              </w:rPr>
            </w:pPr>
            <w:r>
              <w:rPr>
                <w:rFonts w:ascii="Arial" w:cs="Arial" w:eastAsia="Arial" w:hAnsi="Arial"/>
                <w:sz w:val="18"/>
                <w:szCs w:val="18"/>
                <w:color w:val="auto"/>
              </w:rPr>
              <w:t>Percent ceded (terminated effective July 1, 2014)</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213"/>
              <w:spacing w:after="0"/>
              <w:rPr>
                <w:sz w:val="20"/>
                <w:szCs w:val="20"/>
                <w:color w:val="auto"/>
              </w:rPr>
            </w:pPr>
            <w:r>
              <w:rPr>
                <w:rFonts w:ascii="Arial" w:cs="Arial" w:eastAsia="Arial" w:hAnsi="Arial"/>
                <w:sz w:val="18"/>
                <w:szCs w:val="18"/>
                <w:color w:val="auto"/>
                <w:w w:val="88"/>
              </w:rPr>
              <w:t>None</w:t>
            </w:r>
          </w:p>
        </w:tc>
        <w:tc>
          <w:tcPr>
            <w:tcW w:w="160" w:type="dxa"/>
            <w:vAlign w:val="bottom"/>
          </w:tcPr>
          <w:p>
            <w:pPr>
              <w:spacing w:after="0"/>
              <w:rPr>
                <w:sz w:val="18"/>
                <w:szCs w:val="18"/>
                <w:color w:val="auto"/>
              </w:rPr>
            </w:pPr>
          </w:p>
        </w:tc>
        <w:tc>
          <w:tcPr>
            <w:tcW w:w="1200" w:type="dxa"/>
            <w:vAlign w:val="bottom"/>
          </w:tcPr>
          <w:p>
            <w:pPr>
              <w:jc w:val="center"/>
              <w:ind w:right="213"/>
              <w:spacing w:after="0"/>
              <w:rPr>
                <w:sz w:val="20"/>
                <w:szCs w:val="20"/>
                <w:color w:val="auto"/>
              </w:rPr>
            </w:pPr>
            <w:r>
              <w:rPr>
                <w:rFonts w:ascii="Arial" w:cs="Arial" w:eastAsia="Arial" w:hAnsi="Arial"/>
                <w:sz w:val="18"/>
                <w:szCs w:val="18"/>
                <w:color w:val="auto"/>
                <w:w w:val="88"/>
              </w:rPr>
              <w:t>None</w:t>
            </w:r>
          </w:p>
        </w:tc>
        <w:tc>
          <w:tcPr>
            <w:tcW w:w="180" w:type="dxa"/>
            <w:vAlign w:val="bottom"/>
          </w:tcPr>
          <w:p>
            <w:pPr>
              <w:spacing w:after="0"/>
              <w:rPr>
                <w:sz w:val="18"/>
                <w:szCs w:val="18"/>
                <w:color w:val="auto"/>
              </w:rPr>
            </w:pPr>
          </w:p>
        </w:tc>
        <w:tc>
          <w:tcPr>
            <w:tcW w:w="1120" w:type="dxa"/>
            <w:vAlign w:val="bottom"/>
          </w:tcPr>
          <w:p>
            <w:pPr>
              <w:jc w:val="center"/>
              <w:ind w:right="173"/>
              <w:spacing w:after="0"/>
              <w:rPr>
                <w:sz w:val="20"/>
                <w:szCs w:val="20"/>
                <w:color w:val="auto"/>
              </w:rPr>
            </w:pPr>
            <w:r>
              <w:rPr>
                <w:rFonts w:ascii="Arial" w:cs="Arial" w:eastAsia="Arial" w:hAnsi="Arial"/>
                <w:sz w:val="18"/>
                <w:szCs w:val="18"/>
                <w:color w:val="auto"/>
                <w:w w:val="88"/>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Risk retained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425,000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360"/>
              <w:spacing w:after="0"/>
              <w:rPr>
                <w:sz w:val="20"/>
                <w:szCs w:val="20"/>
                <w:color w:val="auto"/>
              </w:rPr>
            </w:pPr>
            <w:r>
              <w:rPr>
                <w:rFonts w:ascii="Arial" w:cs="Arial" w:eastAsia="Arial" w:hAnsi="Arial"/>
                <w:sz w:val="18"/>
                <w:szCs w:val="18"/>
                <w:color w:val="auto"/>
                <w:w w:val="91"/>
              </w:rPr>
              <w:t>Losses per occurrence subject to quota share reinsurance coverage</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213"/>
              <w:spacing w:after="0"/>
              <w:rPr>
                <w:sz w:val="20"/>
                <w:szCs w:val="20"/>
                <w:color w:val="auto"/>
              </w:rPr>
            </w:pPr>
            <w:r>
              <w:rPr>
                <w:rFonts w:ascii="Arial" w:cs="Arial" w:eastAsia="Arial" w:hAnsi="Arial"/>
                <w:sz w:val="18"/>
                <w:szCs w:val="18"/>
                <w:color w:val="auto"/>
                <w:w w:val="88"/>
              </w:rPr>
              <w:t>None</w:t>
            </w:r>
          </w:p>
        </w:tc>
        <w:tc>
          <w:tcPr>
            <w:tcW w:w="160" w:type="dxa"/>
            <w:vAlign w:val="bottom"/>
          </w:tcPr>
          <w:p>
            <w:pPr>
              <w:spacing w:after="0"/>
              <w:rPr>
                <w:sz w:val="18"/>
                <w:szCs w:val="18"/>
                <w:color w:val="auto"/>
              </w:rPr>
            </w:pPr>
          </w:p>
        </w:tc>
        <w:tc>
          <w:tcPr>
            <w:tcW w:w="1200" w:type="dxa"/>
            <w:vAlign w:val="bottom"/>
          </w:tcPr>
          <w:p>
            <w:pPr>
              <w:jc w:val="center"/>
              <w:ind w:right="213"/>
              <w:spacing w:after="0"/>
              <w:rPr>
                <w:sz w:val="20"/>
                <w:szCs w:val="20"/>
                <w:color w:val="auto"/>
              </w:rPr>
            </w:pPr>
            <w:r>
              <w:rPr>
                <w:rFonts w:ascii="Arial" w:cs="Arial" w:eastAsia="Arial" w:hAnsi="Arial"/>
                <w:sz w:val="18"/>
                <w:szCs w:val="18"/>
                <w:color w:val="auto"/>
                <w:w w:val="88"/>
              </w:rPr>
              <w:t>None</w:t>
            </w:r>
          </w:p>
        </w:tc>
        <w:tc>
          <w:tcPr>
            <w:tcW w:w="180" w:type="dxa"/>
            <w:vAlign w:val="bottom"/>
          </w:tcPr>
          <w:p>
            <w:pPr>
              <w:spacing w:after="0"/>
              <w:rPr>
                <w:sz w:val="18"/>
                <w:szCs w:val="18"/>
                <w:color w:val="auto"/>
              </w:rPr>
            </w:pPr>
          </w:p>
        </w:tc>
        <w:tc>
          <w:tcPr>
            <w:tcW w:w="1120" w:type="dxa"/>
            <w:vAlign w:val="bottom"/>
          </w:tcPr>
          <w:p>
            <w:pPr>
              <w:jc w:val="center"/>
              <w:ind w:right="173"/>
              <w:spacing w:after="0"/>
              <w:rPr>
                <w:sz w:val="20"/>
                <w:szCs w:val="20"/>
                <w:color w:val="auto"/>
              </w:rPr>
            </w:pPr>
            <w:r>
              <w:rPr>
                <w:rFonts w:ascii="Arial" w:cs="Arial" w:eastAsia="Arial" w:hAnsi="Arial"/>
                <w:sz w:val="18"/>
                <w:szCs w:val="18"/>
                <w:color w:val="auto"/>
                <w:w w:val="88"/>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Excess of loss coverage above quota share coverage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4,075,000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173"/>
              <w:spacing w:after="0"/>
              <w:rPr>
                <w:sz w:val="20"/>
                <w:szCs w:val="20"/>
                <w:color w:val="auto"/>
              </w:rPr>
            </w:pPr>
            <w:r>
              <w:rPr>
                <w:rFonts w:ascii="Arial" w:cs="Arial" w:eastAsia="Arial" w:hAnsi="Arial"/>
                <w:sz w:val="18"/>
                <w:szCs w:val="18"/>
                <w:color w:val="auto"/>
                <w:w w:val="86"/>
              </w:rPr>
              <w:t>in excess of</w:t>
            </w:r>
          </w:p>
        </w:tc>
        <w:tc>
          <w:tcPr>
            <w:tcW w:w="160" w:type="dxa"/>
            <w:vAlign w:val="bottom"/>
          </w:tcPr>
          <w:p>
            <w:pPr>
              <w:spacing w:after="0"/>
              <w:rPr>
                <w:sz w:val="18"/>
                <w:szCs w:val="18"/>
                <w:color w:val="auto"/>
              </w:rPr>
            </w:pPr>
          </w:p>
        </w:tc>
        <w:tc>
          <w:tcPr>
            <w:tcW w:w="1200" w:type="dxa"/>
            <w:vAlign w:val="bottom"/>
          </w:tcPr>
          <w:p>
            <w:pPr>
              <w:jc w:val="right"/>
              <w:ind w:right="213"/>
              <w:spacing w:after="0"/>
              <w:rPr>
                <w:sz w:val="20"/>
                <w:szCs w:val="20"/>
                <w:color w:val="auto"/>
              </w:rPr>
            </w:pPr>
            <w:r>
              <w:rPr>
                <w:rFonts w:ascii="Arial" w:cs="Arial" w:eastAsia="Arial" w:hAnsi="Arial"/>
                <w:sz w:val="18"/>
                <w:szCs w:val="18"/>
                <w:color w:val="auto"/>
                <w:w w:val="92"/>
              </w:rPr>
              <w:t>in excess of</w:t>
            </w:r>
          </w:p>
        </w:tc>
        <w:tc>
          <w:tcPr>
            <w:tcW w:w="180" w:type="dxa"/>
            <w:vAlign w:val="bottom"/>
          </w:tcPr>
          <w:p>
            <w:pPr>
              <w:spacing w:after="0"/>
              <w:rPr>
                <w:sz w:val="18"/>
                <w:szCs w:val="18"/>
                <w:color w:val="auto"/>
              </w:rPr>
            </w:pPr>
          </w:p>
        </w:tc>
        <w:tc>
          <w:tcPr>
            <w:tcW w:w="1120" w:type="dxa"/>
            <w:vAlign w:val="bottom"/>
          </w:tcPr>
          <w:p>
            <w:pPr>
              <w:jc w:val="center"/>
              <w:ind w:right="113"/>
              <w:spacing w:after="0"/>
              <w:rPr>
                <w:sz w:val="20"/>
                <w:szCs w:val="20"/>
                <w:color w:val="auto"/>
              </w:rPr>
            </w:pPr>
            <w:r>
              <w:rPr>
                <w:rFonts w:ascii="Arial" w:cs="Arial" w:eastAsia="Arial" w:hAnsi="Arial"/>
                <w:sz w:val="18"/>
                <w:szCs w:val="18"/>
                <w:color w:val="auto"/>
                <w:w w:val="88"/>
              </w:rPr>
              <w:t>in excess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425,000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200"/>
              <w:spacing w:after="0"/>
              <w:rPr>
                <w:sz w:val="20"/>
                <w:szCs w:val="20"/>
                <w:color w:val="auto"/>
              </w:rPr>
            </w:pPr>
            <w:r>
              <w:rPr>
                <w:rFonts w:ascii="Arial" w:cs="Arial" w:eastAsia="Arial" w:hAnsi="Arial"/>
                <w:sz w:val="18"/>
                <w:szCs w:val="18"/>
                <w:color w:val="auto"/>
              </w:rPr>
              <w:t>Total reinsurance coverage per occurrence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4,075,000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Losses per occurrence subject to reinsurance coverage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4,500,000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4,500,000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Commercial Umbrella</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200"/>
              <w:spacing w:after="0"/>
              <w:rPr>
                <w:sz w:val="20"/>
                <w:szCs w:val="20"/>
                <w:color w:val="auto"/>
              </w:rPr>
            </w:pPr>
            <w:r>
              <w:rPr>
                <w:rFonts w:ascii="Arial" w:cs="Arial" w:eastAsia="Arial" w:hAnsi="Arial"/>
                <w:sz w:val="18"/>
                <w:szCs w:val="18"/>
                <w:color w:val="auto"/>
              </w:rPr>
              <w:t>Quota share treaty:</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Percent ceded - first $1,000,000 of coverage</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360"/>
              <w:spacing w:after="0"/>
              <w:rPr>
                <w:sz w:val="20"/>
                <w:szCs w:val="20"/>
                <w:color w:val="auto"/>
              </w:rPr>
            </w:pPr>
            <w:r>
              <w:rPr>
                <w:rFonts w:ascii="Arial" w:cs="Arial" w:eastAsia="Arial" w:hAnsi="Arial"/>
                <w:sz w:val="18"/>
                <w:szCs w:val="18"/>
                <w:color w:val="auto"/>
              </w:rPr>
              <w:t>Percent ceded - excess of $1,000,000 of coverage</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Risk retained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360"/>
              <w:spacing w:after="0"/>
              <w:rPr>
                <w:sz w:val="20"/>
                <w:szCs w:val="20"/>
                <w:color w:val="auto"/>
              </w:rPr>
            </w:pPr>
            <w:r>
              <w:rPr>
                <w:rFonts w:ascii="Arial" w:cs="Arial" w:eastAsia="Arial" w:hAnsi="Arial"/>
                <w:sz w:val="18"/>
                <w:szCs w:val="18"/>
                <w:color w:val="auto"/>
              </w:rPr>
              <w:t>Total reinsurance coverage per occurrence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4,900,000</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w w:val="91"/>
              </w:rPr>
              <w:t>Losses per occurrence subject to quota share reinsurance coverage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200"/>
              <w:spacing w:after="0"/>
              <w:rPr>
                <w:sz w:val="20"/>
                <w:szCs w:val="20"/>
                <w:color w:val="auto"/>
              </w:rPr>
            </w:pPr>
            <w:r>
              <w:rPr>
                <w:rFonts w:ascii="Arial" w:cs="Arial" w:eastAsia="Arial" w:hAnsi="Arial"/>
                <w:sz w:val="18"/>
                <w:szCs w:val="18"/>
                <w:color w:val="auto"/>
              </w:rPr>
              <w:t>Expiration date</w:t>
            </w:r>
          </w:p>
        </w:tc>
        <w:tc>
          <w:tcPr>
            <w:tcW w:w="198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5"/>
              </w:rPr>
              <w:t>June 30, 2017</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320" w:type="dxa"/>
            <w:vAlign w:val="bottom"/>
            <w:gridSpan w:val="5"/>
          </w:tcPr>
          <w:p>
            <w:pPr>
              <w:spacing w:after="0" w:line="176" w:lineRule="exact"/>
              <w:rPr>
                <w:sz w:val="20"/>
                <w:szCs w:val="20"/>
                <w:color w:val="auto"/>
              </w:rPr>
            </w:pPr>
            <w:r>
              <w:rPr>
                <w:rFonts w:ascii="Arial" w:cs="Arial" w:eastAsia="Arial" w:hAnsi="Arial"/>
                <w:sz w:val="18"/>
                <w:szCs w:val="18"/>
                <w:color w:val="auto"/>
              </w:rPr>
              <w:t>Commercial Auto:</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Risk retained</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200"/>
              <w:spacing w:after="0"/>
              <w:rPr>
                <w:sz w:val="20"/>
                <w:szCs w:val="20"/>
                <w:color w:val="auto"/>
              </w:rPr>
            </w:pPr>
            <w:r>
              <w:rPr>
                <w:rFonts w:ascii="Arial" w:cs="Arial" w:eastAsia="Arial" w:hAnsi="Arial"/>
                <w:sz w:val="18"/>
                <w:szCs w:val="18"/>
                <w:color w:val="auto"/>
              </w:rPr>
              <w:t>Excess of loss coverage in excess of risk retained</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1,700,000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2"/>
              </w:rPr>
              <w:t>in excess of</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13"/>
              <w:spacing w:after="0"/>
              <w:rPr>
                <w:sz w:val="20"/>
                <w:szCs w:val="20"/>
                <w:color w:val="auto"/>
              </w:rPr>
            </w:pPr>
            <w:r>
              <w:rPr>
                <w:rFonts w:ascii="Arial" w:cs="Arial" w:eastAsia="Arial" w:hAnsi="Arial"/>
                <w:sz w:val="18"/>
                <w:szCs w:val="18"/>
                <w:color w:val="auto"/>
                <w:w w:val="88"/>
              </w:rPr>
              <w:t>in excess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Catastrophe Reinsurance:</w:t>
            </w:r>
          </w:p>
        </w:tc>
        <w:tc>
          <w:tcPr>
            <w:tcW w:w="1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200"/>
              <w:spacing w:after="0"/>
              <w:rPr>
                <w:sz w:val="20"/>
                <w:szCs w:val="20"/>
                <w:color w:val="auto"/>
              </w:rPr>
            </w:pPr>
            <w:r>
              <w:rPr>
                <w:rFonts w:ascii="Arial" w:cs="Arial" w:eastAsia="Arial" w:hAnsi="Arial"/>
                <w:sz w:val="18"/>
                <w:szCs w:val="18"/>
                <w:color w:val="auto"/>
              </w:rPr>
              <w:t>Initial loss subject to personal lines quota share treaty</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4,000,000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Risk retained per catastrophe occurrence (1)</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2,400,000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tcPr>
          <w:p>
            <w:pPr>
              <w:ind w:left="200"/>
              <w:spacing w:after="0"/>
              <w:rPr>
                <w:sz w:val="20"/>
                <w:szCs w:val="20"/>
                <w:color w:val="auto"/>
              </w:rPr>
            </w:pPr>
            <w:r>
              <w:rPr>
                <w:rFonts w:ascii="Arial" w:cs="Arial" w:eastAsia="Arial" w:hAnsi="Arial"/>
                <w:sz w:val="18"/>
                <w:szCs w:val="18"/>
                <w:color w:val="auto"/>
                <w:w w:val="93"/>
              </w:rPr>
              <w:t>Catastrophe loss coverage in excess of quota share coverage (2) (3)</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w w:val="97"/>
              </w:rPr>
              <w:t>247,000,000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w w:val="97"/>
              </w:rPr>
              <w:t>176,000,000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w w:val="95"/>
              </w:rPr>
              <w:t>137,000,000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Severe winter weather aggregate (3)</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173"/>
              <w:spacing w:after="0"/>
              <w:rPr>
                <w:sz w:val="20"/>
                <w:szCs w:val="20"/>
                <w:color w:val="auto"/>
              </w:rPr>
            </w:pPr>
            <w:r>
              <w:rPr>
                <w:rFonts w:ascii="Arial" w:cs="Arial" w:eastAsia="Arial" w:hAnsi="Arial"/>
                <w:sz w:val="18"/>
                <w:szCs w:val="18"/>
                <w:color w:val="auto"/>
                <w:w w:val="95"/>
              </w:rPr>
              <w:t>No</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173"/>
              <w:spacing w:after="0"/>
              <w:rPr>
                <w:sz w:val="20"/>
                <w:szCs w:val="20"/>
                <w:color w:val="auto"/>
              </w:rPr>
            </w:pPr>
            <w:r>
              <w:rPr>
                <w:rFonts w:ascii="Arial" w:cs="Arial" w:eastAsia="Arial" w:hAnsi="Arial"/>
                <w:sz w:val="18"/>
                <w:szCs w:val="18"/>
                <w:color w:val="auto"/>
                <w:w w:val="83"/>
              </w:rPr>
              <w:t>Yes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33"/>
              <w:spacing w:after="0"/>
              <w:rPr>
                <w:sz w:val="20"/>
                <w:szCs w:val="20"/>
                <w:color w:val="auto"/>
              </w:rPr>
            </w:pPr>
            <w:r>
              <w:rPr>
                <w:rFonts w:ascii="Arial" w:cs="Arial" w:eastAsia="Arial" w:hAnsi="Arial"/>
                <w:sz w:val="18"/>
                <w:szCs w:val="18"/>
                <w:color w:val="auto"/>
                <w:w w:val="83"/>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5"/>
          </w:tcPr>
          <w:p>
            <w:pPr>
              <w:ind w:left="200"/>
              <w:spacing w:after="0"/>
              <w:rPr>
                <w:sz w:val="20"/>
                <w:szCs w:val="20"/>
                <w:color w:val="auto"/>
              </w:rPr>
            </w:pPr>
            <w:r>
              <w:rPr>
                <w:rFonts w:ascii="Arial" w:cs="Arial" w:eastAsia="Arial" w:hAnsi="Arial"/>
                <w:sz w:val="18"/>
                <w:szCs w:val="18"/>
                <w:color w:val="auto"/>
              </w:rPr>
              <w:t>Reinstatement premium protection (4)</w:t>
            </w: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center"/>
              <w:ind w:right="193"/>
              <w:spacing w:after="0"/>
              <w:rPr>
                <w:sz w:val="20"/>
                <w:szCs w:val="20"/>
                <w:color w:val="auto"/>
              </w:rPr>
            </w:pPr>
            <w:r>
              <w:rPr>
                <w:rFonts w:ascii="Arial" w:cs="Arial" w:eastAsia="Arial" w:hAnsi="Arial"/>
                <w:sz w:val="18"/>
                <w:szCs w:val="18"/>
                <w:color w:val="auto"/>
                <w:w w:val="77"/>
              </w:rPr>
              <w:t>Yes</w:t>
            </w:r>
          </w:p>
        </w:tc>
        <w:tc>
          <w:tcPr>
            <w:tcW w:w="160" w:type="dxa"/>
            <w:vAlign w:val="bottom"/>
          </w:tcPr>
          <w:p>
            <w:pPr>
              <w:spacing w:after="0"/>
              <w:rPr>
                <w:sz w:val="19"/>
                <w:szCs w:val="19"/>
                <w:color w:val="auto"/>
              </w:rPr>
            </w:pPr>
          </w:p>
        </w:tc>
        <w:tc>
          <w:tcPr>
            <w:tcW w:w="1200" w:type="dxa"/>
            <w:vAlign w:val="bottom"/>
          </w:tcPr>
          <w:p>
            <w:pPr>
              <w:jc w:val="center"/>
              <w:ind w:right="173"/>
              <w:spacing w:after="0"/>
              <w:rPr>
                <w:sz w:val="20"/>
                <w:szCs w:val="20"/>
                <w:color w:val="auto"/>
              </w:rPr>
            </w:pPr>
            <w:r>
              <w:rPr>
                <w:rFonts w:ascii="Arial" w:cs="Arial" w:eastAsia="Arial" w:hAnsi="Arial"/>
                <w:sz w:val="18"/>
                <w:szCs w:val="18"/>
                <w:color w:val="auto"/>
                <w:w w:val="83"/>
              </w:rPr>
              <w:t>Yes</w:t>
            </w:r>
          </w:p>
        </w:tc>
        <w:tc>
          <w:tcPr>
            <w:tcW w:w="180" w:type="dxa"/>
            <w:vAlign w:val="bottom"/>
          </w:tcPr>
          <w:p>
            <w:pPr>
              <w:spacing w:after="0"/>
              <w:rPr>
                <w:sz w:val="19"/>
                <w:szCs w:val="19"/>
                <w:color w:val="auto"/>
              </w:rPr>
            </w:pPr>
          </w:p>
        </w:tc>
        <w:tc>
          <w:tcPr>
            <w:tcW w:w="1120" w:type="dxa"/>
            <w:vAlign w:val="bottom"/>
          </w:tcPr>
          <w:p>
            <w:pPr>
              <w:jc w:val="center"/>
              <w:ind w:right="113"/>
              <w:spacing w:after="0"/>
              <w:rPr>
                <w:sz w:val="20"/>
                <w:szCs w:val="20"/>
                <w:color w:val="auto"/>
              </w:rPr>
            </w:pPr>
            <w:r>
              <w:rPr>
                <w:rFonts w:ascii="Arial" w:cs="Arial" w:eastAsia="Arial" w:hAnsi="Arial"/>
                <w:sz w:val="18"/>
                <w:szCs w:val="18"/>
                <w:color w:val="auto"/>
                <w:w w:val="86"/>
              </w:rPr>
              <w:t>No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7"/>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1432"/>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4" w:right="239" w:bottom="1440" w:gutter="0" w:footer="0" w:header="0"/>
        </w:sectPr>
      </w:pPr>
    </w:p>
    <w:bookmarkStart w:id="71" w:name="page72"/>
    <w:bookmarkEnd w:id="71"/>
    <w:p>
      <w:pPr>
        <w:ind w:left="500" w:hanging="333"/>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15" w:lineRule="exact"/>
        <w:rPr>
          <w:rFonts w:ascii="Arial" w:cs="Arial" w:eastAsia="Arial" w:hAnsi="Arial"/>
          <w:sz w:val="18"/>
          <w:szCs w:val="18"/>
          <w:color w:val="auto"/>
        </w:rPr>
      </w:pPr>
    </w:p>
    <w:p>
      <w:pPr>
        <w:ind w:left="500" w:hanging="333"/>
        <w:spacing w:after="0" w:line="281"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spacing w:after="0" w:line="1" w:lineRule="exact"/>
        <w:rPr>
          <w:rFonts w:ascii="Arial" w:cs="Arial" w:eastAsia="Arial" w:hAnsi="Arial"/>
          <w:sz w:val="16"/>
          <w:szCs w:val="16"/>
          <w:color w:val="auto"/>
        </w:rPr>
      </w:pPr>
    </w:p>
    <w:p>
      <w:pPr>
        <w:ind w:left="500" w:hanging="333"/>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From July 1, 2014 through September 30, 2016, catastrophe treaty also covered losses caused by severe winter weather during any consecutive 28 day period.</w:t>
      </w:r>
    </w:p>
    <w:p>
      <w:pPr>
        <w:ind w:left="500" w:hanging="333"/>
        <w:spacing w:after="0" w:line="261"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 July 1, 2015, reinstatement premium protection for $16,000,000 of catastrophe coverage in excess of $4,000,000. Effective July 1, 2016, reinstatement premium protection for $20,000,000 of catastrophe coverage in excess of $5,000,000.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single maximum risks per occurrence to which we are subject under the new treaties effective July 1, 2016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320" w:type="dxa"/>
            <w:vAlign w:val="bottom"/>
            <w:vMerge w:val="restart"/>
          </w:tcPr>
          <w:p>
            <w:pPr>
              <w:ind w:left="1440"/>
              <w:spacing w:after="0"/>
              <w:rPr>
                <w:sz w:val="20"/>
                <w:szCs w:val="20"/>
                <w:color w:val="auto"/>
              </w:rPr>
            </w:pPr>
            <w:r>
              <w:rPr>
                <w:rFonts w:ascii="Arial" w:cs="Arial" w:eastAsia="Arial" w:hAnsi="Arial"/>
                <w:sz w:val="15"/>
                <w:szCs w:val="15"/>
                <w:b w:val="1"/>
                <w:bCs w:val="1"/>
                <w:color w:val="auto"/>
              </w:rPr>
              <w:t>Treaty</w:t>
            </w:r>
          </w:p>
        </w:tc>
        <w:tc>
          <w:tcPr>
            <w:tcW w:w="560" w:type="dxa"/>
            <w:vAlign w:val="bottom"/>
            <w:vMerge w:val="restart"/>
          </w:tcPr>
          <w:p>
            <w:pPr>
              <w:spacing w:after="0"/>
              <w:rPr>
                <w:sz w:val="15"/>
                <w:szCs w:val="15"/>
                <w:color w:val="auto"/>
              </w:rPr>
            </w:pPr>
          </w:p>
        </w:tc>
        <w:tc>
          <w:tcPr>
            <w:tcW w:w="4900" w:type="dxa"/>
            <w:vAlign w:val="bottom"/>
            <w:tcBorders>
              <w:bottom w:val="single" w:sz="8" w:color="auto"/>
            </w:tcBorders>
          </w:tcPr>
          <w:p>
            <w:pPr>
              <w:ind w:left="1580"/>
              <w:spacing w:after="0"/>
              <w:rPr>
                <w:sz w:val="20"/>
                <w:szCs w:val="20"/>
                <w:color w:val="auto"/>
              </w:rPr>
            </w:pPr>
            <w:r>
              <w:rPr>
                <w:rFonts w:ascii="Arial" w:cs="Arial" w:eastAsia="Arial" w:hAnsi="Arial"/>
                <w:sz w:val="15"/>
                <w:szCs w:val="15"/>
                <w:b w:val="1"/>
                <w:bCs w:val="1"/>
                <w:color w:val="auto"/>
              </w:rPr>
              <w:t>July 1, 2016 - June 30, 2017</w:t>
            </w:r>
          </w:p>
        </w:tc>
        <w:tc>
          <w:tcPr>
            <w:tcW w:w="3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Borders>
              <w:bottom w:val="single" w:sz="8" w:color="auto"/>
            </w:tcBorders>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900" w:type="dxa"/>
            <w:vAlign w:val="bottom"/>
            <w:tcBorders>
              <w:bottom w:val="single" w:sz="8" w:color="auto"/>
            </w:tcBorders>
          </w:tcPr>
          <w:p>
            <w:pPr>
              <w:ind w:left="2020"/>
              <w:spacing w:after="0" w:line="162" w:lineRule="exact"/>
              <w:rPr>
                <w:sz w:val="20"/>
                <w:szCs w:val="20"/>
                <w:color w:val="auto"/>
              </w:rPr>
            </w:pPr>
            <w:r>
              <w:rPr>
                <w:rFonts w:ascii="Arial" w:cs="Arial" w:eastAsia="Arial" w:hAnsi="Arial"/>
                <w:sz w:val="15"/>
                <w:szCs w:val="15"/>
                <w:b w:val="1"/>
                <w:bCs w:val="1"/>
                <w:color w:val="auto"/>
              </w:rPr>
              <w:t>Extent of Loss</w:t>
            </w:r>
          </w:p>
        </w:tc>
        <w:tc>
          <w:tcPr>
            <w:tcW w:w="340" w:type="dxa"/>
            <w:vAlign w:val="bottom"/>
          </w:tcPr>
          <w:p>
            <w:pPr>
              <w:spacing w:after="0"/>
              <w:rPr>
                <w:sz w:val="14"/>
                <w:szCs w:val="14"/>
                <w:color w:val="auto"/>
              </w:rPr>
            </w:pPr>
          </w:p>
        </w:tc>
        <w:tc>
          <w:tcPr>
            <w:tcW w:w="2280" w:type="dxa"/>
            <w:vAlign w:val="bottom"/>
            <w:tcBorders>
              <w:bottom w:val="single" w:sz="8" w:color="auto"/>
            </w:tcBorders>
          </w:tcPr>
          <w:p>
            <w:pPr>
              <w:jc w:val="right"/>
              <w:ind w:right="594"/>
              <w:spacing w:after="0" w:line="162" w:lineRule="exact"/>
              <w:rPr>
                <w:sz w:val="20"/>
                <w:szCs w:val="20"/>
                <w:color w:val="auto"/>
              </w:rPr>
            </w:pPr>
            <w:r>
              <w:rPr>
                <w:rFonts w:ascii="Arial" w:cs="Arial" w:eastAsia="Arial" w:hAnsi="Arial"/>
                <w:sz w:val="15"/>
                <w:szCs w:val="15"/>
                <w:b w:val="1"/>
                <w:bCs w:val="1"/>
                <w:color w:val="auto"/>
              </w:rPr>
              <w:t>Risk Retained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$833,333</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$833,333 - $4,500,000</w:t>
            </w:r>
          </w:p>
        </w:tc>
        <w:tc>
          <w:tcPr>
            <w:tcW w:w="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Umbrella</w:t>
            </w:r>
          </w:p>
        </w:tc>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$1,000,000 - $5,000,000</w:t>
            </w:r>
          </w:p>
        </w:tc>
        <w:tc>
          <w:tcPr>
            <w:tcW w:w="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$5,000,000</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$500,000</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$500,000 - $4,500,000</w:t>
            </w:r>
          </w:p>
        </w:tc>
        <w:tc>
          <w:tcPr>
            <w:tcW w:w="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Umbrella</w:t>
            </w:r>
          </w:p>
        </w:tc>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$1,000,000 - $5,000,000</w:t>
            </w:r>
          </w:p>
        </w:tc>
        <w:tc>
          <w:tcPr>
            <w:tcW w:w="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$5,000,000</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Catastrophe (2)</w:t>
            </w:r>
          </w:p>
        </w:tc>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$5,000,000</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$5,000,000 - $252,000,000</w:t>
            </w:r>
          </w:p>
        </w:tc>
        <w:tc>
          <w:tcPr>
            <w:tcW w:w="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 $252,000,000</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________________</w:t>
            </w:r>
          </w:p>
        </w:tc>
        <w:tc>
          <w:tcPr>
            <w:tcW w:w="56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500" w:hanging="29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Covered by excess of loss treaties.</w:t>
      </w:r>
    </w:p>
    <w:p>
      <w:pPr>
        <w:spacing w:after="0" w:line="238" w:lineRule="exact"/>
        <w:rPr>
          <w:rFonts w:ascii="Arial" w:cs="Arial" w:eastAsia="Arial" w:hAnsi="Arial"/>
          <w:sz w:val="18"/>
          <w:szCs w:val="18"/>
          <w:color w:val="auto"/>
        </w:rPr>
      </w:pPr>
    </w:p>
    <w:p>
      <w:pPr>
        <w:ind w:left="500" w:hanging="29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The single maximum risks per occurrence to which we are subject under the treaties that expired on June 30, 2016 and 2015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940" w:type="dxa"/>
            <w:vAlign w:val="bottom"/>
            <w:vMerge w:val="restart"/>
          </w:tcPr>
          <w:p>
            <w:pPr>
              <w:ind w:left="760"/>
              <w:spacing w:after="0"/>
              <w:rPr>
                <w:sz w:val="20"/>
                <w:szCs w:val="20"/>
                <w:color w:val="auto"/>
              </w:rPr>
            </w:pPr>
            <w:r>
              <w:rPr>
                <w:rFonts w:ascii="Arial" w:cs="Arial" w:eastAsia="Arial" w:hAnsi="Arial"/>
                <w:sz w:val="15"/>
                <w:szCs w:val="15"/>
                <w:b w:val="1"/>
                <w:bCs w:val="1"/>
                <w:color w:val="auto"/>
              </w:rPr>
              <w:t>Treaty</w:t>
            </w:r>
          </w:p>
        </w:tc>
        <w:tc>
          <w:tcPr>
            <w:tcW w:w="340" w:type="dxa"/>
            <w:vAlign w:val="bottom"/>
            <w:vMerge w:val="restart"/>
          </w:tcPr>
          <w:p>
            <w:pPr>
              <w:spacing w:after="0"/>
              <w:rPr>
                <w:sz w:val="15"/>
                <w:szCs w:val="15"/>
                <w:color w:val="auto"/>
              </w:rPr>
            </w:pPr>
          </w:p>
        </w:tc>
        <w:tc>
          <w:tcPr>
            <w:tcW w:w="3320" w:type="dxa"/>
            <w:vAlign w:val="bottom"/>
            <w:tcBorders>
              <w:bottom w:val="single" w:sz="8" w:color="auto"/>
            </w:tcBorders>
            <w:gridSpan w:val="3"/>
          </w:tcPr>
          <w:p>
            <w:pPr>
              <w:ind w:left="1360"/>
              <w:spacing w:after="0"/>
              <w:rPr>
                <w:sz w:val="20"/>
                <w:szCs w:val="20"/>
                <w:color w:val="auto"/>
              </w:rPr>
            </w:pPr>
            <w:r>
              <w:rPr>
                <w:rFonts w:ascii="Arial" w:cs="Arial" w:eastAsia="Arial" w:hAnsi="Arial"/>
                <w:sz w:val="15"/>
                <w:szCs w:val="15"/>
                <w:b w:val="1"/>
                <w:bCs w:val="1"/>
                <w:color w:val="auto"/>
                <w:w w:val="99"/>
              </w:rPr>
              <w:t>July 1, 2015 - June 30, 2016</w:t>
            </w:r>
          </w:p>
        </w:tc>
        <w:tc>
          <w:tcPr>
            <w:tcW w:w="11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60" w:type="dxa"/>
            <w:vAlign w:val="bottom"/>
            <w:tcBorders>
              <w:bottom w:val="single" w:sz="8" w:color="auto"/>
            </w:tcBorders>
            <w:gridSpan w:val="2"/>
          </w:tcPr>
          <w:p>
            <w:pPr>
              <w:ind w:left="1280"/>
              <w:spacing w:after="0"/>
              <w:rPr>
                <w:sz w:val="20"/>
                <w:szCs w:val="20"/>
                <w:color w:val="auto"/>
              </w:rPr>
            </w:pPr>
            <w:r>
              <w:rPr>
                <w:rFonts w:ascii="Arial" w:cs="Arial" w:eastAsia="Arial" w:hAnsi="Arial"/>
                <w:sz w:val="15"/>
                <w:szCs w:val="15"/>
                <w:b w:val="1"/>
                <w:bCs w:val="1"/>
                <w:color w:val="auto"/>
                <w:w w:val="90"/>
              </w:rPr>
              <w:t>July 1, 2014 - June 30, 2015</w:t>
            </w:r>
          </w:p>
        </w:tc>
        <w:tc>
          <w:tcPr>
            <w:tcW w:w="12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tcBorders>
              <w:bottom w:val="single" w:sz="8" w:color="auto"/>
            </w:tcBorders>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860" w:type="dxa"/>
            <w:vAlign w:val="bottom"/>
            <w:tcBorders>
              <w:bottom w:val="single" w:sz="8" w:color="auto"/>
            </w:tcBorders>
          </w:tcPr>
          <w:p>
            <w:pPr>
              <w:ind w:left="1000"/>
              <w:spacing w:after="0" w:line="162" w:lineRule="exact"/>
              <w:rPr>
                <w:sz w:val="20"/>
                <w:szCs w:val="20"/>
                <w:color w:val="auto"/>
              </w:rPr>
            </w:pPr>
            <w:r>
              <w:rPr>
                <w:rFonts w:ascii="Arial" w:cs="Arial" w:eastAsia="Arial" w:hAnsi="Arial"/>
                <w:sz w:val="15"/>
                <w:szCs w:val="15"/>
                <w:b w:val="1"/>
                <w:bCs w:val="1"/>
                <w:color w:val="auto"/>
              </w:rPr>
              <w:t>Extent of Loss</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Risk Retained</w:t>
            </w:r>
          </w:p>
        </w:tc>
        <w:tc>
          <w:tcPr>
            <w:tcW w:w="3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tcPr>
          <w:p>
            <w:pPr>
              <w:ind w:left="980"/>
              <w:spacing w:after="0" w:line="162" w:lineRule="exact"/>
              <w:rPr>
                <w:sz w:val="20"/>
                <w:szCs w:val="20"/>
                <w:color w:val="auto"/>
              </w:rPr>
            </w:pPr>
            <w:r>
              <w:rPr>
                <w:rFonts w:ascii="Arial" w:cs="Arial" w:eastAsia="Arial" w:hAnsi="Arial"/>
                <w:sz w:val="15"/>
                <w:szCs w:val="15"/>
                <w:b w:val="1"/>
                <w:bCs w:val="1"/>
                <w:color w:val="auto"/>
              </w:rPr>
              <w:t>Extent of Loss</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73"/>
              <w:spacing w:after="0" w:line="162" w:lineRule="exact"/>
              <w:rPr>
                <w:sz w:val="20"/>
                <w:szCs w:val="20"/>
                <w:color w:val="auto"/>
              </w:rPr>
            </w:pPr>
            <w:r>
              <w:rPr>
                <w:rFonts w:ascii="Arial" w:cs="Arial" w:eastAsia="Arial" w:hAnsi="Arial"/>
                <w:sz w:val="15"/>
                <w:szCs w:val="15"/>
                <w:b w:val="1"/>
                <w:bCs w:val="1"/>
                <w:color w:val="auto"/>
              </w:rPr>
              <w:t>Risk Retained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$750,000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Initial $800,000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ind w:left="40"/>
              <w:spacing w:after="0"/>
              <w:rPr>
                <w:sz w:val="20"/>
                <w:szCs w:val="20"/>
                <w:color w:val="auto"/>
              </w:rPr>
            </w:pPr>
            <w:r>
              <w:rPr>
                <w:rFonts w:ascii="Arial" w:cs="Arial" w:eastAsia="Arial" w:hAnsi="Arial"/>
                <w:sz w:val="18"/>
                <w:szCs w:val="18"/>
                <w:color w:val="auto"/>
              </w:rPr>
              <w:t>$750,000 - $4,500,000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None(1)</w:t>
            </w:r>
          </w:p>
        </w:tc>
        <w:tc>
          <w:tcPr>
            <w:tcW w:w="2840" w:type="dxa"/>
            <w:vAlign w:val="bottom"/>
          </w:tcPr>
          <w:p>
            <w:pPr>
              <w:ind w:left="40"/>
              <w:spacing w:after="0"/>
              <w:rPr>
                <w:sz w:val="20"/>
                <w:szCs w:val="20"/>
                <w:color w:val="auto"/>
              </w:rPr>
            </w:pPr>
            <w:r>
              <w:rPr>
                <w:rFonts w:ascii="Arial" w:cs="Arial" w:eastAsia="Arial" w:hAnsi="Arial"/>
                <w:sz w:val="18"/>
                <w:szCs w:val="18"/>
                <w:color w:val="auto"/>
              </w:rPr>
              <w:t>$800,000 - $4,000,000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Over $4,000,000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Umbrella</w:t>
            </w: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Initial $1,000,000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ind w:left="40"/>
              <w:spacing w:after="0"/>
              <w:rPr>
                <w:sz w:val="20"/>
                <w:szCs w:val="20"/>
                <w:color w:val="auto"/>
              </w:rPr>
            </w:pPr>
            <w:r>
              <w:rPr>
                <w:rFonts w:ascii="Arial" w:cs="Arial" w:eastAsia="Arial" w:hAnsi="Arial"/>
                <w:sz w:val="18"/>
                <w:szCs w:val="18"/>
                <w:color w:val="auto"/>
              </w:rPr>
              <w:t>$1,000,000 - $3,000,000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None(1)</w:t>
            </w:r>
          </w:p>
        </w:tc>
        <w:tc>
          <w:tcPr>
            <w:tcW w:w="2840" w:type="dxa"/>
            <w:vAlign w:val="bottom"/>
          </w:tcPr>
          <w:p>
            <w:pPr>
              <w:ind w:left="40"/>
              <w:spacing w:after="0"/>
              <w:rPr>
                <w:sz w:val="20"/>
                <w:szCs w:val="20"/>
                <w:color w:val="auto"/>
              </w:rPr>
            </w:pPr>
            <w:r>
              <w:rPr>
                <w:rFonts w:ascii="Arial" w:cs="Arial" w:eastAsia="Arial" w:hAnsi="Arial"/>
                <w:sz w:val="18"/>
                <w:szCs w:val="18"/>
                <w:color w:val="auto"/>
              </w:rPr>
              <w:t>$1,000,000 - $3,000,000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$3,000,000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Over $3,000,000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w:t>
            </w: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$425,000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Initial $400,000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ind w:left="40"/>
              <w:spacing w:after="0"/>
              <w:rPr>
                <w:sz w:val="20"/>
                <w:szCs w:val="20"/>
                <w:color w:val="auto"/>
              </w:rPr>
            </w:pPr>
            <w:r>
              <w:rPr>
                <w:rFonts w:ascii="Arial" w:cs="Arial" w:eastAsia="Arial" w:hAnsi="Arial"/>
                <w:sz w:val="18"/>
                <w:szCs w:val="18"/>
                <w:color w:val="auto"/>
              </w:rPr>
              <w:t>$425,000 - $4,500,000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None(1)</w:t>
            </w:r>
          </w:p>
        </w:tc>
        <w:tc>
          <w:tcPr>
            <w:tcW w:w="2840" w:type="dxa"/>
            <w:vAlign w:val="bottom"/>
          </w:tcPr>
          <w:p>
            <w:pPr>
              <w:ind w:left="40"/>
              <w:spacing w:after="0"/>
              <w:rPr>
                <w:sz w:val="20"/>
                <w:szCs w:val="20"/>
                <w:color w:val="auto"/>
              </w:rPr>
            </w:pPr>
            <w:r>
              <w:rPr>
                <w:rFonts w:ascii="Arial" w:cs="Arial" w:eastAsia="Arial" w:hAnsi="Arial"/>
                <w:sz w:val="18"/>
                <w:szCs w:val="18"/>
                <w:color w:val="auto"/>
              </w:rPr>
              <w:t>$400,000 - $4,000,000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$4,500,000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Over $4,000,000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Auto</w:t>
            </w: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$300,000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Initial $300,000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ind w:left="40"/>
              <w:spacing w:after="0"/>
              <w:rPr>
                <w:sz w:val="20"/>
                <w:szCs w:val="20"/>
                <w:color w:val="auto"/>
              </w:rPr>
            </w:pPr>
            <w:r>
              <w:rPr>
                <w:rFonts w:ascii="Arial" w:cs="Arial" w:eastAsia="Arial" w:hAnsi="Arial"/>
                <w:sz w:val="18"/>
                <w:szCs w:val="18"/>
                <w:color w:val="auto"/>
              </w:rPr>
              <w:t>$300,000 - $2,000,000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None(1)</w:t>
            </w:r>
          </w:p>
        </w:tc>
        <w:tc>
          <w:tcPr>
            <w:tcW w:w="2840" w:type="dxa"/>
            <w:vAlign w:val="bottom"/>
          </w:tcPr>
          <w:p>
            <w:pPr>
              <w:ind w:left="40"/>
              <w:spacing w:after="0"/>
              <w:rPr>
                <w:sz w:val="20"/>
                <w:szCs w:val="20"/>
                <w:color w:val="auto"/>
              </w:rPr>
            </w:pPr>
            <w:r>
              <w:rPr>
                <w:rFonts w:ascii="Arial" w:cs="Arial" w:eastAsia="Arial" w:hAnsi="Arial"/>
                <w:sz w:val="18"/>
                <w:szCs w:val="18"/>
                <w:color w:val="auto"/>
              </w:rPr>
              <w:t>$300,000 - $2,000,000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$2,000,000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Over $2,000,000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Catastrophe (2)</w:t>
            </w: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Initial $4,000,000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Initial $4,000,000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ind w:left="40"/>
              <w:spacing w:after="0"/>
              <w:rPr>
                <w:sz w:val="20"/>
                <w:szCs w:val="20"/>
                <w:color w:val="auto"/>
              </w:rPr>
            </w:pPr>
            <w:r>
              <w:rPr>
                <w:rFonts w:ascii="Arial" w:cs="Arial" w:eastAsia="Arial" w:hAnsi="Arial"/>
                <w:sz w:val="18"/>
                <w:szCs w:val="18"/>
                <w:color w:val="auto"/>
              </w:rPr>
              <w:t>$4,000,000 - $180,000,000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None</w:t>
            </w:r>
          </w:p>
        </w:tc>
        <w:tc>
          <w:tcPr>
            <w:tcW w:w="2840" w:type="dxa"/>
            <w:vAlign w:val="bottom"/>
          </w:tcPr>
          <w:p>
            <w:pPr>
              <w:ind w:left="40"/>
              <w:spacing w:after="0"/>
              <w:rPr>
                <w:sz w:val="20"/>
                <w:szCs w:val="20"/>
                <w:color w:val="auto"/>
              </w:rPr>
            </w:pPr>
            <w:r>
              <w:rPr>
                <w:rFonts w:ascii="Arial" w:cs="Arial" w:eastAsia="Arial" w:hAnsi="Arial"/>
                <w:sz w:val="18"/>
                <w:szCs w:val="18"/>
                <w:color w:val="auto"/>
              </w:rPr>
              <w:t>$4,000,000 - $141,000,000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$180,000,000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Over $141,000,000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_______________</w:t>
            </w:r>
          </w:p>
        </w:tc>
        <w:tc>
          <w:tcPr>
            <w:tcW w:w="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980" w:hanging="292"/>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Covered by excess of loss treaties.</w:t>
      </w:r>
    </w:p>
    <w:p>
      <w:pPr>
        <w:spacing w:after="0" w:line="238" w:lineRule="exact"/>
        <w:rPr>
          <w:rFonts w:ascii="Arial" w:cs="Arial" w:eastAsia="Arial" w:hAnsi="Arial"/>
          <w:sz w:val="18"/>
          <w:szCs w:val="18"/>
          <w:color w:val="auto"/>
        </w:rPr>
      </w:pPr>
    </w:p>
    <w:p>
      <w:pPr>
        <w:ind w:left="980" w:hanging="292"/>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8" w:lineRule="exact"/>
        <w:rPr>
          <w:sz w:val="20"/>
          <w:szCs w:val="20"/>
          <w:color w:val="auto"/>
        </w:rPr>
      </w:pPr>
    </w:p>
    <w:p>
      <w:pPr>
        <w:jc w:val="both"/>
        <w:ind w:firstLine="692"/>
        <w:spacing w:after="0" w:line="332"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 and Financial Condition</w:t>
      </w:r>
    </w:p>
    <w:p>
      <w:pPr>
        <w:spacing w:after="0" w:line="258" w:lineRule="exact"/>
        <w:rPr>
          <w:sz w:val="20"/>
          <w:szCs w:val="20"/>
          <w:color w:val="auto"/>
        </w:rPr>
      </w:pPr>
    </w:p>
    <w:p>
      <w:pPr>
        <w:jc w:val="both"/>
        <w:ind w:firstLine="692"/>
        <w:spacing w:after="0" w:line="255" w:lineRule="auto"/>
        <w:rPr>
          <w:sz w:val="20"/>
          <w:szCs w:val="20"/>
          <w:color w:val="auto"/>
        </w:rPr>
      </w:pPr>
      <w:r>
        <w:rPr>
          <w:rFonts w:ascii="Arial" w:cs="Arial" w:eastAsia="Arial" w:hAnsi="Arial"/>
          <w:sz w:val="18"/>
          <w:szCs w:val="18"/>
          <w:color w:val="auto"/>
        </w:rPr>
        <w:t>Based upon the factors set forth under “Factors That May Affect Future Results and Financial Condition” in Item 7 of our Annual Report on Form 10-K for the year ended December 31, 2015,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In addition, such factors, among others, may affect the accuracy of certain forward-looking statements contained in our periodic reports, including this Quarterly Report.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r>
        <w:rPr>
          <w:rFonts w:ascii="Arial" w:cs="Arial" w:eastAsia="Arial" w:hAnsi="Arial"/>
          <w:sz w:val="18"/>
          <w:szCs w:val="18"/>
          <w:color w:val="auto"/>
        </w:rPr>
        <w:t>.</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r>
        <w:rPr>
          <w:rFonts w:ascii="Arial" w:cs="Arial" w:eastAsia="Arial" w:hAnsi="Arial"/>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jc w:val="both"/>
        <w:ind w:firstLine="692"/>
        <w:spacing w:after="0" w:line="256" w:lineRule="auto"/>
        <w:rPr>
          <w:sz w:val="20"/>
          <w:szCs w:val="20"/>
          <w:color w:val="auto"/>
        </w:rPr>
      </w:pPr>
      <w:r>
        <w:rPr>
          <w:rFonts w:ascii="Arial" w:cs="Arial" w:eastAsia="Arial" w:hAnsi="Arial"/>
          <w:sz w:val="18"/>
          <w:szCs w:val="18"/>
          <w:color w:val="auto"/>
        </w:rPr>
        <w:t>We maintain disclosure controls and procedures (as defined in Exchange Act Rule 13a-15(e)) that are designed to assure that information required to be disclosed in our Exchange Act reports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w:t>
      </w:r>
    </w:p>
    <w:p>
      <w:pPr>
        <w:spacing w:after="0" w:line="22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September 30, 2016.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jc w:val="both"/>
        <w:ind w:firstLine="692"/>
        <w:spacing w:after="0" w:line="268" w:lineRule="auto"/>
        <w:rPr>
          <w:sz w:val="20"/>
          <w:szCs w:val="20"/>
          <w:color w:val="auto"/>
        </w:rPr>
      </w:pPr>
      <w:r>
        <w:rPr>
          <w:rFonts w:ascii="Arial" w:cs="Arial" w:eastAsia="Arial" w:hAnsi="Arial"/>
          <w:sz w:val="18"/>
          <w:szCs w:val="18"/>
          <w:color w:val="auto"/>
        </w:rPr>
        <w:t>There was no change in our internal control over financial reporting during our most recently completed fiscal quarter that has materially affected, or is reasonably likely to materially affect, our internal control over financial reporting.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74" w:name="page75"/>
    <w:bookmarkEnd w:id="74"/>
    <w:p>
      <w:pPr>
        <w:jc w:val="center"/>
        <w:ind w:right="-139"/>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18"/>
          <w:szCs w:val="18"/>
          <w:b w:val="1"/>
          <w:bCs w:val="1"/>
          <w:u w:val="single" w:color="auto"/>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r>
        <w:rPr>
          <w:rFonts w:ascii="Arial" w:cs="Arial" w:eastAsia="Arial" w:hAnsi="Arial"/>
          <w:sz w:val="18"/>
          <w:szCs w:val="18"/>
          <w:color w:val="auto"/>
        </w:rPr>
        <w:t>.</w:t>
      </w:r>
    </w:p>
    <w:p>
      <w:pPr>
        <w:spacing w:after="0" w:line="258" w:lineRule="exact"/>
        <w:rPr>
          <w:sz w:val="20"/>
          <w:szCs w:val="20"/>
          <w:color w:val="auto"/>
        </w:rPr>
      </w:pPr>
    </w:p>
    <w:p>
      <w:pPr>
        <w:jc w:val="center"/>
        <w:ind w:right="958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r>
        <w:rPr>
          <w:rFonts w:ascii="Arial" w:cs="Arial" w:eastAsia="Arial" w:hAnsi="Arial"/>
          <w:sz w:val="18"/>
          <w:szCs w:val="18"/>
          <w:color w:val="auto"/>
        </w:rPr>
        <w:t>.</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r>
        <w:rPr>
          <w:rFonts w:ascii="Arial" w:cs="Arial" w:eastAsia="Arial" w:hAnsi="Arial"/>
          <w:sz w:val="18"/>
          <w:szCs w:val="18"/>
          <w:color w:val="auto"/>
        </w:rPr>
        <w:t>.</w:t>
      </w:r>
    </w:p>
    <w:p>
      <w:pPr>
        <w:spacing w:after="0" w:line="258" w:lineRule="exact"/>
        <w:rPr>
          <w:sz w:val="20"/>
          <w:szCs w:val="20"/>
          <w:color w:val="auto"/>
        </w:rPr>
      </w:pPr>
    </w:p>
    <w:p>
      <w:pPr>
        <w:ind w:left="980" w:hanging="302"/>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rFonts w:ascii="Arial" w:cs="Arial" w:eastAsia="Arial" w:hAnsi="Arial"/>
          <w:sz w:val="18"/>
          <w:szCs w:val="18"/>
          <w:color w:val="auto"/>
        </w:rPr>
      </w:pPr>
    </w:p>
    <w:p>
      <w:pPr>
        <w:ind w:left="980" w:hanging="312"/>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80" w:hanging="302"/>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were no purchases of common stock made by us or any “affiliated purchaser” during the quarter ended September 30, 2016.</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r>
        <w:rPr>
          <w:rFonts w:ascii="Arial" w:cs="Arial" w:eastAsia="Arial" w:hAnsi="Arial"/>
          <w:sz w:val="18"/>
          <w:szCs w:val="18"/>
          <w:color w:val="auto"/>
        </w:rPr>
        <w: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2140" w:type="dxa"/>
            <w:vAlign w:val="bottom"/>
            <w:gridSpan w:val="4"/>
          </w:tcPr>
          <w:p>
            <w:pPr>
              <w:ind w:left="80"/>
              <w:spacing w:after="0"/>
              <w:rPr>
                <w:sz w:val="20"/>
                <w:szCs w:val="20"/>
                <w:color w:val="auto"/>
              </w:rPr>
            </w:pPr>
            <w:r>
              <w:rPr>
                <w:rFonts w:ascii="Arial" w:cs="Arial" w:eastAsia="Arial" w:hAnsi="Arial"/>
                <w:sz w:val="18"/>
                <w:szCs w:val="18"/>
                <w:color w:val="auto"/>
              </w:rPr>
              <w:t>None</w:t>
            </w:r>
          </w:p>
        </w:tc>
        <w:tc>
          <w:tcPr>
            <w:tcW w:w="10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720" w:type="dxa"/>
            <w:vAlign w:val="bottom"/>
            <w:gridSpan w:val="5"/>
          </w:tcPr>
          <w:p>
            <w:pPr>
              <w:spacing w:after="0"/>
              <w:rPr>
                <w:sz w:val="20"/>
                <w:szCs w:val="20"/>
                <w:color w:val="auto"/>
              </w:rPr>
            </w:pPr>
            <w:r>
              <w:rPr>
                <w:rFonts w:ascii="Arial" w:cs="Arial" w:eastAsia="Arial" w:hAnsi="Arial"/>
                <w:sz w:val="18"/>
                <w:szCs w:val="18"/>
                <w:b w:val="1"/>
                <w:bCs w:val="1"/>
                <w:color w:val="auto"/>
                <w:w w:val="98"/>
              </w:rPr>
              <w:t>Item 4. Mine Safety Disclosures</w:t>
            </w:r>
            <w:r>
              <w:rPr>
                <w:rFonts w:ascii="Arial" w:cs="Arial" w:eastAsia="Arial" w:hAnsi="Arial"/>
                <w:sz w:val="18"/>
                <w:szCs w:val="18"/>
                <w:color w:val="auto"/>
                <w:w w:val="98"/>
              </w:rPr>
              <w:t>.</w:t>
            </w:r>
          </w:p>
        </w:tc>
        <w:tc>
          <w:tcPr>
            <w:tcW w:w="10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580" w:type="dxa"/>
            <w:vAlign w:val="bottom"/>
          </w:tcPr>
          <w:p>
            <w:pPr>
              <w:spacing w:after="0"/>
              <w:rPr>
                <w:sz w:val="24"/>
                <w:szCs w:val="24"/>
                <w:color w:val="auto"/>
              </w:rPr>
            </w:pPr>
          </w:p>
        </w:tc>
        <w:tc>
          <w:tcPr>
            <w:tcW w:w="1780" w:type="dxa"/>
            <w:vAlign w:val="bottom"/>
            <w:tcBorders>
              <w:top w:val="single" w:sz="8" w:color="auto"/>
            </w:tcBorders>
            <w:gridSpan w:val="3"/>
          </w:tcPr>
          <w:p>
            <w:pPr>
              <w:jc w:val="center"/>
              <w:ind w:right="600"/>
              <w:spacing w:after="0"/>
              <w:rPr>
                <w:sz w:val="20"/>
                <w:szCs w:val="20"/>
                <w:color w:val="auto"/>
              </w:rPr>
            </w:pPr>
            <w:r>
              <w:rPr>
                <w:rFonts w:ascii="Arial" w:cs="Arial" w:eastAsia="Arial" w:hAnsi="Arial"/>
                <w:sz w:val="18"/>
                <w:szCs w:val="18"/>
                <w:color w:val="auto"/>
                <w:w w:val="89"/>
              </w:rPr>
              <w:t>Not applicable</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720" w:type="dxa"/>
            <w:vAlign w:val="bottom"/>
            <w:gridSpan w:val="5"/>
          </w:tcPr>
          <w:p>
            <w:pPr>
              <w:spacing w:after="0"/>
              <w:rPr>
                <w:sz w:val="20"/>
                <w:szCs w:val="20"/>
                <w:color w:val="auto"/>
              </w:rPr>
            </w:pPr>
            <w:r>
              <w:rPr>
                <w:rFonts w:ascii="Arial" w:cs="Arial" w:eastAsia="Arial" w:hAnsi="Arial"/>
                <w:sz w:val="18"/>
                <w:szCs w:val="18"/>
                <w:b w:val="1"/>
                <w:bCs w:val="1"/>
                <w:color w:val="auto"/>
              </w:rPr>
              <w:t>Item 5. Other Information</w:t>
            </w: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580" w:type="dxa"/>
            <w:vAlign w:val="bottom"/>
          </w:tcPr>
          <w:p>
            <w:pPr>
              <w:spacing w:after="0"/>
              <w:rPr>
                <w:sz w:val="24"/>
                <w:szCs w:val="24"/>
                <w:color w:val="auto"/>
              </w:rPr>
            </w:pPr>
          </w:p>
        </w:tc>
        <w:tc>
          <w:tcPr>
            <w:tcW w:w="14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None</w:t>
            </w:r>
          </w:p>
        </w:tc>
        <w:tc>
          <w:tcPr>
            <w:tcW w:w="740" w:type="dxa"/>
            <w:vAlign w:val="bottom"/>
            <w:gridSpan w:val="2"/>
          </w:tcPr>
          <w:p>
            <w:pPr>
              <w:spacing w:after="0"/>
              <w:rPr>
                <w:sz w:val="24"/>
                <w:szCs w:val="24"/>
                <w:color w:val="auto"/>
              </w:rPr>
            </w:pPr>
          </w:p>
        </w:tc>
        <w:tc>
          <w:tcPr>
            <w:tcW w:w="10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720" w:type="dxa"/>
            <w:vAlign w:val="bottom"/>
            <w:gridSpan w:val="5"/>
          </w:tcPr>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2"/>
        </w:trPr>
        <w:tc>
          <w:tcPr>
            <w:tcW w:w="580" w:type="dxa"/>
            <w:vAlign w:val="bottom"/>
          </w:tcPr>
          <w:p>
            <w:pPr>
              <w:spacing w:after="0"/>
              <w:rPr>
                <w:sz w:val="24"/>
                <w:szCs w:val="24"/>
                <w:color w:val="auto"/>
              </w:rPr>
            </w:pPr>
          </w:p>
        </w:tc>
        <w:tc>
          <w:tcPr>
            <w:tcW w:w="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w w:val="99"/>
              </w:rPr>
              <w:t>3(a)</w:t>
            </w:r>
          </w:p>
        </w:tc>
        <w:tc>
          <w:tcPr>
            <w:tcW w:w="1520" w:type="dxa"/>
            <w:vAlign w:val="bottom"/>
            <w:gridSpan w:val="3"/>
          </w:tcPr>
          <w:p>
            <w:pPr>
              <w:spacing w:after="0"/>
              <w:rPr>
                <w:sz w:val="24"/>
                <w:szCs w:val="24"/>
                <w:color w:val="auto"/>
              </w:rPr>
            </w:pPr>
          </w:p>
        </w:tc>
        <w:tc>
          <w:tcPr>
            <w:tcW w:w="8560" w:type="dxa"/>
            <w:vAlign w:val="bottom"/>
            <w:gridSpan w:val="2"/>
          </w:tcPr>
          <w:p>
            <w:pPr>
              <w:ind w:left="300"/>
              <w:spacing w:after="0"/>
              <w:rPr>
                <w:sz w:val="20"/>
                <w:szCs w:val="20"/>
                <w:color w:val="auto"/>
              </w:rPr>
            </w:pPr>
            <w:r>
              <w:rPr>
                <w:rFonts w:ascii="Arial" w:cs="Arial" w:eastAsia="Arial" w:hAnsi="Arial"/>
                <w:sz w:val="18"/>
                <w:szCs w:val="18"/>
                <w:color w:val="auto"/>
              </w:rPr>
              <w:t>Restated Certificate of Incorporation, as amended</w:t>
            </w:r>
            <w:r>
              <w:rPr>
                <w:rFonts w:ascii="Arial" w:cs="Arial" w:eastAsia="Arial" w:hAnsi="Arial"/>
                <w:sz w:val="24"/>
                <w:szCs w:val="24"/>
                <w:u w:val="single" w:color="auto"/>
                <w:color w:val="0000EE"/>
                <w:vertAlign w:val="superscript"/>
              </w:rPr>
              <w:t>1</w:t>
            </w: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2140" w:type="dxa"/>
            <w:vAlign w:val="bottom"/>
            <w:gridSpan w:val="4"/>
          </w:tcPr>
          <w:p>
            <w:pPr>
              <w:ind w:left="280"/>
              <w:spacing w:after="0"/>
              <w:rPr>
                <w:sz w:val="20"/>
                <w:szCs w:val="20"/>
                <w:color w:val="auto"/>
              </w:rPr>
            </w:pPr>
            <w:r>
              <w:rPr>
                <w:rFonts w:ascii="Arial" w:cs="Arial" w:eastAsia="Arial" w:hAnsi="Arial"/>
                <w:sz w:val="18"/>
                <w:szCs w:val="18"/>
                <w:color w:val="auto"/>
              </w:rPr>
              <w:t>3(b)</w:t>
            </w:r>
          </w:p>
        </w:tc>
        <w:tc>
          <w:tcPr>
            <w:tcW w:w="8560" w:type="dxa"/>
            <w:vAlign w:val="bottom"/>
            <w:gridSpan w:val="2"/>
          </w:tcPr>
          <w:p>
            <w:pPr>
              <w:ind w:left="300"/>
              <w:spacing w:after="0"/>
              <w:rPr>
                <w:rFonts w:ascii="Arial" w:cs="Arial" w:eastAsia="Arial" w:hAnsi="Arial"/>
                <w:sz w:val="18"/>
                <w:szCs w:val="18"/>
                <w:color w:val="auto"/>
              </w:rPr>
            </w:pPr>
            <w:r>
              <w:rPr>
                <w:rFonts w:ascii="Arial" w:cs="Arial" w:eastAsia="Arial" w:hAnsi="Arial"/>
                <w:sz w:val="18"/>
                <w:szCs w:val="18"/>
                <w:color w:val="auto"/>
              </w:rPr>
              <w:t>By-laws, as amended</w:t>
            </w:r>
            <w:hyperlink w:anchor="page75">
              <w:r>
                <w:rPr>
                  <w:rFonts w:ascii="Arial" w:cs="Arial" w:eastAsia="Arial" w:hAnsi="Arial"/>
                  <w:sz w:val="24"/>
                  <w:szCs w:val="24"/>
                  <w:u w:val="single" w:color="auto"/>
                  <w:color w:val="0000EE"/>
                  <w:vertAlign w:val="superscript"/>
                </w:rPr>
                <w:t>2</w:t>
              </w:r>
            </w:hyperlink>
          </w:p>
        </w:tc>
        <w:tc>
          <w:tcPr>
            <w:tcW w:w="0" w:type="dxa"/>
            <w:vAlign w:val="bottom"/>
          </w:tcPr>
          <w:p>
            <w:pPr>
              <w:spacing w:after="0"/>
              <w:rPr>
                <w:sz w:val="1"/>
                <w:szCs w:val="1"/>
                <w:color w:val="auto"/>
              </w:rPr>
            </w:pPr>
          </w:p>
        </w:tc>
      </w:tr>
      <w:tr>
        <w:trPr>
          <w:trHeight w:val="345"/>
        </w:trPr>
        <w:tc>
          <w:tcPr>
            <w:tcW w:w="580" w:type="dxa"/>
            <w:vAlign w:val="bottom"/>
          </w:tcPr>
          <w:p>
            <w:pPr>
              <w:spacing w:after="0"/>
              <w:rPr>
                <w:sz w:val="24"/>
                <w:szCs w:val="24"/>
                <w:color w:val="auto"/>
              </w:rPr>
            </w:pPr>
          </w:p>
        </w:tc>
        <w:tc>
          <w:tcPr>
            <w:tcW w:w="2140" w:type="dxa"/>
            <w:vAlign w:val="bottom"/>
            <w:gridSpan w:val="4"/>
            <w:vMerge w:val="restart"/>
          </w:tcPr>
          <w:p>
            <w:pPr>
              <w:ind w:left="280"/>
              <w:spacing w:after="0"/>
              <w:rPr>
                <w:sz w:val="20"/>
                <w:szCs w:val="20"/>
                <w:color w:val="auto"/>
              </w:rPr>
            </w:pPr>
            <w:r>
              <w:rPr>
                <w:rFonts w:ascii="Arial" w:cs="Arial" w:eastAsia="Arial" w:hAnsi="Arial"/>
                <w:sz w:val="18"/>
                <w:szCs w:val="18"/>
                <w:color w:val="auto"/>
              </w:rPr>
              <w:t>31(a)</w:t>
            </w:r>
          </w:p>
        </w:tc>
        <w:tc>
          <w:tcPr>
            <w:tcW w:w="8560" w:type="dxa"/>
            <w:vAlign w:val="bottom"/>
            <w:gridSpan w:val="2"/>
          </w:tcPr>
          <w:p>
            <w:pPr>
              <w:ind w:left="300"/>
              <w:spacing w:after="0"/>
              <w:rPr>
                <w:sz w:val="20"/>
                <w:szCs w:val="20"/>
                <w:color w:val="auto"/>
              </w:rPr>
            </w:pPr>
            <w:r>
              <w:rPr>
                <w:rFonts w:ascii="Arial" w:cs="Arial" w:eastAsia="Arial" w:hAnsi="Arial"/>
                <w:sz w:val="18"/>
                <w:szCs w:val="18"/>
                <w:color w:val="auto"/>
                <w:w w:val="93"/>
              </w:rPr>
              <w:t>Rule 13a-14(a)/15d-14(a) Certification of Principal Executive Officer as adopted pursuant to Section 302 of the</w:t>
            </w:r>
          </w:p>
        </w:tc>
        <w:tc>
          <w:tcPr>
            <w:tcW w:w="0" w:type="dxa"/>
            <w:vAlign w:val="bottom"/>
          </w:tcPr>
          <w:p>
            <w:pPr>
              <w:spacing w:after="0"/>
              <w:rPr>
                <w:sz w:val="1"/>
                <w:szCs w:val="1"/>
                <w:color w:val="auto"/>
              </w:rPr>
            </w:pPr>
          </w:p>
        </w:tc>
      </w:tr>
      <w:tr>
        <w:trPr>
          <w:trHeight w:val="114"/>
        </w:trPr>
        <w:tc>
          <w:tcPr>
            <w:tcW w:w="580" w:type="dxa"/>
            <w:vAlign w:val="bottom"/>
          </w:tcPr>
          <w:p>
            <w:pPr>
              <w:spacing w:after="0"/>
              <w:rPr>
                <w:sz w:val="9"/>
                <w:szCs w:val="9"/>
                <w:color w:val="auto"/>
              </w:rPr>
            </w:pPr>
          </w:p>
        </w:tc>
        <w:tc>
          <w:tcPr>
            <w:tcW w:w="2140" w:type="dxa"/>
            <w:vAlign w:val="bottom"/>
            <w:gridSpan w:val="4"/>
            <w:vMerge w:val="continue"/>
          </w:tcPr>
          <w:p>
            <w:pPr>
              <w:spacing w:after="0"/>
              <w:rPr>
                <w:sz w:val="9"/>
                <w:szCs w:val="9"/>
                <w:color w:val="auto"/>
              </w:rPr>
            </w:pPr>
          </w:p>
        </w:tc>
        <w:tc>
          <w:tcPr>
            <w:tcW w:w="8560" w:type="dxa"/>
            <w:vAlign w:val="bottom"/>
            <w:gridSpan w:val="2"/>
            <w:vMerge w:val="restart"/>
          </w:tcPr>
          <w:p>
            <w:pPr>
              <w:ind w:left="30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60" w:type="dxa"/>
            <w:vAlign w:val="bottom"/>
            <w:gridSpan w:val="2"/>
          </w:tcPr>
          <w:p>
            <w:pPr>
              <w:ind w:left="300"/>
              <w:spacing w:after="0"/>
              <w:rPr>
                <w:sz w:val="20"/>
                <w:szCs w:val="20"/>
                <w:color w:val="auto"/>
              </w:rPr>
            </w:pPr>
            <w:r>
              <w:rPr>
                <w:rFonts w:ascii="Arial" w:cs="Arial" w:eastAsia="Arial" w:hAnsi="Arial"/>
                <w:sz w:val="18"/>
                <w:szCs w:val="18"/>
                <w:color w:val="auto"/>
                <w:w w:val="94"/>
              </w:rPr>
              <w:t>Rule 13a-14(a)/15d-14(a) Certification of Principal Financial Officer as adopted pursuant to Section 302 of the</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2140" w:type="dxa"/>
            <w:vAlign w:val="bottom"/>
            <w:gridSpan w:val="4"/>
          </w:tcPr>
          <w:p>
            <w:pPr>
              <w:ind w:left="280"/>
              <w:spacing w:after="0"/>
              <w:rPr>
                <w:sz w:val="20"/>
                <w:szCs w:val="20"/>
                <w:color w:val="auto"/>
              </w:rPr>
            </w:pPr>
            <w:r>
              <w:rPr>
                <w:rFonts w:ascii="Arial" w:cs="Arial" w:eastAsia="Arial" w:hAnsi="Arial"/>
                <w:sz w:val="18"/>
                <w:szCs w:val="18"/>
                <w:color w:val="auto"/>
              </w:rPr>
              <w:t>31(b)</w:t>
            </w:r>
          </w:p>
        </w:tc>
        <w:tc>
          <w:tcPr>
            <w:tcW w:w="8560" w:type="dxa"/>
            <w:vAlign w:val="bottom"/>
            <w:gridSpan w:val="2"/>
          </w:tcPr>
          <w:p>
            <w:pPr>
              <w:ind w:left="30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426"/>
        </w:trPr>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60" w:type="dxa"/>
            <w:vAlign w:val="bottom"/>
            <w:gridSpan w:val="2"/>
          </w:tcPr>
          <w:p>
            <w:pPr>
              <w:ind w:left="300"/>
              <w:spacing w:after="0"/>
              <w:rPr>
                <w:sz w:val="20"/>
                <w:szCs w:val="20"/>
                <w:color w:val="auto"/>
              </w:rPr>
            </w:pPr>
            <w:r>
              <w:rPr>
                <w:rFonts w:ascii="Arial" w:cs="Arial" w:eastAsia="Arial" w:hAnsi="Arial"/>
                <w:sz w:val="18"/>
                <w:szCs w:val="18"/>
                <w:color w:val="auto"/>
                <w:w w:val="95"/>
              </w:rPr>
              <w:t>Certification of Chief Executive Officer and Chief Financial Officer Certification of Chief Executive Officer and</w:t>
            </w:r>
          </w:p>
        </w:tc>
        <w:tc>
          <w:tcPr>
            <w:tcW w:w="0" w:type="dxa"/>
            <w:vAlign w:val="bottom"/>
          </w:tcPr>
          <w:p>
            <w:pPr>
              <w:spacing w:after="0"/>
              <w:rPr>
                <w:sz w:val="1"/>
                <w:szCs w:val="1"/>
                <w:color w:val="auto"/>
              </w:rPr>
            </w:pPr>
          </w:p>
        </w:tc>
      </w:tr>
      <w:tr>
        <w:trPr>
          <w:trHeight w:val="216"/>
        </w:trPr>
        <w:tc>
          <w:tcPr>
            <w:tcW w:w="1200" w:type="dxa"/>
            <w:vAlign w:val="bottom"/>
            <w:gridSpan w:val="2"/>
          </w:tcPr>
          <w:p>
            <w:pPr>
              <w:ind w:left="860"/>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560" w:type="dxa"/>
            <w:vAlign w:val="bottom"/>
            <w:gridSpan w:val="2"/>
          </w:tcPr>
          <w:p>
            <w:pPr>
              <w:ind w:left="300"/>
              <w:spacing w:after="0"/>
              <w:rPr>
                <w:sz w:val="20"/>
                <w:szCs w:val="20"/>
                <w:color w:val="auto"/>
              </w:rPr>
            </w:pPr>
            <w:r>
              <w:rPr>
                <w:rFonts w:ascii="Arial" w:cs="Arial" w:eastAsia="Arial" w:hAnsi="Arial"/>
                <w:sz w:val="18"/>
                <w:szCs w:val="18"/>
                <w:color w:val="auto"/>
                <w:w w:val="91"/>
              </w:rPr>
              <w:t>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560" w:type="dxa"/>
            <w:vAlign w:val="bottom"/>
            <w:gridSpan w:val="2"/>
          </w:tcPr>
          <w:p>
            <w:pPr>
              <w:ind w:left="300"/>
              <w:spacing w:after="0"/>
              <w:rPr>
                <w:sz w:val="20"/>
                <w:szCs w:val="20"/>
                <w:color w:val="auto"/>
              </w:rPr>
            </w:pPr>
            <w:r>
              <w:rPr>
                <w:rFonts w:ascii="Arial" w:cs="Arial" w:eastAsia="Arial" w:hAnsi="Arial"/>
                <w:sz w:val="18"/>
                <w:szCs w:val="18"/>
                <w:color w:val="auto"/>
              </w:rPr>
              <w:t>Oxley Act of 2002</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140" w:type="dxa"/>
            <w:vAlign w:val="bottom"/>
            <w:gridSpan w:val="4"/>
          </w:tcPr>
          <w:p>
            <w:pPr>
              <w:jc w:val="center"/>
              <w:ind w:right="1000"/>
              <w:spacing w:after="0"/>
              <w:rPr>
                <w:sz w:val="20"/>
                <w:szCs w:val="20"/>
                <w:color w:val="auto"/>
              </w:rPr>
            </w:pPr>
            <w:r>
              <w:rPr>
                <w:rFonts w:ascii="Arial" w:cs="Arial" w:eastAsia="Arial" w:hAnsi="Arial"/>
                <w:sz w:val="18"/>
                <w:szCs w:val="18"/>
                <w:color w:val="auto"/>
                <w:w w:val="89"/>
              </w:rPr>
              <w:t>101.INS</w:t>
            </w:r>
          </w:p>
        </w:tc>
        <w:tc>
          <w:tcPr>
            <w:tcW w:w="8560" w:type="dxa"/>
            <w:vAlign w:val="bottom"/>
            <w:gridSpan w:val="2"/>
          </w:tcPr>
          <w:p>
            <w:pPr>
              <w:ind w:left="3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140" w:type="dxa"/>
            <w:vAlign w:val="bottom"/>
            <w:gridSpan w:val="4"/>
          </w:tcPr>
          <w:p>
            <w:pPr>
              <w:jc w:val="center"/>
              <w:ind w:right="940"/>
              <w:spacing w:after="0"/>
              <w:rPr>
                <w:sz w:val="20"/>
                <w:szCs w:val="20"/>
                <w:color w:val="auto"/>
              </w:rPr>
            </w:pPr>
            <w:r>
              <w:rPr>
                <w:rFonts w:ascii="Arial" w:cs="Arial" w:eastAsia="Arial" w:hAnsi="Arial"/>
                <w:sz w:val="18"/>
                <w:szCs w:val="18"/>
                <w:color w:val="auto"/>
                <w:w w:val="87"/>
              </w:rPr>
              <w:t>101.SCH</w:t>
            </w:r>
          </w:p>
        </w:tc>
        <w:tc>
          <w:tcPr>
            <w:tcW w:w="8560" w:type="dxa"/>
            <w:vAlign w:val="bottom"/>
            <w:gridSpan w:val="2"/>
          </w:tcPr>
          <w:p>
            <w:pPr>
              <w:ind w:left="300"/>
              <w:spacing w:after="0"/>
              <w:rPr>
                <w:sz w:val="20"/>
                <w:szCs w:val="20"/>
                <w:color w:val="auto"/>
              </w:rPr>
            </w:pPr>
            <w:r>
              <w:rPr>
                <w:rFonts w:ascii="Arial" w:cs="Arial" w:eastAsia="Arial" w:hAnsi="Arial"/>
                <w:sz w:val="18"/>
                <w:szCs w:val="18"/>
                <w:color w:val="auto"/>
              </w:rPr>
              <w:t>101.SCH XBRL Taxonomy Extension Schema.</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140" w:type="dxa"/>
            <w:vAlign w:val="bottom"/>
            <w:gridSpan w:val="4"/>
          </w:tcPr>
          <w:p>
            <w:pPr>
              <w:jc w:val="center"/>
              <w:ind w:right="920"/>
              <w:spacing w:after="0"/>
              <w:rPr>
                <w:sz w:val="20"/>
                <w:szCs w:val="20"/>
                <w:color w:val="auto"/>
              </w:rPr>
            </w:pPr>
            <w:r>
              <w:rPr>
                <w:rFonts w:ascii="Arial" w:cs="Arial" w:eastAsia="Arial" w:hAnsi="Arial"/>
                <w:sz w:val="18"/>
                <w:szCs w:val="18"/>
                <w:color w:val="auto"/>
                <w:w w:val="94"/>
              </w:rPr>
              <w:t>101.CAL</w:t>
            </w:r>
          </w:p>
        </w:tc>
        <w:tc>
          <w:tcPr>
            <w:tcW w:w="1020" w:type="dxa"/>
            <w:vAlign w:val="bottom"/>
          </w:tcPr>
          <w:p>
            <w:pPr>
              <w:ind w:left="300"/>
              <w:spacing w:after="0"/>
              <w:rPr>
                <w:sz w:val="20"/>
                <w:szCs w:val="20"/>
                <w:color w:val="auto"/>
              </w:rPr>
            </w:pPr>
            <w:r>
              <w:rPr>
                <w:rFonts w:ascii="Arial" w:cs="Arial" w:eastAsia="Arial" w:hAnsi="Arial"/>
                <w:sz w:val="18"/>
                <w:szCs w:val="18"/>
                <w:color w:val="auto"/>
                <w:w w:val="99"/>
              </w:rPr>
              <w:t>101.CAL</w:t>
            </w:r>
          </w:p>
        </w:tc>
        <w:tc>
          <w:tcPr>
            <w:tcW w:w="7540" w:type="dxa"/>
            <w:vAlign w:val="bottom"/>
          </w:tcPr>
          <w:p>
            <w:pPr>
              <w:ind w:left="6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140" w:type="dxa"/>
            <w:vAlign w:val="bottom"/>
            <w:gridSpan w:val="4"/>
          </w:tcPr>
          <w:p>
            <w:pPr>
              <w:jc w:val="center"/>
              <w:ind w:right="940"/>
              <w:spacing w:after="0"/>
              <w:rPr>
                <w:sz w:val="20"/>
                <w:szCs w:val="20"/>
                <w:color w:val="auto"/>
              </w:rPr>
            </w:pPr>
            <w:r>
              <w:rPr>
                <w:rFonts w:ascii="Arial" w:cs="Arial" w:eastAsia="Arial" w:hAnsi="Arial"/>
                <w:sz w:val="18"/>
                <w:szCs w:val="18"/>
                <w:color w:val="auto"/>
                <w:w w:val="90"/>
              </w:rPr>
              <w:t>101.DEF</w:t>
            </w:r>
          </w:p>
        </w:tc>
        <w:tc>
          <w:tcPr>
            <w:tcW w:w="1020" w:type="dxa"/>
            <w:vAlign w:val="bottom"/>
          </w:tcPr>
          <w:p>
            <w:pPr>
              <w:ind w:left="300"/>
              <w:spacing w:after="0"/>
              <w:rPr>
                <w:sz w:val="20"/>
                <w:szCs w:val="20"/>
                <w:color w:val="auto"/>
              </w:rPr>
            </w:pPr>
            <w:r>
              <w:rPr>
                <w:rFonts w:ascii="Arial" w:cs="Arial" w:eastAsia="Arial" w:hAnsi="Arial"/>
                <w:sz w:val="18"/>
                <w:szCs w:val="18"/>
                <w:color w:val="auto"/>
                <w:w w:val="98"/>
              </w:rPr>
              <w:t>101.DEF</w:t>
            </w:r>
          </w:p>
        </w:tc>
        <w:tc>
          <w:tcPr>
            <w:tcW w:w="7540" w:type="dxa"/>
            <w:vAlign w:val="bottom"/>
          </w:tcPr>
          <w:p>
            <w:pPr>
              <w:ind w:left="6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140" w:type="dxa"/>
            <w:vAlign w:val="bottom"/>
            <w:gridSpan w:val="4"/>
          </w:tcPr>
          <w:p>
            <w:pPr>
              <w:jc w:val="center"/>
              <w:ind w:right="920"/>
              <w:spacing w:after="0"/>
              <w:rPr>
                <w:sz w:val="20"/>
                <w:szCs w:val="20"/>
                <w:color w:val="auto"/>
              </w:rPr>
            </w:pPr>
            <w:r>
              <w:rPr>
                <w:rFonts w:ascii="Arial" w:cs="Arial" w:eastAsia="Arial" w:hAnsi="Arial"/>
                <w:sz w:val="18"/>
                <w:szCs w:val="18"/>
                <w:color w:val="auto"/>
                <w:w w:val="95"/>
              </w:rPr>
              <w:t>101.LAB</w:t>
            </w:r>
          </w:p>
        </w:tc>
        <w:tc>
          <w:tcPr>
            <w:tcW w:w="1020" w:type="dxa"/>
            <w:vAlign w:val="bottom"/>
          </w:tcPr>
          <w:p>
            <w:pPr>
              <w:ind w:left="300"/>
              <w:spacing w:after="0"/>
              <w:rPr>
                <w:sz w:val="20"/>
                <w:szCs w:val="20"/>
                <w:color w:val="auto"/>
              </w:rPr>
            </w:pPr>
            <w:r>
              <w:rPr>
                <w:rFonts w:ascii="Arial" w:cs="Arial" w:eastAsia="Arial" w:hAnsi="Arial"/>
                <w:sz w:val="18"/>
                <w:szCs w:val="18"/>
                <w:color w:val="auto"/>
              </w:rPr>
              <w:t>101.LAB</w:t>
            </w:r>
          </w:p>
        </w:tc>
        <w:tc>
          <w:tcPr>
            <w:tcW w:w="7540" w:type="dxa"/>
            <w:vAlign w:val="bottom"/>
          </w:tcPr>
          <w:p>
            <w:pPr>
              <w:ind w:left="6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140" w:type="dxa"/>
            <w:vAlign w:val="bottom"/>
            <w:gridSpan w:val="4"/>
          </w:tcPr>
          <w:p>
            <w:pPr>
              <w:jc w:val="center"/>
              <w:ind w:right="960"/>
              <w:spacing w:after="0"/>
              <w:rPr>
                <w:sz w:val="20"/>
                <w:szCs w:val="20"/>
                <w:color w:val="auto"/>
              </w:rPr>
            </w:pPr>
            <w:r>
              <w:rPr>
                <w:rFonts w:ascii="Arial" w:cs="Arial" w:eastAsia="Arial" w:hAnsi="Arial"/>
                <w:sz w:val="18"/>
                <w:szCs w:val="18"/>
                <w:color w:val="auto"/>
                <w:w w:val="85"/>
              </w:rPr>
              <w:t>101.PRE</w:t>
            </w:r>
          </w:p>
        </w:tc>
        <w:tc>
          <w:tcPr>
            <w:tcW w:w="8560" w:type="dxa"/>
            <w:vAlign w:val="bottom"/>
            <w:gridSpan w:val="2"/>
          </w:tcPr>
          <w:p>
            <w:pPr>
              <w:ind w:left="300"/>
              <w:spacing w:after="0"/>
              <w:rPr>
                <w:sz w:val="20"/>
                <w:szCs w:val="20"/>
                <w:color w:val="auto"/>
              </w:rPr>
            </w:pPr>
            <w:r>
              <w:rPr>
                <w:rFonts w:ascii="Arial" w:cs="Arial" w:eastAsia="Arial" w:hAnsi="Arial"/>
                <w:sz w:val="18"/>
                <w:szCs w:val="18"/>
                <w:color w:val="auto"/>
              </w:rPr>
              <w:t>101.PRE XBRL Taxonomy Extension Presentation Linkbase.</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1Denotes document filed as Exhibit 3 (a) to our Quarterly Report on Form 10-Q for the period ended March 31, 2014 and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2 Denotes document filed Exhibit 3.1 to our Current Report on Form 8-K for an event dated November 5, 2009 and incorporated herein by reference.</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30" w:right="37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58"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20" w:type="dxa"/>
            <w:vAlign w:val="bottom"/>
          </w:tcPr>
          <w:p>
            <w:pPr>
              <w:spacing w:after="0"/>
              <w:rPr>
                <w:sz w:val="19"/>
                <w:szCs w:val="19"/>
                <w:color w:val="auto"/>
              </w:rPr>
            </w:pPr>
          </w:p>
        </w:tc>
        <w:tc>
          <w:tcPr>
            <w:tcW w:w="6240" w:type="dxa"/>
            <w:vAlign w:val="bottom"/>
            <w:gridSpan w:val="2"/>
          </w:tcPr>
          <w:p>
            <w:pPr>
              <w:ind w:left="1900"/>
              <w:spacing w:after="0"/>
              <w:rPr>
                <w:sz w:val="20"/>
                <w:szCs w:val="20"/>
                <w:color w:val="auto"/>
              </w:rPr>
            </w:pPr>
            <w:r>
              <w:rPr>
                <w:rFonts w:ascii="Arial" w:cs="Arial" w:eastAsia="Arial" w:hAnsi="Arial"/>
                <w:sz w:val="18"/>
                <w:szCs w:val="18"/>
                <w:b w:val="1"/>
                <w:bCs w:val="1"/>
                <w:color w:val="auto"/>
              </w:rPr>
              <w:t>KINGSTONE COMPANIES, INC.</w:t>
            </w:r>
          </w:p>
        </w:tc>
      </w:tr>
      <w:tr>
        <w:trPr>
          <w:trHeight w:val="468"/>
        </w:trPr>
        <w:tc>
          <w:tcPr>
            <w:tcW w:w="3820" w:type="dxa"/>
            <w:vAlign w:val="bottom"/>
          </w:tcPr>
          <w:p>
            <w:pPr>
              <w:spacing w:after="0"/>
              <w:rPr>
                <w:sz w:val="20"/>
                <w:szCs w:val="20"/>
                <w:color w:val="auto"/>
              </w:rPr>
            </w:pPr>
            <w:r>
              <w:rPr>
                <w:rFonts w:ascii="Arial" w:cs="Arial" w:eastAsia="Arial" w:hAnsi="Arial"/>
                <w:sz w:val="18"/>
                <w:szCs w:val="18"/>
                <w:color w:val="auto"/>
              </w:rPr>
              <w:t>Dated: November 10, 2016</w:t>
            </w:r>
          </w:p>
        </w:tc>
        <w:tc>
          <w:tcPr>
            <w:tcW w:w="6240" w:type="dxa"/>
            <w:vAlign w:val="bottom"/>
            <w:gridSpan w:val="2"/>
          </w:tcPr>
          <w:p>
            <w:pPr>
              <w:ind w:left="1900"/>
              <w:spacing w:after="0"/>
              <w:rPr>
                <w:sz w:val="20"/>
                <w:szCs w:val="20"/>
                <w:color w:val="auto"/>
              </w:rPr>
            </w:pPr>
            <w:r>
              <w:rPr>
                <w:rFonts w:ascii="Arial" w:cs="Arial" w:eastAsia="Arial" w:hAnsi="Arial"/>
                <w:sz w:val="18"/>
                <w:szCs w:val="18"/>
                <w:color w:val="auto"/>
              </w:rPr>
              <w:t>By: /s/ Barry B. Goldstein</w:t>
            </w:r>
          </w:p>
        </w:tc>
      </w:tr>
      <w:tr>
        <w:trPr>
          <w:trHeight w:val="208"/>
        </w:trPr>
        <w:tc>
          <w:tcPr>
            <w:tcW w:w="38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Barry B. Goldstein</w:t>
            </w:r>
          </w:p>
        </w:tc>
      </w:tr>
      <w:tr>
        <w:trPr>
          <w:trHeight w:val="222"/>
        </w:trPr>
        <w:tc>
          <w:tcPr>
            <w:tcW w:w="38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r>
        <w:trPr>
          <w:trHeight w:val="684"/>
        </w:trPr>
        <w:tc>
          <w:tcPr>
            <w:tcW w:w="3820" w:type="dxa"/>
            <w:vAlign w:val="bottom"/>
          </w:tcPr>
          <w:p>
            <w:pPr>
              <w:spacing w:after="0"/>
              <w:rPr>
                <w:sz w:val="20"/>
                <w:szCs w:val="20"/>
                <w:color w:val="auto"/>
              </w:rPr>
            </w:pPr>
            <w:r>
              <w:rPr>
                <w:rFonts w:ascii="Arial" w:cs="Arial" w:eastAsia="Arial" w:hAnsi="Arial"/>
                <w:sz w:val="18"/>
                <w:szCs w:val="18"/>
                <w:color w:val="auto"/>
              </w:rPr>
              <w:t>Dated: November 10, 2016</w:t>
            </w:r>
          </w:p>
        </w:tc>
        <w:tc>
          <w:tcPr>
            <w:tcW w:w="6240" w:type="dxa"/>
            <w:vAlign w:val="bottom"/>
            <w:gridSpan w:val="2"/>
          </w:tcPr>
          <w:p>
            <w:pPr>
              <w:ind w:left="1900"/>
              <w:spacing w:after="0"/>
              <w:rPr>
                <w:sz w:val="20"/>
                <w:szCs w:val="20"/>
                <w:color w:val="auto"/>
              </w:rPr>
            </w:pPr>
            <w:r>
              <w:rPr>
                <w:rFonts w:ascii="Arial" w:cs="Arial" w:eastAsia="Arial" w:hAnsi="Arial"/>
                <w:sz w:val="18"/>
                <w:szCs w:val="18"/>
                <w:color w:val="auto"/>
              </w:rPr>
              <w:t>By: /s/ Victor Brodsky</w:t>
            </w:r>
          </w:p>
        </w:tc>
      </w:tr>
      <w:tr>
        <w:trPr>
          <w:trHeight w:val="208"/>
        </w:trPr>
        <w:tc>
          <w:tcPr>
            <w:tcW w:w="38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Victor Brodsky</w:t>
            </w:r>
          </w:p>
        </w:tc>
      </w:tr>
      <w:tr>
        <w:trPr>
          <w:trHeight w:val="222"/>
        </w:trPr>
        <w:tc>
          <w:tcPr>
            <w:tcW w:w="38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53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Barry Goldstein, certify that:</w:t>
      </w:r>
    </w:p>
    <w:p>
      <w:pPr>
        <w:spacing w:after="0" w:line="171" w:lineRule="exact"/>
        <w:rPr>
          <w:sz w:val="20"/>
          <w:szCs w:val="20"/>
          <w:color w:val="auto"/>
        </w:rPr>
      </w:pPr>
    </w:p>
    <w:p>
      <w:pPr>
        <w:ind w:left="1000" w:hanging="344"/>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Form 10-Q of Kingstone Companies, Inc.;</w:t>
      </w:r>
    </w:p>
    <w:p>
      <w:pPr>
        <w:spacing w:after="0" w:line="184" w:lineRule="exact"/>
        <w:rPr>
          <w:rFonts w:ascii="Arial" w:cs="Arial" w:eastAsia="Arial" w:hAnsi="Arial"/>
          <w:sz w:val="18"/>
          <w:szCs w:val="18"/>
          <w:color w:val="auto"/>
        </w:rPr>
      </w:pPr>
    </w:p>
    <w:p>
      <w:pPr>
        <w:ind w:left="340" w:right="200" w:firstLine="316"/>
        <w:spacing w:after="0" w:line="370" w:lineRule="auto"/>
        <w:tabs>
          <w:tab w:leader="none" w:pos="1012"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left="340" w:right="160" w:firstLine="316"/>
        <w:spacing w:after="0" w:line="332" w:lineRule="auto"/>
        <w:tabs>
          <w:tab w:leader="none" w:pos="1012"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98" w:lineRule="exact"/>
        <w:rPr>
          <w:rFonts w:ascii="Arial" w:cs="Arial" w:eastAsia="Arial" w:hAnsi="Arial"/>
          <w:sz w:val="16"/>
          <w:szCs w:val="16"/>
          <w:color w:val="auto"/>
        </w:rPr>
      </w:pPr>
    </w:p>
    <w:p>
      <w:pPr>
        <w:ind w:left="340" w:right="60" w:firstLine="316"/>
        <w:spacing w:after="0" w:line="259" w:lineRule="auto"/>
        <w:tabs>
          <w:tab w:leader="none" w:pos="10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113" w:lineRule="exact"/>
        <w:rPr>
          <w:sz w:val="20"/>
          <w:szCs w:val="20"/>
          <w:color w:val="auto"/>
        </w:rPr>
      </w:pPr>
    </w:p>
    <w:p>
      <w:pPr>
        <w:jc w:val="both"/>
        <w:ind w:left="1300" w:hanging="644"/>
        <w:spacing w:after="0" w:line="259"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300" w:right="20" w:hanging="644"/>
        <w:spacing w:after="0" w:line="370" w:lineRule="auto"/>
        <w:tabs>
          <w:tab w:leader="none" w:pos="13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5"/>
          <w:szCs w:val="15"/>
          <w:color w:val="auto"/>
        </w:rPr>
      </w:pPr>
    </w:p>
    <w:p>
      <w:pPr>
        <w:jc w:val="both"/>
        <w:ind w:left="1300" w:hanging="644"/>
        <w:spacing w:after="0" w:line="306"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07" w:lineRule="exact"/>
        <w:rPr>
          <w:sz w:val="20"/>
          <w:szCs w:val="20"/>
          <w:color w:val="auto"/>
        </w:rPr>
      </w:pPr>
    </w:p>
    <w:p>
      <w:pPr>
        <w:ind w:left="340" w:right="260" w:firstLine="316"/>
        <w:spacing w:after="0" w:line="259" w:lineRule="auto"/>
        <w:tabs>
          <w:tab w:leader="none" w:pos="10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27" w:lineRule="exact"/>
        <w:rPr>
          <w:sz w:val="20"/>
          <w:szCs w:val="20"/>
          <w:color w:val="auto"/>
        </w:rPr>
      </w:pPr>
    </w:p>
    <w:p>
      <w:pPr>
        <w:ind w:left="1300" w:hanging="644"/>
        <w:spacing w:after="0" w:line="33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58" w:lineRule="exact"/>
        <w:rPr>
          <w:rFonts w:ascii="Arial" w:cs="Arial" w:eastAsia="Arial" w:hAnsi="Arial"/>
          <w:sz w:val="16"/>
          <w:szCs w:val="16"/>
          <w:color w:val="auto"/>
        </w:rPr>
      </w:pPr>
    </w:p>
    <w:p>
      <w:pPr>
        <w:ind w:left="1300" w:right="20" w:hanging="644"/>
        <w:spacing w:after="0" w:line="268"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 over financial reporting.</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2016</w:t>
      </w:r>
    </w:p>
    <w:p>
      <w:pPr>
        <w:spacing w:after="0" w:line="1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-17780</wp:posOffset>
            </wp:positionV>
            <wp:extent cx="22047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04720" cy="8890"/>
                    </a:xfrm>
                    <a:prstGeom prst="rect">
                      <a:avLst/>
                    </a:prstGeom>
                    <a:noFill/>
                  </pic:spPr>
                </pic:pic>
              </a:graphicData>
            </a:graphic>
          </wp:anchor>
        </w:drawing>
      </w:r>
    </w:p>
    <w:p>
      <w:pPr>
        <w:ind w:left="3440"/>
        <w:spacing w:after="0"/>
        <w:rPr>
          <w:sz w:val="20"/>
          <w:szCs w:val="20"/>
          <w:color w:val="auto"/>
        </w:rPr>
      </w:pPr>
      <w:r>
        <w:rPr>
          <w:rFonts w:ascii="Arial" w:cs="Arial" w:eastAsia="Arial" w:hAnsi="Arial"/>
          <w:sz w:val="18"/>
          <w:szCs w:val="18"/>
          <w:color w:val="auto"/>
        </w:rPr>
        <w:t>Barry B. Goldstein</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4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Victor Brodsky, certify that:</w:t>
      </w:r>
    </w:p>
    <w:p>
      <w:pPr>
        <w:spacing w:after="0" w:line="185" w:lineRule="exact"/>
        <w:rPr>
          <w:sz w:val="20"/>
          <w:szCs w:val="20"/>
          <w:color w:val="auto"/>
        </w:rPr>
      </w:pPr>
    </w:p>
    <w:p>
      <w:pPr>
        <w:ind w:left="1000" w:hanging="34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Form 10-Q of Kingstone Companies, Inc.;</w:t>
      </w:r>
    </w:p>
    <w:p>
      <w:pPr>
        <w:spacing w:after="0" w:line="171" w:lineRule="exact"/>
        <w:rPr>
          <w:rFonts w:ascii="Arial" w:cs="Arial" w:eastAsia="Arial" w:hAnsi="Arial"/>
          <w:sz w:val="18"/>
          <w:szCs w:val="18"/>
          <w:color w:val="auto"/>
        </w:rPr>
      </w:pPr>
    </w:p>
    <w:p>
      <w:pPr>
        <w:ind w:left="340" w:right="200" w:firstLine="316"/>
        <w:spacing w:after="0" w:line="370" w:lineRule="auto"/>
        <w:tabs>
          <w:tab w:leader="none" w:pos="1012"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left="340" w:right="160" w:firstLine="316"/>
        <w:spacing w:after="0" w:line="332" w:lineRule="auto"/>
        <w:tabs>
          <w:tab w:leader="none" w:pos="1012"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98" w:lineRule="exact"/>
        <w:rPr>
          <w:rFonts w:ascii="Arial" w:cs="Arial" w:eastAsia="Arial" w:hAnsi="Arial"/>
          <w:sz w:val="16"/>
          <w:szCs w:val="16"/>
          <w:color w:val="auto"/>
        </w:rPr>
      </w:pPr>
    </w:p>
    <w:p>
      <w:pPr>
        <w:ind w:left="340" w:right="60" w:firstLine="316"/>
        <w:spacing w:after="0" w:line="259" w:lineRule="auto"/>
        <w:tabs>
          <w:tab w:leader="none" w:pos="10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126" w:lineRule="exact"/>
        <w:rPr>
          <w:rFonts w:ascii="Arial" w:cs="Arial" w:eastAsia="Arial" w:hAnsi="Arial"/>
          <w:sz w:val="18"/>
          <w:szCs w:val="18"/>
          <w:color w:val="auto"/>
        </w:rPr>
      </w:pPr>
    </w:p>
    <w:p>
      <w:pPr>
        <w:jc w:val="both"/>
        <w:ind w:left="1620" w:right="20" w:hanging="315"/>
        <w:spacing w:after="0" w:line="306" w:lineRule="auto"/>
        <w:tabs>
          <w:tab w:leader="none" w:pos="16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6"/>
          <w:szCs w:val="16"/>
          <w:color w:val="auto"/>
        </w:rPr>
      </w:pPr>
    </w:p>
    <w:p>
      <w:pPr>
        <w:jc w:val="both"/>
        <w:ind w:left="1620" w:hanging="315"/>
        <w:spacing w:after="0" w:line="259"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jc w:val="both"/>
        <w:ind w:left="1620" w:hanging="315"/>
        <w:spacing w:after="0" w:line="259"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1620" w:hanging="315"/>
        <w:spacing w:after="0" w:line="306" w:lineRule="auto"/>
        <w:tabs>
          <w:tab w:leader="none" w:pos="16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06" w:lineRule="exact"/>
        <w:rPr>
          <w:rFonts w:ascii="Arial" w:cs="Arial" w:eastAsia="Arial" w:hAnsi="Arial"/>
          <w:sz w:val="16"/>
          <w:szCs w:val="16"/>
          <w:color w:val="auto"/>
        </w:rPr>
      </w:pPr>
    </w:p>
    <w:p>
      <w:pPr>
        <w:ind w:left="340" w:right="260" w:firstLine="316"/>
        <w:spacing w:after="0" w:line="259" w:lineRule="auto"/>
        <w:tabs>
          <w:tab w:leader="none" w:pos="10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13" w:lineRule="exact"/>
        <w:rPr>
          <w:rFonts w:ascii="Arial" w:cs="Arial" w:eastAsia="Arial" w:hAnsi="Arial"/>
          <w:sz w:val="18"/>
          <w:szCs w:val="18"/>
          <w:color w:val="auto"/>
        </w:rPr>
      </w:pPr>
    </w:p>
    <w:p>
      <w:pPr>
        <w:ind w:left="1620" w:right="20" w:hanging="315"/>
        <w:spacing w:after="0" w:line="332" w:lineRule="auto"/>
        <w:tabs>
          <w:tab w:leader="none" w:pos="16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58" w:lineRule="exact"/>
        <w:rPr>
          <w:rFonts w:ascii="Arial" w:cs="Arial" w:eastAsia="Arial" w:hAnsi="Arial"/>
          <w:sz w:val="16"/>
          <w:szCs w:val="16"/>
          <w:color w:val="auto"/>
        </w:rPr>
      </w:pPr>
    </w:p>
    <w:p>
      <w:pPr>
        <w:ind w:left="1620" w:hanging="315"/>
        <w:spacing w:after="0" w:line="268"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 over financial reporting.</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20"/>
                <w:szCs w:val="20"/>
                <w:color w:val="auto"/>
              </w:rPr>
            </w:pPr>
            <w:r>
              <w:rPr>
                <w:rFonts w:ascii="Arial" w:cs="Arial" w:eastAsia="Arial" w:hAnsi="Arial"/>
                <w:sz w:val="18"/>
                <w:szCs w:val="18"/>
                <w:color w:val="auto"/>
              </w:rPr>
              <w:t>Date: November 10, 2016</w:t>
            </w:r>
          </w:p>
        </w:tc>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Victor Brodsky</w:t>
            </w:r>
          </w:p>
        </w:tc>
      </w:tr>
      <w:tr>
        <w:trPr>
          <w:trHeight w:val="228"/>
        </w:trPr>
        <w:tc>
          <w:tcPr>
            <w:tcW w:w="344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Victor Brodsky</w:t>
            </w:r>
          </w:p>
        </w:tc>
      </w:tr>
      <w:tr>
        <w:trPr>
          <w:trHeight w:val="222"/>
        </w:trPr>
        <w:tc>
          <w:tcPr>
            <w:tcW w:w="344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4"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color w:val="auto"/>
        </w:rPr>
        <w:t>The undersigned hereby certify, pursuant to, and as required by, 18 U.S.C. Section 1350, as adopted pursuant to Section 906 of the Sarbanes-Oxley Act of 2002, that the Quarterly Report of Kingstone Companies, Inc. (the “Company”) on Form 10-Q for the period ended September 30, 2016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20"/>
                <w:szCs w:val="20"/>
                <w:color w:val="auto"/>
              </w:rPr>
            </w:pPr>
            <w:r>
              <w:rPr>
                <w:rFonts w:ascii="Arial" w:cs="Arial" w:eastAsia="Arial" w:hAnsi="Arial"/>
                <w:sz w:val="18"/>
                <w:szCs w:val="18"/>
                <w:color w:val="auto"/>
              </w:rPr>
              <w:t>Date: November 10, 2016</w:t>
            </w:r>
          </w:p>
        </w:tc>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Barry B. Goldstein</w:t>
            </w:r>
          </w:p>
        </w:tc>
      </w:tr>
      <w:tr>
        <w:trPr>
          <w:trHeight w:val="228"/>
        </w:trPr>
        <w:tc>
          <w:tcPr>
            <w:tcW w:w="334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Barry B. Goldstein</w:t>
            </w:r>
          </w:p>
        </w:tc>
      </w:tr>
      <w:tr>
        <w:trPr>
          <w:trHeight w:val="222"/>
        </w:trPr>
        <w:tc>
          <w:tcPr>
            <w:tcW w:w="334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394"/>
        </w:trPr>
        <w:tc>
          <w:tcPr>
            <w:tcW w:w="3340" w:type="dxa"/>
            <w:vAlign w:val="bottom"/>
          </w:tcPr>
          <w:p>
            <w:pPr>
              <w:spacing w:after="0"/>
              <w:rPr>
                <w:sz w:val="24"/>
                <w:szCs w:val="24"/>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Victor Brodsky</w:t>
            </w:r>
          </w:p>
        </w:tc>
        <w:tc>
          <w:tcPr>
            <w:tcW w:w="40" w:type="dxa"/>
            <w:vAlign w:val="bottom"/>
          </w:tcPr>
          <w:p>
            <w:pPr>
              <w:spacing w:after="0"/>
              <w:rPr>
                <w:sz w:val="24"/>
                <w:szCs w:val="24"/>
                <w:color w:val="auto"/>
              </w:rPr>
            </w:pPr>
          </w:p>
        </w:tc>
      </w:tr>
      <w:tr>
        <w:trPr>
          <w:trHeight w:val="228"/>
        </w:trPr>
        <w:tc>
          <w:tcPr>
            <w:tcW w:w="334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Victor Brodsky</w:t>
            </w:r>
          </w:p>
        </w:tc>
      </w:tr>
      <w:tr>
        <w:trPr>
          <w:trHeight w:val="222"/>
        </w:trPr>
        <w:tc>
          <w:tcPr>
            <w:tcW w:w="334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upperLetter"/>
      <w:start w:val="1"/>
    </w:lvl>
    <w:lvl w:ilvl="1">
      <w:lvlJc w:val="left"/>
      <w:lvlText w:val="(%2)"/>
      <w:numFmt w:val="decimal"/>
      <w:start w:val="2"/>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3"/>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2"/>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3"/>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2"/>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decimal"/>
      <w:start w:val="5"/>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2020-01-21T17:53:25Z</dcterms:created>
  <dcterms:modified xsi:type="dcterms:W3CDTF">2020-01-21T17:53:25Z</dcterms:modified>
</cp:coreProperties>
</file>