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660" w:right="1640" w:hanging="3652"/>
        <w:spacing w:after="0" w:line="493"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6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Delaware</w:t>
            </w:r>
          </w:p>
        </w:tc>
        <w:tc>
          <w:tcPr>
            <w:tcW w:w="6280" w:type="dxa"/>
            <w:vAlign w:val="bottom"/>
            <w:gridSpan w:val="3"/>
          </w:tcPr>
          <w:p>
            <w:pPr>
              <w:jc w:val="center"/>
              <w:ind w:left="1890"/>
              <w:spacing w:after="0"/>
              <w:rPr>
                <w:sz w:val="20"/>
                <w:szCs w:val="20"/>
                <w:color w:val="auto"/>
              </w:rPr>
            </w:pPr>
            <w:r>
              <w:rPr>
                <w:rFonts w:ascii="Arial" w:cs="Arial" w:eastAsia="Arial" w:hAnsi="Arial"/>
                <w:sz w:val="18"/>
                <w:szCs w:val="18"/>
                <w:b w:val="1"/>
                <w:bCs w:val="1"/>
                <w:color w:val="auto"/>
                <w:w w:val="89"/>
              </w:rPr>
              <w:t>36-2476480</w:t>
            </w:r>
          </w:p>
        </w:tc>
      </w:tr>
      <w:tr>
        <w:trPr>
          <w:trHeight w:val="195"/>
        </w:trPr>
        <w:tc>
          <w:tcPr>
            <w:tcW w:w="3260" w:type="dxa"/>
            <w:vAlign w:val="bottom"/>
            <w:tcBorders>
              <w:top w:val="single" w:sz="8" w:color="auto"/>
            </w:tcBorders>
          </w:tcPr>
          <w:p>
            <w:pPr>
              <w:jc w:val="center"/>
              <w:ind w:left="930"/>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4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260" w:type="dxa"/>
            <w:vAlign w:val="bottom"/>
          </w:tcPr>
          <w:p>
            <w:pPr>
              <w:spacing w:after="0"/>
              <w:rPr>
                <w:sz w:val="24"/>
                <w:szCs w:val="24"/>
                <w:color w:val="auto"/>
              </w:rPr>
            </w:pPr>
          </w:p>
        </w:tc>
        <w:tc>
          <w:tcPr>
            <w:tcW w:w="6280" w:type="dxa"/>
            <w:vAlign w:val="bottom"/>
            <w:gridSpan w:val="3"/>
          </w:tcPr>
          <w:p>
            <w:pPr>
              <w:jc w:val="center"/>
              <w:ind w:right="3190"/>
              <w:spacing w:after="0"/>
              <w:rPr>
                <w:sz w:val="20"/>
                <w:szCs w:val="20"/>
                <w:color w:val="auto"/>
              </w:rPr>
            </w:pPr>
            <w:r>
              <w:rPr>
                <w:rFonts w:ascii="Arial" w:cs="Arial" w:eastAsia="Arial" w:hAnsi="Arial"/>
                <w:sz w:val="18"/>
                <w:szCs w:val="18"/>
                <w:b w:val="1"/>
                <w:bCs w:val="1"/>
                <w:color w:val="auto"/>
                <w:w w:val="88"/>
              </w:rPr>
              <w:t>15 Joys Lane</w:t>
            </w:r>
          </w:p>
        </w:tc>
      </w:tr>
      <w:tr>
        <w:trPr>
          <w:trHeight w:val="216"/>
        </w:trPr>
        <w:tc>
          <w:tcPr>
            <w:tcW w:w="3260" w:type="dxa"/>
            <w:vAlign w:val="bottom"/>
          </w:tcPr>
          <w:p>
            <w:pPr>
              <w:spacing w:after="0"/>
              <w:rPr>
                <w:sz w:val="18"/>
                <w:szCs w:val="18"/>
                <w:color w:val="auto"/>
              </w:rPr>
            </w:pPr>
          </w:p>
        </w:tc>
        <w:tc>
          <w:tcPr>
            <w:tcW w:w="6280" w:type="dxa"/>
            <w:vAlign w:val="bottom"/>
            <w:gridSpan w:val="3"/>
          </w:tcPr>
          <w:p>
            <w:pPr>
              <w:jc w:val="center"/>
              <w:ind w:right="3170"/>
              <w:spacing w:after="0"/>
              <w:rPr>
                <w:sz w:val="20"/>
                <w:szCs w:val="20"/>
                <w:color w:val="auto"/>
              </w:rPr>
            </w:pPr>
            <w:r>
              <w:rPr>
                <w:rFonts w:ascii="Arial" w:cs="Arial" w:eastAsia="Arial" w:hAnsi="Arial"/>
                <w:sz w:val="18"/>
                <w:szCs w:val="18"/>
                <w:b w:val="1"/>
                <w:bCs w:val="1"/>
                <w:color w:val="auto"/>
                <w:w w:val="91"/>
              </w:rPr>
              <w:t>Kingston, NY 12401</w:t>
            </w:r>
          </w:p>
        </w:tc>
      </w:tr>
      <w:tr>
        <w:trPr>
          <w:trHeight w:val="234"/>
        </w:trPr>
        <w:tc>
          <w:tcPr>
            <w:tcW w:w="3260" w:type="dxa"/>
            <w:vAlign w:val="bottom"/>
          </w:tcPr>
          <w:p>
            <w:pPr>
              <w:spacing w:after="0"/>
              <w:rPr>
                <w:sz w:val="20"/>
                <w:szCs w:val="20"/>
                <w:color w:val="auto"/>
              </w:rPr>
            </w:pPr>
          </w:p>
        </w:tc>
        <w:tc>
          <w:tcPr>
            <w:tcW w:w="6280" w:type="dxa"/>
            <w:vAlign w:val="bottom"/>
            <w:gridSpan w:val="3"/>
          </w:tcPr>
          <w:p>
            <w:pPr>
              <w:jc w:val="center"/>
              <w:ind w:right="3170"/>
              <w:spacing w:after="0"/>
              <w:rPr>
                <w:sz w:val="20"/>
                <w:szCs w:val="20"/>
                <w:color w:val="auto"/>
              </w:rPr>
            </w:pPr>
            <w:r>
              <w:rPr>
                <w:rFonts w:ascii="Arial" w:cs="Arial" w:eastAsia="Arial" w:hAnsi="Arial"/>
                <w:sz w:val="18"/>
                <w:szCs w:val="18"/>
                <w:b w:val="1"/>
                <w:bCs w:val="1"/>
                <w:color w:val="auto"/>
                <w:w w:val="88"/>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20, 2023, there were 10,759,330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p>
      <w:pPr>
        <w:ind w:left="1050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6503035</wp:posOffset>
            </wp:positionH>
            <wp:positionV relativeFrom="paragraph">
              <wp:posOffset>17145</wp:posOffset>
            </wp:positionV>
            <wp:extent cx="634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00" w:type="dxa"/>
            <w:vAlign w:val="bottom"/>
            <w:gridSpan w:val="22"/>
          </w:tcPr>
          <w:p>
            <w:pPr>
              <w:spacing w:after="0"/>
              <w:rPr>
                <w:sz w:val="20"/>
                <w:szCs w:val="20"/>
                <w:color w:val="auto"/>
              </w:rPr>
            </w:pPr>
            <w:r>
              <w:rPr>
                <w:rFonts w:ascii="Arial" w:cs="Arial" w:eastAsia="Arial" w:hAnsi="Arial"/>
                <w:sz w:val="18"/>
                <w:szCs w:val="18"/>
                <w:b w:val="1"/>
                <w:bCs w:val="1"/>
                <w:color w:val="auto"/>
              </w:rPr>
              <w:t>PART I — FINANCIAL INFORMATION</w:t>
            </w:r>
          </w:p>
        </w:tc>
        <w:tc>
          <w:tcPr>
            <w:tcW w:w="740" w:type="dxa"/>
            <w:vAlign w:val="bottom"/>
          </w:tcPr>
          <w:p>
            <w:pPr>
              <w:spacing w:after="0"/>
              <w:rPr>
                <w:sz w:val="20"/>
                <w:szCs w:val="20"/>
                <w:color w:val="auto"/>
              </w:rPr>
            </w:pPr>
          </w:p>
        </w:tc>
      </w:tr>
      <w:tr>
        <w:trPr>
          <w:trHeight w:val="196"/>
        </w:trPr>
        <w:tc>
          <w:tcPr>
            <w:tcW w:w="760" w:type="dxa"/>
            <w:vAlign w:val="bottom"/>
            <w:tcBorders>
              <w:bottom w:val="single" w:sz="8" w:color="0000EE"/>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1 —</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5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9"/>
              </w:rPr>
              <w:t>Financial Statements</w:t>
            </w:r>
          </w:p>
        </w:tc>
        <w:tc>
          <w:tcPr>
            <w:tcW w:w="7980" w:type="dxa"/>
            <w:vAlign w:val="bottom"/>
            <w:tcBorders>
              <w:bottom w:val="single" w:sz="8" w:color="CCEEFF"/>
            </w:tcBorders>
            <w:gridSpan w:val="13"/>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175"/>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00" w:type="dxa"/>
            <w:vAlign w:val="bottom"/>
            <w:gridSpan w:val="19"/>
          </w:tcPr>
          <w:p>
            <w:pPr>
              <w:spacing w:after="0" w:line="176" w:lineRule="exact"/>
              <w:rPr>
                <w:sz w:val="20"/>
                <w:szCs w:val="20"/>
                <w:color w:val="auto"/>
              </w:rPr>
            </w:pPr>
            <w:r>
              <w:rPr>
                <w:rFonts w:ascii="Arial" w:cs="Arial" w:eastAsia="Arial" w:hAnsi="Arial"/>
                <w:sz w:val="18"/>
                <w:szCs w:val="18"/>
                <w:color w:val="0000EE"/>
              </w:rPr>
              <w:t>Condensed Consolidated Balance Sheets at September 30, 2023 (Unaudited) and December 31, 2022</w:t>
            </w: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76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74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Loss for the three months and nine months ended</w:t>
            </w:r>
          </w:p>
        </w:tc>
        <w:tc>
          <w:tcPr>
            <w:tcW w:w="76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00" w:type="dxa"/>
            <w:vAlign w:val="bottom"/>
            <w:gridSpan w:val="19"/>
            <w:shd w:val="clear" w:color="auto" w:fill="CCEEFF"/>
          </w:tcPr>
          <w:p>
            <w:pPr>
              <w:spacing w:after="0" w:line="196" w:lineRule="exact"/>
              <w:rPr>
                <w:sz w:val="20"/>
                <w:szCs w:val="20"/>
                <w:color w:val="auto"/>
              </w:rPr>
            </w:pPr>
            <w:r>
              <w:rPr>
                <w:rFonts w:ascii="Arial" w:cs="Arial" w:eastAsia="Arial" w:hAnsi="Arial"/>
                <w:sz w:val="18"/>
                <w:szCs w:val="18"/>
                <w:color w:val="0000EE"/>
              </w:rPr>
              <w:t>September 30, 2023 (Unaudited) and 2022 (Unaudited)</w:t>
            </w:r>
          </w:p>
        </w:tc>
        <w:tc>
          <w:tcPr>
            <w:tcW w:w="7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00" w:type="dxa"/>
            <w:vAlign w:val="bottom"/>
            <w:tcBorders>
              <w:bottom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Equity for the three months and nine months ended September 30, 2023</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Arial" w:cs="Arial" w:eastAsia="Arial" w:hAnsi="Arial"/>
                <w:sz w:val="18"/>
                <w:szCs w:val="18"/>
                <w:color w:val="0000EE"/>
              </w:rPr>
              <w:t>(Unaudited) and 2022 (Unaudited)</w:t>
            </w: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6-7</w:t>
            </w: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76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nine months ended September 30, 2023 (Unaudited) and 2022</w:t>
            </w:r>
          </w:p>
        </w:tc>
        <w:tc>
          <w:tcPr>
            <w:tcW w:w="74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1"/>
              </w:rPr>
              <w:t>(Unaudited)</w:t>
            </w:r>
          </w:p>
        </w:tc>
        <w:tc>
          <w:tcPr>
            <w:tcW w:w="8620" w:type="dxa"/>
            <w:vAlign w:val="bottom"/>
            <w:tcBorders>
              <w:bottom w:val="single" w:sz="8" w:color="CCEEFF"/>
            </w:tcBorders>
            <w:gridSpan w:val="17"/>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w:t>
            </w:r>
          </w:p>
        </w:tc>
      </w:tr>
      <w:tr>
        <w:trPr>
          <w:trHeight w:val="176"/>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500" w:type="dxa"/>
            <w:vAlign w:val="bottom"/>
            <w:gridSpan w:val="19"/>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2 —</w:t>
            </w:r>
          </w:p>
        </w:tc>
        <w:tc>
          <w:tcPr>
            <w:tcW w:w="240" w:type="dxa"/>
            <w:vAlign w:val="bottom"/>
            <w:gridSpan w:val="2"/>
            <w:shd w:val="clear" w:color="auto" w:fill="CCEEFF"/>
          </w:tcPr>
          <w:p>
            <w:pPr>
              <w:spacing w:after="0"/>
              <w:rPr>
                <w:sz w:val="17"/>
                <w:szCs w:val="17"/>
                <w:color w:val="auto"/>
              </w:rPr>
            </w:pPr>
          </w:p>
        </w:tc>
        <w:tc>
          <w:tcPr>
            <w:tcW w:w="95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44</w:t>
            </w:r>
          </w:p>
        </w:tc>
      </w:tr>
      <w:tr>
        <w:trPr>
          <w:trHeight w:val="176"/>
        </w:trPr>
        <w:tc>
          <w:tcPr>
            <w:tcW w:w="76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98"/>
              </w:rPr>
              <w:t>Item 3 —</w:t>
            </w:r>
          </w:p>
        </w:tc>
        <w:tc>
          <w:tcPr>
            <w:tcW w:w="24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040" w:type="dxa"/>
            <w:vAlign w:val="bottom"/>
            <w:tcBorders>
              <w:top w:val="single" w:sz="8" w:color="CCEEFF"/>
            </w:tcBorders>
            <w:gridSpan w:val="5"/>
          </w:tcPr>
          <w:p>
            <w:pPr>
              <w:spacing w:after="0"/>
              <w:rPr>
                <w:sz w:val="15"/>
                <w:szCs w:val="15"/>
                <w:color w:val="auto"/>
              </w:rPr>
            </w:pPr>
          </w:p>
        </w:tc>
        <w:tc>
          <w:tcPr>
            <w:tcW w:w="74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78</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4 —</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78</w:t>
            </w:r>
          </w:p>
        </w:tc>
      </w:tr>
      <w:tr>
        <w:trPr>
          <w:trHeight w:val="391"/>
        </w:trPr>
        <w:tc>
          <w:tcPr>
            <w:tcW w:w="10500" w:type="dxa"/>
            <w:vAlign w:val="bottom"/>
            <w:gridSpan w:val="22"/>
          </w:tcPr>
          <w:p>
            <w:pPr>
              <w:spacing w:after="0"/>
              <w:rPr>
                <w:sz w:val="20"/>
                <w:szCs w:val="20"/>
                <w:color w:val="auto"/>
              </w:rPr>
            </w:pPr>
            <w:r>
              <w:rPr>
                <w:rFonts w:ascii="Arial" w:cs="Arial" w:eastAsia="Arial" w:hAnsi="Arial"/>
                <w:sz w:val="18"/>
                <w:szCs w:val="18"/>
                <w:b w:val="1"/>
                <w:bCs w:val="1"/>
                <w:color w:val="0000EE"/>
              </w:rPr>
              <w:t>PART II — OTHER INFORMATION</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7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1 —</w:t>
            </w:r>
          </w:p>
        </w:tc>
        <w:tc>
          <w:tcPr>
            <w:tcW w:w="240" w:type="dxa"/>
            <w:vAlign w:val="bottom"/>
            <w:gridSpan w:val="2"/>
            <w:shd w:val="clear" w:color="auto" w:fill="CCEEFF"/>
          </w:tcPr>
          <w:p>
            <w:pPr>
              <w:spacing w:after="0"/>
              <w:rPr>
                <w:sz w:val="15"/>
                <w:szCs w:val="15"/>
                <w:color w:val="auto"/>
              </w:rPr>
            </w:pPr>
          </w:p>
        </w:tc>
        <w:tc>
          <w:tcPr>
            <w:tcW w:w="95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7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20"/>
        </w:trPr>
        <w:tc>
          <w:tcPr>
            <w:tcW w:w="7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gridSpan w:val="3"/>
          </w:tcPr>
          <w:p>
            <w:pPr>
              <w:spacing w:after="0" w:line="176" w:lineRule="exact"/>
              <w:rPr>
                <w:sz w:val="20"/>
                <w:szCs w:val="20"/>
                <w:color w:val="auto"/>
              </w:rPr>
            </w:pPr>
            <w:r>
              <w:rPr>
                <w:rFonts w:ascii="Arial" w:cs="Arial" w:eastAsia="Arial" w:hAnsi="Arial"/>
                <w:sz w:val="18"/>
                <w:szCs w:val="18"/>
                <w:color w:val="0000EE"/>
              </w:rPr>
              <w:t>Item 1A —</w:t>
            </w:r>
          </w:p>
        </w:tc>
        <w:tc>
          <w:tcPr>
            <w:tcW w:w="9500" w:type="dxa"/>
            <w:vAlign w:val="bottom"/>
            <w:gridSpan w:val="19"/>
          </w:tcPr>
          <w:p>
            <w:pPr>
              <w:spacing w:after="0" w:line="176" w:lineRule="exact"/>
              <w:rPr>
                <w:sz w:val="20"/>
                <w:szCs w:val="20"/>
                <w:color w:val="auto"/>
              </w:rPr>
            </w:pPr>
            <w:r>
              <w:rPr>
                <w:rFonts w:ascii="Arial" w:cs="Arial" w:eastAsia="Arial" w:hAnsi="Arial"/>
                <w:sz w:val="18"/>
                <w:szCs w:val="18"/>
                <w:color w:val="0000EE"/>
              </w:rPr>
              <w:t>Risk Factors</w:t>
            </w: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2 —</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140" w:type="dxa"/>
            <w:vAlign w:val="bottom"/>
            <w:tcBorders>
              <w:bottom w:val="single" w:sz="8" w:color="CCEEFF"/>
            </w:tcBorders>
            <w:gridSpan w:val="7"/>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175"/>
        </w:trPr>
        <w:tc>
          <w:tcPr>
            <w:tcW w:w="1000" w:type="dxa"/>
            <w:vAlign w:val="bottom"/>
            <w:gridSpan w:val="3"/>
          </w:tcPr>
          <w:p>
            <w:pPr>
              <w:spacing w:after="0" w:line="176" w:lineRule="exact"/>
              <w:rPr>
                <w:sz w:val="20"/>
                <w:szCs w:val="20"/>
                <w:color w:val="auto"/>
              </w:rPr>
            </w:pPr>
            <w:r>
              <w:rPr>
                <w:rFonts w:ascii="Arial" w:cs="Arial" w:eastAsia="Arial" w:hAnsi="Arial"/>
                <w:sz w:val="18"/>
                <w:szCs w:val="18"/>
                <w:color w:val="0000EE"/>
              </w:rPr>
              <w:t>Item 3 —</w:t>
            </w:r>
          </w:p>
        </w:tc>
        <w:tc>
          <w:tcPr>
            <w:tcW w:w="9500" w:type="dxa"/>
            <w:vAlign w:val="bottom"/>
            <w:gridSpan w:val="19"/>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4 —</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Mine Safety Disclosures</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176"/>
        </w:trPr>
        <w:tc>
          <w:tcPr>
            <w:tcW w:w="1000" w:type="dxa"/>
            <w:vAlign w:val="bottom"/>
            <w:gridSpan w:val="3"/>
          </w:tcPr>
          <w:p>
            <w:pPr>
              <w:spacing w:after="0" w:line="176" w:lineRule="exact"/>
              <w:rPr>
                <w:sz w:val="20"/>
                <w:szCs w:val="20"/>
                <w:color w:val="auto"/>
              </w:rPr>
            </w:pPr>
            <w:r>
              <w:rPr>
                <w:rFonts w:ascii="Arial" w:cs="Arial" w:eastAsia="Arial" w:hAnsi="Arial"/>
                <w:sz w:val="18"/>
                <w:szCs w:val="18"/>
                <w:color w:val="0000EE"/>
              </w:rPr>
              <w:t>Item 5 —</w:t>
            </w:r>
          </w:p>
        </w:tc>
        <w:tc>
          <w:tcPr>
            <w:tcW w:w="9500" w:type="dxa"/>
            <w:vAlign w:val="bottom"/>
            <w:gridSpan w:val="19"/>
          </w:tcPr>
          <w:p>
            <w:pPr>
              <w:spacing w:after="0" w:line="176" w:lineRule="exact"/>
              <w:rPr>
                <w:sz w:val="20"/>
                <w:szCs w:val="20"/>
                <w:color w:val="auto"/>
              </w:rPr>
            </w:pPr>
            <w:r>
              <w:rPr>
                <w:rFonts w:ascii="Arial" w:cs="Arial" w:eastAsia="Arial" w:hAnsi="Arial"/>
                <w:sz w:val="18"/>
                <w:szCs w:val="18"/>
                <w:color w:val="0000EE"/>
              </w:rPr>
              <w:t>Other Information</w:t>
            </w: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7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0000EE"/>
                <w:w w:val="98"/>
              </w:rPr>
              <w:t>Item 6 —</w:t>
            </w:r>
          </w:p>
        </w:tc>
        <w:tc>
          <w:tcPr>
            <w:tcW w:w="240" w:type="dxa"/>
            <w:vAlign w:val="bottom"/>
            <w:gridSpan w:val="2"/>
            <w:shd w:val="clear" w:color="auto" w:fill="CCEEFF"/>
          </w:tcPr>
          <w:p>
            <w:pPr>
              <w:spacing w:after="0"/>
              <w:rPr>
                <w:sz w:val="15"/>
                <w:szCs w:val="15"/>
                <w:color w:val="auto"/>
              </w:rPr>
            </w:pPr>
          </w:p>
        </w:tc>
        <w:tc>
          <w:tcPr>
            <w:tcW w:w="95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80</w:t>
            </w:r>
          </w:p>
        </w:tc>
      </w:tr>
      <w:tr>
        <w:trPr>
          <w:trHeight w:val="20"/>
        </w:trPr>
        <w:tc>
          <w:tcPr>
            <w:tcW w:w="7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00" w:type="dxa"/>
            <w:vAlign w:val="bottom"/>
            <w:gridSpan w:val="3"/>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81</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2022, Part I, Item 2 of this Quarterly Report and Part II, Item 1A of this Quarterly Report.</w:t>
      </w:r>
    </w:p>
    <w:p>
      <w:pPr>
        <w:spacing w:after="0" w:line="21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Fixed-maturity securities, held-to-maturity, at amortized cost (fair value of $5,699,498 at September 30, 2023</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$6,600,388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7,053,825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7,766,140</w:t>
            </w:r>
          </w:p>
        </w:tc>
        <w:tc>
          <w:tcPr>
            <w:tcW w:w="0" w:type="dxa"/>
            <w:vAlign w:val="bottom"/>
          </w:tcPr>
          <w:p>
            <w:pPr>
              <w:spacing w:after="0"/>
              <w:rPr>
                <w:sz w:val="1"/>
                <w:szCs w:val="1"/>
                <w:color w:val="auto"/>
              </w:rPr>
            </w:pPr>
          </w:p>
        </w:tc>
      </w:tr>
      <w:tr>
        <w:trPr>
          <w:trHeight w:val="202"/>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w w:val="96"/>
              </w:rPr>
              <w:t>Fixed-maturity securities, available-for-sale, at fair value (amortized cost of $154,459,849 at September 30,</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420"/>
              <w:spacing w:after="0"/>
              <w:rPr>
                <w:sz w:val="20"/>
                <w:szCs w:val="20"/>
                <w:color w:val="auto"/>
              </w:rPr>
            </w:pPr>
            <w:r>
              <w:rPr>
                <w:rFonts w:ascii="Arial" w:cs="Arial" w:eastAsia="Arial" w:hAnsi="Arial"/>
                <w:sz w:val="18"/>
                <w:szCs w:val="18"/>
                <w:color w:val="auto"/>
              </w:rPr>
              <w:t>2023 and $174,918,427 at December 31, 2022)</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132,786,899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154,715,163</w:t>
            </w:r>
          </w:p>
        </w:tc>
        <w:tc>
          <w:tcPr>
            <w:tcW w:w="0" w:type="dxa"/>
            <w:vAlign w:val="bottom"/>
          </w:tcPr>
          <w:p>
            <w:pPr>
              <w:spacing w:after="0"/>
              <w:rPr>
                <w:sz w:val="1"/>
                <w:szCs w:val="1"/>
                <w:color w:val="auto"/>
              </w:rPr>
            </w:pPr>
          </w:p>
        </w:tc>
      </w:tr>
      <w:tr>
        <w:trPr>
          <w:trHeight w:val="202"/>
        </w:trPr>
        <w:tc>
          <w:tcPr>
            <w:tcW w:w="8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Equity securities, at fair value (cost of $17,986,783 at September 30, 2023 and $18,086,700 at December 31,</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13,907,651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c>
          <w:tcPr>
            <w:tcW w:w="0" w:type="dxa"/>
            <w:vAlign w:val="bottom"/>
          </w:tcPr>
          <w:p>
            <w:pPr>
              <w:spacing w:after="0"/>
              <w:rPr>
                <w:sz w:val="1"/>
                <w:szCs w:val="1"/>
                <w:color w:val="auto"/>
              </w:rPr>
            </w:pP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3,213,318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2,771,652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156,961,693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179,087,345</w:t>
            </w:r>
          </w:p>
        </w:tc>
        <w:tc>
          <w:tcPr>
            <w:tcW w:w="0" w:type="dxa"/>
            <w:vAlign w:val="bottom"/>
          </w:tcPr>
          <w:p>
            <w:pPr>
              <w:spacing w:after="0"/>
              <w:rPr>
                <w:sz w:val="1"/>
                <w:szCs w:val="1"/>
                <w:color w:val="auto"/>
              </w:rPr>
            </w:pP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15,132,969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11,958,228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13,326,369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13,880,504</w:t>
            </w:r>
          </w:p>
        </w:tc>
        <w:tc>
          <w:tcPr>
            <w:tcW w:w="0" w:type="dxa"/>
            <w:vAlign w:val="bottom"/>
          </w:tcPr>
          <w:p>
            <w:pPr>
              <w:spacing w:after="0"/>
              <w:rPr>
                <w:sz w:val="1"/>
                <w:szCs w:val="1"/>
                <w:color w:val="auto"/>
              </w:rPr>
            </w:pP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84,257,926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66,465,061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20,532,322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23,819,453</w:t>
            </w:r>
          </w:p>
        </w:tc>
        <w:tc>
          <w:tcPr>
            <w:tcW w:w="0" w:type="dxa"/>
            <w:vAlign w:val="bottom"/>
          </w:tcPr>
          <w:p>
            <w:pPr>
              <w:spacing w:after="0"/>
              <w:rPr>
                <w:sz w:val="1"/>
                <w:szCs w:val="1"/>
                <w:color w:val="auto"/>
              </w:rPr>
            </w:pP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9,594,500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10,541,935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12,789,160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10,331,158</w:t>
            </w:r>
          </w:p>
        </w:tc>
      </w:tr>
      <w:tr>
        <w:trPr>
          <w:trHeight w:val="216"/>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3,893,322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3,748,847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316,988,261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320,332,531</w:t>
            </w:r>
          </w:p>
        </w:tc>
      </w:tr>
      <w:tr>
        <w:trPr>
          <w:trHeight w:val="20"/>
        </w:trPr>
        <w:tc>
          <w:tcPr>
            <w:tcW w:w="8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121,674,947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118,339,513</w:t>
            </w: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103,161,550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107,492,777</w:t>
            </w: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6,288,223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2,839,028</w:t>
            </w: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20,263,484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13,061,966</w:t>
            </w: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10,619,569</w:t>
            </w: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4,453,452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6,651,723</w:t>
            </w:r>
          </w:p>
        </w:tc>
      </w:tr>
      <w:tr>
        <w:trPr>
          <w:trHeight w:val="216"/>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25,158,523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290,459,400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284,163,099</w:t>
            </w:r>
          </w:p>
        </w:tc>
      </w:tr>
      <w:tr>
        <w:trPr>
          <w:trHeight w:val="209"/>
        </w:trPr>
        <w:tc>
          <w:tcPr>
            <w:tcW w:w="8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$.01 par value; authorized 2,500,000 shares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tcPr>
          <w:p>
            <w:pPr>
              <w:ind w:left="220"/>
              <w:spacing w:after="0" w:line="201" w:lineRule="exact"/>
              <w:rPr>
                <w:sz w:val="20"/>
                <w:szCs w:val="20"/>
                <w:color w:val="auto"/>
              </w:rPr>
            </w:pPr>
            <w:r>
              <w:rPr>
                <w:rFonts w:ascii="Arial" w:cs="Arial" w:eastAsia="Arial" w:hAnsi="Arial"/>
                <w:sz w:val="18"/>
                <w:szCs w:val="18"/>
                <w:color w:val="auto"/>
                <w:w w:val="91"/>
              </w:rPr>
              <w:t>Common stock, $.01 par value; authorized 20,000,000 shares; issued 12,227,562 shares at September 30, 2023</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60" w:type="dxa"/>
            <w:vAlign w:val="bottom"/>
          </w:tcPr>
          <w:p>
            <w:pPr>
              <w:ind w:left="420"/>
              <w:spacing w:after="0"/>
              <w:rPr>
                <w:sz w:val="20"/>
                <w:szCs w:val="20"/>
                <w:color w:val="auto"/>
              </w:rPr>
            </w:pPr>
            <w:r>
              <w:rPr>
                <w:rFonts w:ascii="Arial" w:cs="Arial" w:eastAsia="Arial" w:hAnsi="Arial"/>
                <w:sz w:val="18"/>
                <w:szCs w:val="18"/>
                <w:color w:val="auto"/>
                <w:w w:val="94"/>
              </w:rPr>
              <w:t>and 12,171,512 shares at December 31, 2022; outstanding 10,756,156 shares at September 30, 2023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tcPr>
          <w:p>
            <w:pPr>
              <w:ind w:left="420"/>
              <w:spacing w:after="0"/>
              <w:rPr>
                <w:sz w:val="20"/>
                <w:szCs w:val="20"/>
                <w:color w:val="auto"/>
              </w:rPr>
            </w:pPr>
            <w:r>
              <w:rPr>
                <w:rFonts w:ascii="Arial" w:cs="Arial" w:eastAsia="Arial" w:hAnsi="Arial"/>
                <w:sz w:val="18"/>
                <w:szCs w:val="18"/>
                <w:color w:val="auto"/>
              </w:rPr>
              <w:t>10,700,106 shares at December 31, 2022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121,715</w:t>
            </w: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75,153,808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74,519,590</w:t>
            </w:r>
          </w:p>
        </w:tc>
      </w:tr>
      <w:tr>
        <w:trPr>
          <w:trHeight w:val="216"/>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(17,119,479)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(15,958,428)</w:t>
            </w: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(26,060,262)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(16,945,964)</w:t>
            </w:r>
          </w:p>
        </w:tc>
      </w:tr>
      <w:tr>
        <w:trPr>
          <w:trHeight w:val="209"/>
        </w:trPr>
        <w:tc>
          <w:tcPr>
            <w:tcW w:w="84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32,096,342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41,736,913</w:t>
            </w:r>
          </w:p>
        </w:tc>
        <w:tc>
          <w:tcPr>
            <w:tcW w:w="100" w:type="dxa"/>
            <w:vAlign w:val="bottom"/>
            <w:tcBorders>
              <w:top w:val="single" w:sz="8" w:color="CCEEFF"/>
            </w:tcBorders>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1,471,406 shares at September 30, 2023 and December 31, 2022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(5,567,481)</w:t>
            </w:r>
          </w:p>
        </w:tc>
      </w:tr>
      <w:tr>
        <w:trPr>
          <w:trHeight w:val="210"/>
        </w:trPr>
        <w:tc>
          <w:tcPr>
            <w:tcW w:w="8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26,528,861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36,169,432</w:t>
            </w:r>
          </w:p>
        </w:tc>
        <w:tc>
          <w:tcPr>
            <w:tcW w:w="100" w:type="dxa"/>
            <w:vAlign w:val="bottom"/>
            <w:tcBorders>
              <w:top w:val="single" w:sz="8" w:color="CCEEFF"/>
            </w:tcBorders>
          </w:tcPr>
          <w:p>
            <w:pPr>
              <w:spacing w:after="0"/>
              <w:rPr>
                <w:sz w:val="18"/>
                <w:szCs w:val="18"/>
                <w:color w:val="auto"/>
              </w:rPr>
            </w:pPr>
          </w:p>
        </w:tc>
      </w:tr>
      <w:tr>
        <w:trPr>
          <w:trHeight w:val="209"/>
        </w:trPr>
        <w:tc>
          <w:tcPr>
            <w:tcW w:w="8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316,988,261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320,332,531</w:t>
            </w:r>
          </w:p>
        </w:tc>
      </w:tr>
      <w:tr>
        <w:trPr>
          <w:trHeight w:val="20"/>
        </w:trPr>
        <w:tc>
          <w:tcPr>
            <w:tcW w:w="8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5"/>
          </w:tcPr>
          <w:p>
            <w:pPr>
              <w:jc w:val="right"/>
              <w:ind w:right="300"/>
              <w:spacing w:after="0" w:line="191" w:lineRule="exact"/>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5"/>
          </w:tcPr>
          <w:p>
            <w:pPr>
              <w:jc w:val="right"/>
              <w:ind w:right="240"/>
              <w:spacing w:after="0" w:line="191" w:lineRule="exact"/>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27,938,318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29,360,976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85,701,467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83,936,424</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5,536,327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4,886,094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16,393,944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14,283,077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1,418,521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4,437,208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3,411,946</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Net (losses) gains on investments</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(824,370)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(397,658)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597,643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(9,313,436)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750,169</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34,236,671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35,537,635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107,584,422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93,068,180</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21,932,453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22,027,516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66,552,565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63,624,755</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8,210,430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8,702,190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25,221,374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25,534,307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6,318,625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7,276,101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19,873,882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20,717,047</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441,963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809,597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1,868,011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2,357,367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741,059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824,975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2,327,691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2,472,348</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988,699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3,004,564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1,369,635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38,633,229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40,096,924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118,848,087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116,075,459</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 before taxes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(4,396,558)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(4,559,289)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(11,263,665)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(23,007,279)</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(858,987)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(561,668)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(2,149,367)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(4,432,507)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(3,537,571)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(3,997,621)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(9,114,298)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(18,574,772)</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Gross change in unrealized losses on available-for-sale-securities</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(2,821,785)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(5,047,679)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(1,486,887)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(22,556,319)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Reclassification adjustment for losses included in net loss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change in unrealized losses, on available-for-sale-securities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(2,817,604)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(5,043,432)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(1,469,686)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(22,500,392)</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tax benefit related to items of other comprehensive loss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591,697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1,059,120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308,635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4,725,083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(2,225,907)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(3,984,312)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(1,161,051)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(17,775,309)</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(5,763,478)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(7,981,933)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(10,275,349)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(36,350,081)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56" w:orient="portrait"/>
          <w:cols w:equalWidth="0" w:num="1">
            <w:col w:w="11240"/>
          </w:cols>
          <w:pgMar w:left="320" w:top="125" w:right="339" w:bottom="0" w:gutter="0" w:footer="0" w:header="0"/>
        </w:sect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25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ectPr>
          <w:pgSz w:w="11900" w:h="16856" w:orient="portrait"/>
          <w:cols w:equalWidth="0" w:num="1">
            <w:col w:w="1124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top w:val="single" w:sz="8" w:color="CCEEFF"/>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(0.33)</w:t>
            </w:r>
          </w:p>
        </w:tc>
        <w:tc>
          <w:tcPr>
            <w:tcW w:w="200" w:type="dxa"/>
            <w:vAlign w:val="bottom"/>
            <w:tcBorders>
              <w:top w:val="single" w:sz="8" w:color="CCEEFF"/>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(0.38)</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(0.85)</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(1.75)</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10,756,156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10,645,675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10,754,709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10,640,290</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9"/>
              </w:rPr>
              <w:t>10,756,156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10,645,675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10,754,709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10,640,290</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8"/>
                <w:szCs w:val="18"/>
                <w:color w:val="auto"/>
                <w:w w:val="87"/>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5"/>
            <w:vMerge w:val="restart"/>
          </w:tcPr>
          <w:p>
            <w:pPr>
              <w:ind w:left="3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Other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Comprehensive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Accumulated</w:t>
            </w:r>
          </w:p>
        </w:tc>
        <w:tc>
          <w:tcPr>
            <w:tcW w:w="204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4"/>
              </w:rPr>
              <w:t>Shares</w:t>
            </w:r>
          </w:p>
        </w:tc>
        <w:tc>
          <w:tcPr>
            <w:tcW w:w="6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Deficit</w:t>
            </w: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Balance, July 1,</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12,117,081</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$ 121,171</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$ 73,102,513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(11,994,258)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(8,572,521)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1,471,406</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$ 47,089,424</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20"/>
              <w:spacing w:after="0"/>
              <w:rPr>
                <w:sz w:val="20"/>
                <w:szCs w:val="20"/>
                <w:color w:val="auto"/>
              </w:rPr>
            </w:pPr>
            <w:r>
              <w:rPr>
                <w:rFonts w:ascii="Arial" w:cs="Arial" w:eastAsia="Arial" w:hAnsi="Arial"/>
                <w:sz w:val="18"/>
                <w:szCs w:val="18"/>
                <w:color w:val="auto"/>
                <w:w w:val="92"/>
              </w:rPr>
              <w:t>compensation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188,422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188,422</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(425,800)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(3,997,621)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(3,997,621)</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w:t>
            </w: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on</w:t>
            </w: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available-for-</w:t>
            </w: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w:t>
            </w:r>
          </w:p>
        </w:tc>
        <w:tc>
          <w:tcPr>
            <w:tcW w:w="5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securities, net</w:t>
            </w:r>
          </w:p>
        </w:tc>
        <w:tc>
          <w:tcPr>
            <w:tcW w:w="6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(3,984,312)</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(3,984,312)</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tax</w:t>
            </w:r>
          </w:p>
        </w:tc>
        <w:tc>
          <w:tcPr>
            <w:tcW w:w="660" w:type="dxa"/>
            <w:vAlign w:val="bottom"/>
            <w:tcBorders>
              <w:right w:val="single" w:sz="8" w:color="CCEEFF"/>
            </w:tcBorders>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September 30,</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12,117,081</w:t>
            </w: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4"/>
              </w:rPr>
              <w:t>$ 121,171</w:t>
            </w: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3"/>
              </w:rPr>
              <w:t>$ 73,290,935</w:t>
            </w:r>
          </w:p>
        </w:tc>
        <w:tc>
          <w:tcPr>
            <w:tcW w:w="2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(15,978,570)</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8"/>
              </w:rPr>
              <w:t>$ (12,995,942)</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1,471,406</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5"/>
              </w:rPr>
              <w:t>$ 38,870,113</w:t>
            </w:r>
          </w:p>
        </w:tc>
        <w:tc>
          <w:tcPr>
            <w:tcW w:w="0" w:type="dxa"/>
            <w:vAlign w:val="bottom"/>
          </w:tcPr>
          <w:p>
            <w:pPr>
              <w:spacing w:after="0"/>
              <w:rPr>
                <w:sz w:val="1"/>
                <w:szCs w:val="1"/>
                <w:color w:val="auto"/>
              </w:rPr>
            </w:pPr>
          </w:p>
        </w:tc>
      </w:tr>
      <w:tr>
        <w:trPr>
          <w:trHeight w:val="190"/>
        </w:trPr>
        <w:tc>
          <w:tcPr>
            <w:tcW w:w="1280" w:type="dxa"/>
            <w:vAlign w:val="bottom"/>
          </w:tcPr>
          <w:p>
            <w:pPr>
              <w:spacing w:after="0" w:line="190" w:lineRule="exact"/>
              <w:rPr>
                <w:sz w:val="20"/>
                <w:szCs w:val="20"/>
                <w:color w:val="auto"/>
              </w:rPr>
            </w:pPr>
            <w:r>
              <w:rPr>
                <w:rFonts w:ascii="Arial" w:cs="Arial" w:eastAsia="Arial" w:hAnsi="Arial"/>
                <w:sz w:val="18"/>
                <w:szCs w:val="18"/>
                <w:color w:val="auto"/>
              </w:rPr>
              <w:t>2022</w:t>
            </w:r>
          </w:p>
        </w:tc>
        <w:tc>
          <w:tcPr>
            <w:tcW w:w="6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8"/>
                <w:szCs w:val="18"/>
                <w:color w:val="auto"/>
                <w:w w:val="87"/>
              </w:rPr>
              <w:t>Preferred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5"/>
            <w:vMerge w:val="restart"/>
          </w:tcPr>
          <w:p>
            <w:pPr>
              <w:ind w:left="3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Other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Comprehensive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Accumulated</w:t>
            </w:r>
          </w:p>
        </w:tc>
        <w:tc>
          <w:tcPr>
            <w:tcW w:w="204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4"/>
              </w:rPr>
              <w:t>Shares</w:t>
            </w:r>
          </w:p>
        </w:tc>
        <w:tc>
          <w:tcPr>
            <w:tcW w:w="6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18"/>
                <w:szCs w:val="18"/>
                <w:color w:val="auto"/>
              </w:rPr>
            </w:pPr>
          </w:p>
        </w:tc>
        <w:tc>
          <w:tcPr>
            <w:tcW w:w="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Deficit</w:t>
            </w: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Balance, July 1,</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12,227,562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$ 122,275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$ 74,946,685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(14,893,572)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(22,522,691)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1,471,406</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$ 32,085,216</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20"/>
              <w:spacing w:after="0"/>
              <w:rPr>
                <w:sz w:val="20"/>
                <w:szCs w:val="20"/>
                <w:color w:val="auto"/>
              </w:rPr>
            </w:pPr>
            <w:r>
              <w:rPr>
                <w:rFonts w:ascii="Arial" w:cs="Arial" w:eastAsia="Arial" w:hAnsi="Arial"/>
                <w:sz w:val="18"/>
                <w:szCs w:val="18"/>
                <w:color w:val="auto"/>
                <w:w w:val="92"/>
              </w:rPr>
              <w:t>compensation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207,123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207,123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(3,537,571)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(3,537,571)</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8"/>
                <w:szCs w:val="18"/>
                <w:color w:val="auto"/>
              </w:rPr>
              <w:t>unrealized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8"/>
                <w:szCs w:val="18"/>
                <w:color w:val="auto"/>
              </w:rPr>
              <w:t>losses 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8"/>
                <w:szCs w:val="18"/>
                <w:color w:val="auto"/>
                <w:w w:val="99"/>
              </w:rPr>
              <w:t>available-for-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8"/>
                <w:szCs w:val="18"/>
                <w:color w:val="auto"/>
              </w:rPr>
              <w:t>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20"/>
              <w:spacing w:after="0"/>
              <w:rPr>
                <w:sz w:val="20"/>
                <w:szCs w:val="20"/>
                <w:color w:val="auto"/>
              </w:rPr>
            </w:pPr>
            <w:r>
              <w:rPr>
                <w:rFonts w:ascii="Arial" w:cs="Arial" w:eastAsia="Arial" w:hAnsi="Arial"/>
                <w:sz w:val="18"/>
                <w:szCs w:val="18"/>
                <w:color w:val="auto"/>
                <w:w w:val="93"/>
              </w:rPr>
              <w:t>securities, net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(2,225,907)</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(2,225,907)</w:t>
            </w:r>
          </w:p>
        </w:tc>
        <w:tc>
          <w:tcPr>
            <w:tcW w:w="0" w:type="dxa"/>
            <w:vAlign w:val="bottom"/>
          </w:tcPr>
          <w:p>
            <w:pPr>
              <w:spacing w:after="0"/>
              <w:rPr>
                <w:sz w:val="1"/>
                <w:szCs w:val="1"/>
                <w:color w:val="auto"/>
              </w:rPr>
            </w:pPr>
          </w:p>
        </w:tc>
      </w:tr>
      <w:tr>
        <w:trPr>
          <w:trHeight w:val="217"/>
        </w:trPr>
        <w:tc>
          <w:tcPr>
            <w:tcW w:w="1280" w:type="dxa"/>
            <w:vAlign w:val="bottom"/>
          </w:tcPr>
          <w:p>
            <w:pPr>
              <w:ind w:left="220"/>
              <w:spacing w:after="0"/>
              <w:rPr>
                <w:sz w:val="20"/>
                <w:szCs w:val="20"/>
                <w:color w:val="auto"/>
              </w:rPr>
            </w:pPr>
            <w:r>
              <w:rPr>
                <w:rFonts w:ascii="Arial" w:cs="Arial" w:eastAsia="Arial" w:hAnsi="Arial"/>
                <w:sz w:val="18"/>
                <w:szCs w:val="18"/>
                <w:color w:val="auto"/>
              </w:rPr>
              <w:t>of tax</w:t>
            </w:r>
          </w:p>
        </w:tc>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September 30,</w:t>
            </w:r>
          </w:p>
        </w:tc>
        <w:tc>
          <w:tcPr>
            <w:tcW w:w="6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12,227,562</w:t>
            </w:r>
          </w:p>
        </w:tc>
        <w:tc>
          <w:tcPr>
            <w:tcW w:w="8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4"/>
              </w:rPr>
              <w:t>$ 122,275</w:t>
            </w: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3"/>
              </w:rPr>
              <w:t>$ 75,153,808</w:t>
            </w:r>
          </w:p>
        </w:tc>
        <w:tc>
          <w:tcPr>
            <w:tcW w:w="2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(17,119,479)</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 (26,060,262)</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1,471,406</w:t>
            </w:r>
          </w:p>
        </w:tc>
        <w:tc>
          <w:tcPr>
            <w:tcW w:w="10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5"/>
              </w:rPr>
              <w:t>$ 26,528,861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2023</w:t>
            </w:r>
          </w:p>
        </w:tc>
        <w:tc>
          <w:tcPr>
            <w:tcW w:w="660" w:type="dxa"/>
            <w:vAlign w:val="bottom"/>
            <w:tcBorders>
              <w:right w:val="single" w:sz="8" w:color="CCEEFF"/>
            </w:tcBorders>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ind w:left="5700"/>
        <w:spacing w:after="0"/>
        <w:tabs>
          <w:tab w:leader="none" w:pos="7120" w:val="left"/>
        </w:tabs>
        <w:rPr>
          <w:sz w:val="20"/>
          <w:szCs w:val="20"/>
          <w:color w:val="auto"/>
        </w:rPr>
      </w:pPr>
      <w:r>
        <w:rPr>
          <w:rFonts w:ascii="Arial" w:cs="Arial" w:eastAsia="Arial" w:hAnsi="Arial"/>
          <w:sz w:val="18"/>
          <w:szCs w:val="18"/>
          <w:color w:val="auto"/>
        </w:rPr>
        <w:t>Accumulated</w:t>
      </w:r>
      <w:r>
        <w:rPr>
          <w:sz w:val="20"/>
          <w:szCs w:val="20"/>
          <w:color w:val="auto"/>
        </w:rPr>
        <w:tab/>
      </w:r>
      <w:r>
        <w:rPr>
          <w:rFonts w:ascii="Arial" w:cs="Arial" w:eastAsia="Arial" w:hAnsi="Arial"/>
          <w:sz w:val="18"/>
          <w:szCs w:val="18"/>
          <w:color w:val="auto"/>
        </w:rPr>
        <w:t>Retained</w:t>
      </w:r>
    </w:p>
    <w:p>
      <w:pPr>
        <w:sectPr>
          <w:pgSz w:w="11900" w:h="16838" w:orient="portrait"/>
          <w:cols w:equalWidth="0" w:num="1">
            <w:col w:w="11240"/>
          </w:cols>
          <w:pgMar w:left="320" w:top="120"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restart"/>
          </w:tcPr>
          <w:p>
            <w:pPr>
              <w:jc w:val="right"/>
              <w:ind w:right="42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2040" w:type="dxa"/>
            <w:vAlign w:val="bottom"/>
            <w:gridSpan w:val="4"/>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w w:val="96"/>
              </w:rPr>
              <w:t>Comprehensive</w:t>
            </w:r>
          </w:p>
        </w:tc>
        <w:tc>
          <w:tcPr>
            <w:tcW w:w="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204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11,955,660</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$ 119,557</w:t>
            </w: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$ 72,467,483</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1,796,739</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6,855,896</w:t>
            </w:r>
          </w:p>
        </w:tc>
        <w:tc>
          <w:tcPr>
            <w:tcW w:w="16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1,471,406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0"/>
              </w:rPr>
              <w:t>$ (5,567,481)</w:t>
            </w:r>
          </w:p>
        </w:tc>
        <w:tc>
          <w:tcPr>
            <w:tcW w:w="16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1"/>
              </w:rPr>
              <w:t>$  75,672,194</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1,204,865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1,204,865</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234,219</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(2,342)</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deducted</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from</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CCEEFF"/>
            </w:tcBorders>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(72,798)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(728)</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(379,071)</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(379,799)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Dividends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(1,277,066)</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(1,277,066)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(18,574,772)</w:t>
            </w:r>
          </w:p>
        </w:tc>
        <w:tc>
          <w:tcPr>
            <w:tcW w:w="98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(18,574,772)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losses 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(17,775,309)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4"/>
              </w:rPr>
              <w:t>(17,775,309)</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30,</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vMerge w:val="restart"/>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12,117,081</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$ 121,171</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$ 73,290,935</w:t>
            </w:r>
          </w:p>
        </w:tc>
        <w:tc>
          <w:tcPr>
            <w:tcW w:w="100" w:type="dxa"/>
            <w:vAlign w:val="bottom"/>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(15,978,570)</w:t>
            </w:r>
          </w:p>
        </w:tc>
        <w:tc>
          <w:tcPr>
            <w:tcW w:w="1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(12,995,942)</w:t>
            </w:r>
          </w:p>
        </w:tc>
        <w:tc>
          <w:tcPr>
            <w:tcW w:w="980" w:type="dxa"/>
            <w:vAlign w:val="bottom"/>
            <w:tcBorders>
              <w:right w:val="single" w:sz="8" w:color="CCEEFF"/>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2"/>
              </w:rPr>
              <w:t>1,471,406</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80"/>
              </w:rPr>
              <w:t>$ (5,567,481)</w:t>
            </w: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1"/>
              </w:rPr>
              <w:t>$  38,870,113</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2022</w:t>
            </w:r>
          </w:p>
        </w:tc>
        <w:tc>
          <w:tcPr>
            <w:tcW w:w="56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tcBorders>
              <w:right w:val="single" w:sz="8" w:color="CCEEFF"/>
            </w:tcBorders>
            <w:gridSpan w:val="2"/>
            <w:vMerge w:val="continue"/>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980" w:type="dxa"/>
            <w:vAlign w:val="bottom"/>
            <w:tcBorders>
              <w:right w:val="single" w:sz="8" w:color="CCEEFF"/>
            </w:tcBorders>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Accumulated</w:t>
            </w: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vMerge w:val="restart"/>
          </w:tcPr>
          <w:p>
            <w:pPr>
              <w:jc w:val="right"/>
              <w:ind w:right="54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Accumulated</w:t>
            </w:r>
          </w:p>
        </w:tc>
        <w:tc>
          <w:tcPr>
            <w:tcW w:w="204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Deficit</w:t>
            </w: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12,171,512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$ 121,715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$ 74,519,590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(15,958,428)</w:t>
            </w:r>
          </w:p>
        </w:tc>
        <w:tc>
          <w:tcPr>
            <w:tcW w:w="13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6"/>
              </w:rPr>
              <w:t>$  (16,945,964)</w:t>
            </w:r>
          </w:p>
        </w:tc>
        <w:tc>
          <w:tcPr>
            <w:tcW w:w="98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1,471,406</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$ 36,169,432</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9"/>
              </w:rPr>
              <w:t>compensation</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636,178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636,178</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56,977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deducted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from</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stock</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awards for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payment of</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w w:val="99"/>
              </w:rPr>
              <w:t>withholding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8"/>
                <w:szCs w:val="18"/>
                <w:color w:val="auto"/>
              </w:rPr>
              <w:t>taxes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(9,114,298)</w:t>
            </w:r>
          </w:p>
        </w:tc>
        <w:tc>
          <w:tcPr>
            <w:tcW w:w="98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(9,114,298)</w:t>
            </w:r>
          </w:p>
        </w:tc>
        <w:tc>
          <w:tcPr>
            <w:tcW w:w="0" w:type="dxa"/>
            <w:vAlign w:val="bottom"/>
          </w:tcPr>
          <w:p>
            <w:pPr>
              <w:spacing w:after="0"/>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unrealized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losses 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available-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for-sale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(1,161,051)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(1,161,051)</w:t>
            </w:r>
          </w:p>
        </w:tc>
        <w:tc>
          <w:tcPr>
            <w:tcW w:w="0" w:type="dxa"/>
            <w:vAlign w:val="bottom"/>
          </w:tcPr>
          <w:p>
            <w:pPr>
              <w:spacing w:after="0"/>
              <w:rPr>
                <w:sz w:val="1"/>
                <w:szCs w:val="1"/>
                <w:color w:val="auto"/>
              </w:rPr>
            </w:pPr>
          </w:p>
        </w:tc>
      </w:tr>
      <w:tr>
        <w:trPr>
          <w:trHeight w:val="217"/>
        </w:trPr>
        <w:tc>
          <w:tcPr>
            <w:tcW w:w="11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30,</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vMerge w:val="restart"/>
            <w:shd w:val="clear" w:color="auto" w:fill="CCEEFF"/>
          </w:tcPr>
          <w:p>
            <w:pPr>
              <w:spacing w:after="0"/>
              <w:rPr>
                <w:sz w:val="18"/>
                <w:szCs w:val="18"/>
                <w:color w:val="auto"/>
              </w:rPr>
            </w:pPr>
          </w:p>
        </w:tc>
        <w:tc>
          <w:tcPr>
            <w:tcW w:w="580" w:type="dxa"/>
            <w:vAlign w:val="bottom"/>
            <w:vMerge w:val="restart"/>
            <w:shd w:val="clear" w:color="auto" w:fill="CCEEFF"/>
          </w:tcPr>
          <w:p>
            <w:pPr>
              <w:jc w:val="right"/>
              <w:ind w:right="429"/>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5"/>
              </w:rPr>
              <w:t>12,227,562</w:t>
            </w:r>
          </w:p>
        </w:tc>
        <w:tc>
          <w:tcPr>
            <w:tcW w:w="8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4"/>
              </w:rPr>
              <w:t>$ 122,275</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1"/>
              </w:rPr>
              <w:t>$ 75,153,808</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(17,119,479)</w:t>
            </w:r>
          </w:p>
        </w:tc>
        <w:tc>
          <w:tcPr>
            <w:tcW w:w="1300" w:type="dxa"/>
            <w:vAlign w:val="bottom"/>
            <w:tcBorders>
              <w:right w:val="single" w:sz="8" w:color="CCEEFF"/>
            </w:tcBorders>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6"/>
              </w:rPr>
              <w:t>$  (26,060,262)</w:t>
            </w:r>
          </w:p>
        </w:tc>
        <w:tc>
          <w:tcPr>
            <w:tcW w:w="980" w:type="dxa"/>
            <w:vAlign w:val="bottom"/>
            <w:tcBorders>
              <w:right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1,471,406</w:t>
            </w:r>
          </w:p>
        </w:tc>
        <w:tc>
          <w:tcPr>
            <w:tcW w:w="106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5"/>
              </w:rPr>
              <w:t>$ 26,528,861</w:t>
            </w: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2023</w:t>
            </w: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00" w:type="dxa"/>
            <w:vAlign w:val="bottom"/>
            <w:tcBorders>
              <w:right w:val="single" w:sz="8" w:color="CCEEFF"/>
            </w:tcBorders>
            <w:gridSpan w:val="4"/>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060" w:type="dxa"/>
            <w:vAlign w:val="bottom"/>
            <w:tcBorders>
              <w:right w:val="single" w:sz="8" w:color="CCEEFF"/>
            </w:tcBorders>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ectPr>
          <w:pgSz w:w="11900" w:h="16838" w:orient="portrait"/>
          <w:cols w:equalWidth="0" w:num="1">
            <w:col w:w="11240"/>
          </w:cols>
          <w:pgMar w:left="320" w:top="125"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Nine Months ended September 30,</w:t>
            </w:r>
          </w:p>
        </w:tc>
        <w:tc>
          <w:tcPr>
            <w:tcW w:w="2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r>
      <w:tr>
        <w:trPr>
          <w:trHeight w:val="42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(9,114,298)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(18,574,772)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(gains) on investments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(599,773)</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Net unrealized (gains) losses on equity investments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(173,178)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7,549,640</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losses on other investments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(441,666)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2,363,568</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2,327,691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2,472,348</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43,365</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Amortization of bond premium, net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118,280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922,257</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discount and issuance costs on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132,135</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636,178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1,204,865</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(2,149,367)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(3,939,612)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Decrease (increase) in operating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receivable, net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(616,493)</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Reinsurance receivables, net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(17,792,865)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(19,073,499)</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3,287,131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(966,697)</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(144,475)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95,613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 reserves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3,335,434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11,980,153</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(4,331,227)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6,029,773</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Advance premiums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3,449,195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3,933,809</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balances payable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7,201,518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(1,486,321)</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Deferred ceding commission revenue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(1,226,518)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571,862</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(2,198,271)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36,341</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(15,754,344)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(7,921,438)</w:t>
            </w:r>
          </w:p>
        </w:tc>
      </w:tr>
      <w:tr>
        <w:trPr>
          <w:trHeight w:val="210"/>
        </w:trPr>
        <w:tc>
          <w:tcPr>
            <w:tcW w:w="12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(498,711)</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Purchase - fixed-maturity securities available-for-sale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(13,167,937)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(24,874,443)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(637,897)</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Redemption - fixed-maturity securities held-to-maturity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33,453,349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14,213,435</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Sale - equity securities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99,917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11,962,513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 other investments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2,576,272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Acquisition of property and equipment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(1,380,256)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(3,342,258)</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19,755,073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398,911</w:t>
            </w:r>
          </w:p>
        </w:tc>
      </w:tr>
      <w:tr>
        <w:trPr>
          <w:trHeight w:val="210"/>
        </w:trPr>
        <w:tc>
          <w:tcPr>
            <w:tcW w:w="128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Principal payments on equipment financing</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(810,289)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costs on 2022 Notes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(379,799)</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(1,277,066)</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(825,988)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(1,656,865)</w:t>
            </w:r>
          </w:p>
        </w:tc>
      </w:tr>
      <w:tr>
        <w:trPr>
          <w:trHeight w:val="425"/>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6340" w:type="dxa"/>
            <w:vAlign w:val="bottom"/>
            <w:tcBorders>
              <w:bottom w:val="single" w:sz="8" w:color="auto"/>
            </w:tcBorders>
            <w:gridSpan w:val="2"/>
          </w:tcPr>
          <w:p>
            <w:pPr>
              <w:ind w:left="5580"/>
              <w:spacing w:after="0"/>
              <w:rPr>
                <w:sz w:val="20"/>
                <w:szCs w:val="20"/>
                <w:color w:val="auto"/>
              </w:rPr>
            </w:pPr>
            <w:r>
              <w:rPr>
                <w:rFonts w:ascii="Arial" w:cs="Arial" w:eastAsia="Arial" w:hAnsi="Arial"/>
                <w:sz w:val="18"/>
                <w:szCs w:val="18"/>
                <w:color w:val="auto"/>
              </w:rPr>
              <w:t>8</w:t>
            </w: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63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4900" w:type="dxa"/>
            <w:vAlign w:val="bottom"/>
            <w:gridSpan w:val="8"/>
          </w:tcPr>
          <w:p>
            <w:pPr>
              <w:jc w:val="right"/>
              <w:spacing w:after="0"/>
              <w:rPr>
                <w:sz w:val="20"/>
                <w:szCs w:val="20"/>
                <w:color w:val="auto"/>
              </w:rPr>
            </w:pPr>
            <w:r>
              <w:rPr>
                <w:rFonts w:ascii="Arial" w:cs="Arial" w:eastAsia="Arial" w:hAnsi="Arial"/>
                <w:sz w:val="18"/>
                <w:szCs w:val="18"/>
                <w:b w:val="1"/>
                <w:bCs w:val="1"/>
                <w:color w:val="auto"/>
              </w:rPr>
              <w:t>KINGSTONE COMPANIES, INC. AND SUBSIDIARIES</w:t>
            </w:r>
          </w:p>
        </w:tc>
      </w:tr>
      <w:tr>
        <w:trPr>
          <w:trHeight w:val="446"/>
        </w:trPr>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Condensed Consolidated Statements of Cash Flows (Unaudited) (Continued)</w:t>
            </w: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9"/>
        </w:trPr>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Nine Months ended September 30,</w:t>
            </w:r>
          </w:p>
        </w:tc>
        <w:tc>
          <w:tcPr>
            <w:tcW w:w="2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3,174,741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(9,179,392)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11,958,228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360" w:type="dxa"/>
            <w:vAlign w:val="bottom"/>
            <w:gridSpan w:val="2"/>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15,132,969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15,111,206</w:t>
            </w:r>
          </w:p>
        </w:tc>
      </w:tr>
      <w:tr>
        <w:trPr>
          <w:trHeight w:val="196"/>
        </w:trPr>
        <w:tc>
          <w:tcPr>
            <w:tcW w:w="1280" w:type="dxa"/>
            <w:vAlign w:val="bottom"/>
            <w:tcBorders>
              <w:top w:val="single" w:sz="8" w:color="CCEEFF"/>
            </w:tcBorders>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r>
        <w:trPr>
          <w:trHeight w:val="216"/>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(1,161,051)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(17,775,309)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5"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or, on a standalone basis for the parent company only, the “Holding Company”), through its wholly-owned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actively writing its property and casualty insurance products in New York. For the three months ended September 30, 2023 and 2022, 88.5% and 80.5%, respectively, of KICO’s direct written premiums came from the New York policies. For the nine months ended September 30, 2023 and 2022, 88.1% and 80.3%,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2022 and notes thereto included in the Company’s Annual Report on Form 10-K filed with the Securities and Exchange Commission (the “SEC”) on March 31, 2023.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nine months ended September 30, 2023 may not be indicative of the results that may be expected for the year ending December 31, 2023.</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Components of ceded premiums within prior year net earned premiums in Note 6 were reclassified to conform with an elected change in the current year presentation by recording ceded written premiums for the 12 months of the contract term at inception, rather than monthly over the contract term, providing a full disclosure of the premium ceded. The reclassification had no effect on the Company’s previously reported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2016, the Financial Accounting Standards Board issued Accounting Standards Update 2016-13 - Financial Instruments - Credit Losses (Topic 326): Measurement of Credit Losses on Financial Instruments (“ASU 2016-13”). This new guidance applies to reinsurance and insurance receivables and other financing receivables. For available-for-sale fixed maturity securities carried at fair value, estimated credit losses will continue to be measured at the present value of expected cash flows; however, the other than temporary impairment (“OTTI”) concept has been eliminated. Under the previous guidance, estimated credit impairments resulted in a write-down of amortized cost. Under the new guidance, estimated credit losses are recognized through an allowance and reversals of the allowance are permitted if the estimate of credit losses declines. For available-for-sale fixed maturity securities where the Company has an intent to sell, impairment will continue to result in a write-down of amortized cost. ASU 2016-13 was effective for the Company on January 1, 2023. The Company determined as of the date of adoption that the updated guidance did not have an impact on its consolidated financial statements. Below is a summary of the significant accounting policies impacted by the adoption of ASU 2016-13.</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is a valuation account that is reported as a reduction of a financial asset’s cost basis and is measured on a pool basis when similar risk characteristics exist. Management estimates the allowance using relevant available information from both internal and external sources. Historical credit loss experience provides the basis for the estimation of expected credit losses and adjustments may be made to reflect current conditions and reasonable and supportable forecasts. Adjustments to historical loss information are made for any additional factors that come to the Company’s attention. This could include significant shifts in counterparty financial strength ratings, aging of past due receivables, amounts sent to collection agencies, or other underlying portfolio changes. Amounts are considered past due when payments have not been received according to contractual terms. The Company also considers current and forecasted economic conditions, using a variety of economic metrics and forecast indices. The sensitivity of expected</w:t>
      </w:r>
    </w:p>
    <w:p>
      <w:pPr>
        <w:sectPr>
          <w:pgSz w:w="11900" w:h="16838" w:orient="portrait"/>
          <w:cols w:equalWidth="0" w:num="1">
            <w:col w:w="11240"/>
          </w:cols>
          <w:pgMar w:left="320" w:top="125" w:right="339" w:bottom="0" w:gutter="0" w:footer="0" w:header="0"/>
        </w:sectPr>
      </w:pPr>
    </w:p>
    <w:bookmarkStart w:id="7" w:name="page8"/>
    <w:bookmarkEnd w:id="7"/>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losses relative to changes to these forecasted economic conditions can vary by financial asset class. The Company considers a reasonable and supportable forecast period to be up to 24 months from the balance sheet date. After the forecast period, the Company reverts to historical credit experience. The Company uses collateral arrangements such as letters of credit and amounts held in beneficiary trusts to mitigate credit risk, which are considered in the estimate of net amount expected to be collected.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made a policy election to present accrued interest balances separately from the amortized cost basis of assets and has elected the practical expedient to exclude the accrued interest from the tabular disclosures for available-for-sale and held-to-maturity securities. The Company has elected not to estimate an allowance for credit losses on accrued interest receivable. The accrual of interest income is discontinued and the asset is placed on nonaccrual status in the quarter that payment becomes delinquent. Interest accrued but not received for assets on nonaccrual status is reversed through investment income. Interest received for assets that are on nonaccrual status is recognized as payment is received. The asset is returned to accrual status when the principal and interest amounts contractually due are brought current and future payments are expected. Interest receivable is presented as a component of other assets on the condensed consolidated balance sheet.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3 and Note 6 to the condensed consolidated financial statements for additional information regarding credit losses.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amortized cost, estimated fair value, and gross unrealized gains and losses on investments in fixed-maturity securities classified as available-for-sale for which an allowance for credit loss has not been recorded, as of September 30, 2023 and December 31, 2022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Gross Unrealized Losses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8,224,680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8,167,845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(56,835)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16,615,369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(4,201,015)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12,414,354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(4,201,015)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78,116,754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(8,651,516)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69,465,238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(8,651,516)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51,503,046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63,626</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(5,987)</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(8,821,223)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42,739,462</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(8,763,584)</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(2)</w:t>
            </w: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154,459,849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63,626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(62,822)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(21,673,754)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132,786,899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(21,672,950)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Cost or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6"/>
          </w:tcPr>
          <w:p>
            <w:pPr>
              <w:ind w:left="60"/>
              <w:spacing w:after="0"/>
              <w:rPr>
                <w:sz w:val="20"/>
                <w:szCs w:val="20"/>
                <w:color w:val="auto"/>
              </w:rPr>
            </w:pPr>
            <w:r>
              <w:rPr>
                <w:rFonts w:ascii="Arial" w:cs="Arial" w:eastAsia="Arial" w:hAnsi="Arial"/>
                <w:sz w:val="18"/>
                <w:szCs w:val="18"/>
                <w:b w:val="1"/>
                <w:bCs w:val="1"/>
                <w:color w:val="auto"/>
              </w:rPr>
              <w:t>Gross Unrealized Losses</w:t>
            </w:r>
          </w:p>
        </w:tc>
        <w:tc>
          <w:tcPr>
            <w:tcW w:w="8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10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Less than 12</w:t>
            </w:r>
          </w:p>
        </w:tc>
        <w:tc>
          <w:tcPr>
            <w:tcW w:w="110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w w:val="90"/>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23,874,545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  23,869,096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Territories and Possessions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17,108,154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(2,195,273)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(1,771,494)</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13,141,387</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(3,966,767)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Corporate and other bonds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80,338,464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(5,796,994)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(2,458,985)</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72,082,485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53,597,264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(882,664)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(7,150,803)</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45,622,195</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7"/>
              </w:rPr>
              <w:t>(7,975,069)</w:t>
            </w:r>
          </w:p>
        </w:tc>
        <w:tc>
          <w:tcPr>
            <w:tcW w:w="0" w:type="dxa"/>
            <w:vAlign w:val="bottom"/>
          </w:tcPr>
          <w:p>
            <w:pPr>
              <w:spacing w:after="0"/>
              <w:rPr>
                <w:sz w:val="1"/>
                <w:szCs w:val="1"/>
                <w:color w:val="auto"/>
              </w:rPr>
            </w:pPr>
          </w:p>
        </w:tc>
      </w:tr>
      <w:tr>
        <w:trPr>
          <w:trHeight w:val="217"/>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(2)</w:t>
            </w: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7" w:orient="portrait"/>
          <w:cols w:equalWidth="0" w:num="1">
            <w:col w:w="11240"/>
          </w:cols>
          <w:pgMar w:left="320" w:top="125" w:right="339" w:bottom="0" w:gutter="0" w:footer="0" w:header="0"/>
        </w:sectPr>
      </w:pPr>
    </w:p>
    <w:bookmarkStart w:id="8" w:name="page9"/>
    <w:bookmarkEnd w:id="8"/>
    <w:p>
      <w:pPr>
        <w:spacing w:after="0" w:line="12" w:lineRule="exact"/>
        <w:rPr>
          <w:sz w:val="20"/>
          <w:szCs w:val="20"/>
          <w:color w:val="auto"/>
        </w:rPr>
      </w:pPr>
    </w:p>
    <w:p>
      <w:pPr>
        <w:spacing w:after="0"/>
        <w:tabs>
          <w:tab w:leader="none" w:pos="3940" w:val="left"/>
          <w:tab w:leader="none" w:pos="5220" w:val="left"/>
          <w:tab w:leader="none" w:pos="5720" w:val="left"/>
          <w:tab w:leader="none" w:pos="6420" w:val="left"/>
          <w:tab w:leader="none" w:pos="6640" w:val="left"/>
          <w:tab w:leader="none" w:pos="7640" w:val="left"/>
          <w:tab w:leader="none" w:pos="8880" w:val="left"/>
          <w:tab w:leader="none" w:pos="10120" w:val="left"/>
        </w:tabs>
        <w:rPr>
          <w:sz w:val="20"/>
          <w:szCs w:val="20"/>
          <w:color w:val="auto"/>
        </w:rPr>
      </w:pPr>
      <w:r>
        <w:rPr>
          <w:rFonts w:ascii="Arial" w:cs="Arial" w:eastAsia="Arial" w:hAnsi="Arial"/>
          <w:sz w:val="18"/>
          <w:szCs w:val="18"/>
          <w:color w:val="auto"/>
        </w:rPr>
        <w:t>Total fixed-maturity securities</w:t>
      </w:r>
      <w:r>
        <w:rPr>
          <w:sz w:val="20"/>
          <w:szCs w:val="20"/>
          <w:color w:val="auto"/>
        </w:rPr>
        <w:tab/>
      </w:r>
      <w:r>
        <w:rPr>
          <w:rFonts w:ascii="Arial" w:cs="Arial" w:eastAsia="Arial" w:hAnsi="Arial"/>
          <w:sz w:val="18"/>
          <w:szCs w:val="18"/>
          <w:u w:val="single" w:color="auto"/>
          <w:color w:val="auto"/>
        </w:rPr>
        <w:t>$ 174,918,427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59,877</w:t>
      </w:r>
      <w:r>
        <w:rPr>
          <w:sz w:val="20"/>
          <w:szCs w:val="20"/>
          <w:color w:val="auto"/>
        </w:rPr>
        <w:tab/>
      </w:r>
      <w:r>
        <w:rPr>
          <w:rFonts w:ascii="Arial" w:cs="Arial" w:eastAsia="Arial" w:hAnsi="Arial"/>
          <w:sz w:val="18"/>
          <w:szCs w:val="18"/>
          <w:u w:val="single" w:color="auto"/>
          <w:color w:val="auto"/>
        </w:rPr>
        <w:t>$</w:t>
        <w:tab/>
        <w:t>(8,881,859</w:t>
      </w:r>
      <w:r>
        <w:rPr>
          <w:rFonts w:ascii="Arial" w:cs="Arial" w:eastAsia="Arial" w:hAnsi="Arial"/>
          <w:sz w:val="18"/>
          <w:szCs w:val="18"/>
          <w:color w:val="auto"/>
        </w:rPr>
        <w:t>)</w:t>
      </w:r>
      <w:r>
        <w:rPr>
          <w:rFonts w:ascii="Arial" w:cs="Arial" w:eastAsia="Arial" w:hAnsi="Arial"/>
          <w:sz w:val="18"/>
          <w:szCs w:val="18"/>
          <w:u w:val="single" w:color="auto"/>
          <w:color w:val="auto"/>
        </w:rPr>
        <w:tab/>
        <w:t>$ (11,381,282</w:t>
      </w:r>
      <w:r>
        <w:rPr>
          <w:rFonts w:ascii="Arial" w:cs="Arial" w:eastAsia="Arial" w:hAnsi="Arial"/>
          <w:sz w:val="18"/>
          <w:szCs w:val="18"/>
          <w:color w:val="auto"/>
        </w:rPr>
        <w:t>)</w:t>
      </w:r>
      <w:r>
        <w:rPr>
          <w:rFonts w:ascii="Arial" w:cs="Arial" w:eastAsia="Arial" w:hAnsi="Arial"/>
          <w:sz w:val="18"/>
          <w:szCs w:val="18"/>
          <w:u w:val="single" w:color="auto"/>
          <w:color w:val="auto"/>
        </w:rPr>
        <w:tab/>
        <w:t>$ 154,715,163</w:t>
      </w:r>
      <w:r>
        <w:rPr>
          <w:sz w:val="20"/>
          <w:szCs w:val="20"/>
          <w:color w:val="auto"/>
        </w:rPr>
        <w:tab/>
      </w:r>
      <w:r>
        <w:rPr>
          <w:rFonts w:ascii="Arial" w:cs="Arial" w:eastAsia="Arial" w:hAnsi="Arial"/>
          <w:sz w:val="16"/>
          <w:szCs w:val="16"/>
          <w:u w:val="single" w:color="auto"/>
          <w:color w:val="auto"/>
        </w:rPr>
        <w:t>$ (20,203,264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456057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60570" cy="25400"/>
                    </a:xfrm>
                    <a:prstGeom prst="rect">
                      <a:avLst/>
                    </a:prstGeom>
                    <a:noFill/>
                  </pic:spPr>
                </pic:pic>
              </a:graphicData>
            </a:graphic>
          </wp:anchor>
        </w:drawing>
      </w:r>
    </w:p>
    <w:p>
      <w:pPr>
        <w:spacing w:after="0" w:line="246" w:lineRule="exact"/>
        <w:rPr>
          <w:sz w:val="20"/>
          <w:szCs w:val="20"/>
          <w:color w:val="auto"/>
        </w:rPr>
      </w:pPr>
    </w:p>
    <w:p>
      <w:pPr>
        <w:jc w:val="both"/>
        <w:ind w:left="900" w:hanging="447"/>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September 30, 2023 and December 31, 2022, the amount of required collateral was approximately $7,422,000 and $8,691,000, respectively. As of September 30, 2023 and December 31, 2022, the estimated fair value of the eligible collateral was approximately $8,168,000 and $8,691,000, respectively.</w:t>
      </w:r>
    </w:p>
    <w:p>
      <w:pPr>
        <w:spacing w:after="0" w:line="2" w:lineRule="exact"/>
        <w:rPr>
          <w:rFonts w:ascii="Arial" w:cs="Arial" w:eastAsia="Arial" w:hAnsi="Arial"/>
          <w:sz w:val="18"/>
          <w:szCs w:val="18"/>
          <w:color w:val="auto"/>
        </w:rPr>
      </w:pPr>
    </w:p>
    <w:p>
      <w:pPr>
        <w:jc w:val="both"/>
        <w:ind w:left="900" w:hanging="447"/>
        <w:spacing w:after="0" w:line="25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2023 and December 31, 2022, the estimated fair value of the eligible investments was approximately $10,911,000 and $12,228,000, respectively. KICO will retain all rights regarding all securities if pledged as collateral. As of September 30, 2023 and December 31, 2022 there was no outstanding balance on the FHLBNY credit line.</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September 30,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11,053,509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10,894,062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16,359,100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16,307,991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44,834,816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42,323,786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18,605,987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14,085,113</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30,124,267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24,401,458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54,559,158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52,230,283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16,944,211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12,428,131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31,796,918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26,469,581</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51,503,046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42,739,462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53,597,264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45,622,195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154,459,849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132,786,899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174,918,427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154,715,163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13,583,942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(3,384,701)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10,199,241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4,402,841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225,001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(919,432)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3,708,410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17,986,783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(4,304,133)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13,907,651</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13,583,942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(3,589,313)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9,994,629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4,502,758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158,635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(821,632)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3,839,761</w:t>
            </w:r>
          </w:p>
        </w:tc>
      </w:tr>
      <w:tr>
        <w:trPr>
          <w:trHeight w:val="23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18,086,700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and estimated fair value of, and gross gains on, the Company’s other investments as of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September 30, 2023</w:t>
            </w: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December 31, 2022</w:t>
            </w:r>
          </w:p>
        </w:tc>
      </w:tr>
      <w:tr>
        <w:trPr>
          <w:trHeight w:val="191"/>
        </w:trPr>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r>
      <w:tr>
        <w:trPr>
          <w:trHeight w:val="426"/>
        </w:trPr>
        <w:tc>
          <w:tcPr>
            <w:tcW w:w="49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Other Investments: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$ 1,226,278</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$ 3,213,318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1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  784,612</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$ 2,771,652</w:t>
            </w: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2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4980" w:type="dxa"/>
            <w:vAlign w:val="bottom"/>
            <w:gridSpan w:val="3"/>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0" w:orient="portrait"/>
          <w:cols w:equalWidth="0" w:num="1">
            <w:col w:w="11240"/>
          </w:cols>
          <w:pgMar w:left="320" w:top="125" w:right="339" w:bottom="0" w:gutter="0" w:footer="0" w:header="0"/>
        </w:sectPr>
      </w:pPr>
    </w:p>
    <w:bookmarkStart w:id="9" w:name="page10"/>
    <w:bookmarkEnd w:id="9"/>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September 30, 2023 and December 31, 2022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September 30, 2023</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2300" w:type="dxa"/>
            <w:vAlign w:val="bottom"/>
            <w:gridSpan w:val="5"/>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More than 12</w:t>
            </w:r>
          </w:p>
        </w:tc>
        <w:tc>
          <w:tcPr>
            <w:tcW w:w="240" w:type="dxa"/>
            <w:vAlign w:val="bottom"/>
          </w:tcPr>
          <w:p>
            <w:pPr>
              <w:spacing w:after="0"/>
              <w:rPr>
                <w:sz w:val="16"/>
                <w:szCs w:val="16"/>
                <w:color w:val="auto"/>
              </w:rPr>
            </w:pPr>
          </w:p>
        </w:tc>
        <w:tc>
          <w:tcPr>
            <w:tcW w:w="10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Months</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5"/>
        </w:trPr>
        <w:tc>
          <w:tcPr>
            <w:tcW w:w="45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$ 1,228,783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(31,495)</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$ 1,147,493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499,036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(9,046)</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489,990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304,111</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(51,611)</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(51,611)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5,021,895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(1,212,380)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3,809,515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(1,212,380)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$ 7,053,825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(1,243,875)</w:t>
            </w: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$ 5,699,498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(1,354,327)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rPr>
              <w:t>December 31, 2022</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9"/>
                <w:szCs w:val="19"/>
                <w:color w:val="auto"/>
              </w:rPr>
            </w:pPr>
          </w:p>
        </w:tc>
        <w:tc>
          <w:tcPr>
            <w:tcW w:w="2300" w:type="dxa"/>
            <w:vAlign w:val="bottom"/>
            <w:gridSpan w:val="5"/>
            <w:vMerge w:val="continue"/>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Amortized</w:t>
            </w:r>
          </w:p>
        </w:tc>
        <w:tc>
          <w:tcPr>
            <w:tcW w:w="1160" w:type="dxa"/>
            <w:vAlign w:val="bottom"/>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1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More than 12</w:t>
            </w:r>
          </w:p>
        </w:tc>
        <w:tc>
          <w:tcPr>
            <w:tcW w:w="240" w:type="dxa"/>
            <w:vAlign w:val="bottom"/>
          </w:tcPr>
          <w:p>
            <w:pPr>
              <w:spacing w:after="0"/>
              <w:rPr>
                <w:sz w:val="16"/>
                <w:szCs w:val="16"/>
                <w:color w:val="auto"/>
              </w:rPr>
            </w:pPr>
          </w:p>
        </w:tc>
        <w:tc>
          <w:tcPr>
            <w:tcW w:w="10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Months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Months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$ 1,228,560</w:t>
            </w:r>
          </w:p>
        </w:tc>
        <w:tc>
          <w:tcPr>
            <w:tcW w:w="12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$ 1,222,883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498,638</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304,111</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5,734,831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(809,746)</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(360,278)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4,601,775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(1,133,056)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$ 7,766,140</w:t>
            </w:r>
          </w:p>
        </w:tc>
        <w:tc>
          <w:tcPr>
            <w:tcW w:w="120" w:type="dxa"/>
            <w:vAlign w:val="bottom"/>
            <w:tcBorders>
              <w:left w:val="single" w:sz="8" w:color="CCEEFF"/>
            </w:tcBorders>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67,460</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(872,934)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$ 6,600,388</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(1,165,752)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estimated fair value of the Company’s investments in held-to-maturity securities by contractual maturity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1,121,091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1,069,974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1,088,522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1,411,819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1,166,505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1,200,720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4,520,915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3,463,019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4,534,394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3,567,571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7,053,825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5,699,498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1,245,353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1,234,427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3,982,573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2,832,557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187,018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247,275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540,788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872,005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29,796</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1"/>
        </w:trPr>
        <w:tc>
          <w:tcPr>
            <w:tcW w:w="6060" w:type="dxa"/>
            <w:vAlign w:val="bottom"/>
          </w:tcPr>
          <w:p>
            <w:pPr>
              <w:spacing w:after="0" w:line="191"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1100" w:type="dxa"/>
            <w:vAlign w:val="bottom"/>
            <w:gridSpan w:val="2"/>
          </w:tcPr>
          <w:p>
            <w:pPr>
              <w:jc w:val="right"/>
              <w:ind w:right="220"/>
              <w:spacing w:after="0" w:line="191" w:lineRule="exact"/>
              <w:rPr>
                <w:sz w:val="20"/>
                <w:szCs w:val="20"/>
                <w:color w:val="auto"/>
              </w:rPr>
            </w:pPr>
            <w:r>
              <w:rPr>
                <w:rFonts w:ascii="Arial" w:cs="Arial" w:eastAsia="Arial" w:hAnsi="Arial"/>
                <w:sz w:val="18"/>
                <w:szCs w:val="18"/>
                <w:color w:val="auto"/>
              </w:rPr>
              <w:t>1,531,134</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91" w:lineRule="exact"/>
              <w:rPr>
                <w:sz w:val="20"/>
                <w:szCs w:val="20"/>
                <w:color w:val="auto"/>
              </w:rPr>
            </w:pPr>
            <w:r>
              <w:rPr>
                <w:rFonts w:ascii="Arial" w:cs="Arial" w:eastAsia="Arial" w:hAnsi="Arial"/>
                <w:sz w:val="18"/>
                <w:szCs w:val="18"/>
                <w:color w:val="auto"/>
              </w:rPr>
              <w:t>1,508,332</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91" w:lineRule="exact"/>
              <w:rPr>
                <w:sz w:val="20"/>
                <w:szCs w:val="20"/>
                <w:color w:val="auto"/>
              </w:rPr>
            </w:pPr>
            <w:r>
              <w:rPr>
                <w:rFonts w:ascii="Arial" w:cs="Arial" w:eastAsia="Arial" w:hAnsi="Arial"/>
                <w:sz w:val="18"/>
                <w:szCs w:val="18"/>
                <w:color w:val="auto"/>
              </w:rPr>
              <w:t>4,694,376</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rPr>
              <w:t>3,734,358</w:t>
            </w: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322,412</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64" w:orient="portrait"/>
          <w:cols w:equalWidth="0" w:num="1">
            <w:col w:w="11240"/>
          </w:cols>
          <w:pgMar w:left="320" w:top="341" w:right="339" w:bottom="0" w:gutter="0" w:footer="0" w:header="0"/>
        </w:sectPr>
      </w:pPr>
    </w:p>
    <w:bookmarkStart w:id="10" w:name="page11"/>
    <w:bookmarkEnd w:id="10"/>
    <w:p>
      <w:pPr>
        <w:spacing w:after="0"/>
        <w:tabs>
          <w:tab w:leader="none" w:pos="6040" w:val="left"/>
          <w:tab w:leader="none" w:pos="6420" w:val="left"/>
          <w:tab w:leader="none" w:pos="7360" w:val="left"/>
          <w:tab w:leader="none" w:pos="7740" w:val="left"/>
          <w:tab w:leader="none" w:pos="868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Net investment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1,444,360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1,418,521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4,437,208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3,411,946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2326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23260" cy="25400"/>
                    </a:xfrm>
                    <a:prstGeom prst="rect">
                      <a:avLst/>
                    </a:prstGeom>
                    <a:noFill/>
                  </pic:spPr>
                </pic:pic>
              </a:graphicData>
            </a:graphic>
          </wp:anchor>
        </w:drawing>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$750,000 and $1,000,000 for the nine months ended September 30, 2023 and 2022,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$33,453,349 and $14,213,435 for the nine months ended September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$99,917 and $11,962,513 for the nine months ended September 30, 2023 and 2022,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The Company’s net (losses) gains on investments are summarized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(Losses) Gains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102,774</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(4,610)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(18,408)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(158,701)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907,079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1,384,432</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(728,732)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814,920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655,700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589,233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589,233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(losses)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1,399,906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1,189,006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Unrealized (Losses) Gains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173,178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(483,967)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(1,132,595)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(7,549,640)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(483,967)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(1,132,595)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173,178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(7,549,640)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441,666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(336,222)</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(664,969)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(2,952,802)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(664,969)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441,666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(2,952,802)</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(losses)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(820,189)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(1,797,564)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614,844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(10,502,442)</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(losses) gains on investments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(824,370)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(397,658)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(9,313,436)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Changes in the allowance are presented as a component of net (losses) gains on investments on the accompanying condensed consolidated statements of operations and comprehensive loss.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and December 31, 2022, there were 150 and 155 fixed-maturity securities, respectively, that accounted for the gross unrealized losses. The Company determined that none of the unrealized losses were deemed to be credit losses for its portfolio of investments for the nine months ended September 30, 2023 and 2022.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September 30, 2023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September 30,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426"/>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$ 8,167,845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(56,835)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8,167,845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(56,835)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Political subdivisions of States,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12,414,354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(4,201,015)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12,414,354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(4,201,015)</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69,465,238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(8,651,516)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69,465,238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(8,651,516)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Residential mortgage and other</w:t>
            </w:r>
          </w:p>
        </w:tc>
        <w:tc>
          <w:tcPr>
            <w:tcW w:w="10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204,418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(5,987)</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38,962,381</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(8,821,223)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39,166,799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(8,827,210)</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fixed-maturity securities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$ 8,372,263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(62,822)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120,841,973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(21,673,754)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129,214,236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(21,736,576)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December 31,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No. of</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Positions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Held</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obligations of U.S. government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$ 18,918,196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Political subdivisions of States,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7,970,633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(2,195,273)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5,170,753</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56,910,104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(5,796,994)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15,172,381</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10,145,880</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(882,664)</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8"/>
              </w:rPr>
              <w:t>34,753,178</w:t>
            </w:r>
          </w:p>
        </w:tc>
        <w:tc>
          <w:tcPr>
            <w:tcW w:w="13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(8,033,467)</w:t>
            </w:r>
          </w:p>
        </w:tc>
        <w:tc>
          <w:tcPr>
            <w:tcW w:w="0" w:type="dxa"/>
            <w:vAlign w:val="bottom"/>
          </w:tcPr>
          <w:p>
            <w:pPr>
              <w:spacing w:after="0"/>
              <w:rPr>
                <w:sz w:val="1"/>
                <w:szCs w:val="1"/>
                <w:color w:val="auto"/>
              </w:rPr>
            </w:pPr>
          </w:p>
        </w:tc>
      </w:tr>
      <w:tr>
        <w:trPr>
          <w:trHeight w:val="21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$ 93,944,813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(8,881,859)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55,096,312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(11,381,282)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149,041,125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(20,263,141)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1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8,167,845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8,167,845</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12,414,354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12,414,354</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69,465,238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69,465,238</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42,739,462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42,739,462</w:t>
            </w:r>
          </w:p>
        </w:tc>
      </w:tr>
      <w:tr>
        <w:trPr>
          <w:trHeight w:val="20"/>
        </w:trPr>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fixed maturities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77,633,083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55,153,816</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132,786,899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13,907,651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13,907,651</w:t>
            </w:r>
          </w:p>
        </w:tc>
      </w:tr>
      <w:tr>
        <w:trPr>
          <w:trHeight w:val="20"/>
        </w:trPr>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91,540,734</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55,153,816</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146,694,550</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23,869,096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23,869,096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13,141,387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13,141,387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71,585,115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497,370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72,082,485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45,622,195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45,622,195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95,454,211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59,260,952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154,715,163</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13,834,390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109,288,601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59,260,952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168,549,553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554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6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September 30, 2023 and December 31, 2022.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48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3,213,318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2,771,652</w:t>
            </w:r>
          </w:p>
        </w:tc>
      </w:tr>
      <w:tr>
        <w:trPr>
          <w:trHeight w:val="20"/>
        </w:trPr>
        <w:tc>
          <w:tcPr>
            <w:tcW w:w="8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(losses) gains on investments.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September 30, 2023 and December 31, 2022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17,314,915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17,314,915</w:t>
            </w:r>
          </w:p>
        </w:tc>
        <w:tc>
          <w:tcPr>
            <w:tcW w:w="0" w:type="dxa"/>
            <w:vAlign w:val="bottom"/>
          </w:tcPr>
          <w:p>
            <w:pPr>
              <w:spacing w:after="0"/>
              <w:rPr>
                <w:sz w:val="1"/>
                <w:szCs w:val="1"/>
                <w:color w:val="auto"/>
              </w:rPr>
            </w:pPr>
          </w:p>
        </w:tc>
      </w:tr>
      <w:tr>
        <w:trPr>
          <w:trHeight w:val="648"/>
        </w:trPr>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15,829,096</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15,829,096</w:t>
            </w: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the Company’s financial instruments and real estate, including their fair value level as of September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securities-held-to maturity, Level 1</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7,053,825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5,699,498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Cash and cash equivalents, Level 1</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15,132,969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15,132,969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11,958,228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11,958,228</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 net, Level 1</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13,326,369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13,326,369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13,880,504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13,880,504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Reinsurance receivables, net, Level 3</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84,257,926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84,257,926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66,465,061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66,465,061</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net of accumulated depreciation, Level 3</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2,015,414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2,050,644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Reinsurance balances payable, Level 3</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20,263,484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20,263,484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13,061,966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13,061,966</w:t>
            </w:r>
          </w:p>
        </w:tc>
      </w:tr>
      <w:tr>
        <w:trPr>
          <w:trHeight w:val="634"/>
        </w:trPr>
        <w:tc>
          <w:tcPr>
            <w:tcW w:w="1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33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Premiums Earned</w:t>
            </w: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rPr>
              <w:t>Premiums written, ceded and earned are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Direct</w:t>
            </w:r>
          </w:p>
        </w:tc>
        <w:tc>
          <w:tcPr>
            <w:tcW w:w="980" w:type="dxa"/>
            <w:vAlign w:val="bottom"/>
          </w:tcPr>
          <w:p>
            <w:pPr>
              <w:jc w:val="right"/>
              <w:ind w:right="5"/>
              <w:spacing w:after="0"/>
              <w:rPr>
                <w:sz w:val="20"/>
                <w:szCs w:val="20"/>
                <w:color w:val="auto"/>
              </w:rPr>
            </w:pPr>
            <w:r>
              <w:rPr>
                <w:rFonts w:ascii="Arial" w:cs="Arial" w:eastAsia="Arial" w:hAnsi="Arial"/>
                <w:sz w:val="18"/>
                <w:szCs w:val="18"/>
                <w:b w:val="1"/>
                <w:bCs w:val="1"/>
                <w:color w:val="auto"/>
              </w:rPr>
              <w:t>Assumed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Ceded</w:t>
            </w:r>
          </w:p>
        </w:tc>
        <w:tc>
          <w:tcPr>
            <w:tcW w:w="20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147,236,636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(91,009,861)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56,226,775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4,331,226</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25,143,466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29,474,692</w:t>
            </w: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151,567,862</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(65,866,395)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85,701,467</w:t>
            </w:r>
          </w:p>
        </w:tc>
      </w:tr>
      <w:tr>
        <w:trPr>
          <w:trHeight w:val="197"/>
        </w:trPr>
        <w:tc>
          <w:tcPr>
            <w:tcW w:w="1300" w:type="dxa"/>
            <w:vAlign w:val="bottom"/>
            <w:tcBorders>
              <w:top w:val="single" w:sz="8" w:color="CCEEFF"/>
            </w:tcBorders>
          </w:tcPr>
          <w:p>
            <w:pPr>
              <w:spacing w:after="0"/>
              <w:rPr>
                <w:sz w:val="17"/>
                <w:szCs w:val="17"/>
                <w:color w:val="auto"/>
              </w:rPr>
            </w:pPr>
          </w:p>
        </w:tc>
        <w:tc>
          <w:tcPr>
            <w:tcW w:w="4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147,353,911</w:t>
            </w:r>
          </w:p>
        </w:tc>
        <w:tc>
          <w:tcPr>
            <w:tcW w:w="220" w:type="dxa"/>
            <w:vAlign w:val="bottom"/>
          </w:tcPr>
          <w:p>
            <w:pPr>
              <w:spacing w:after="0"/>
              <w:rPr>
                <w:sz w:val="18"/>
                <w:szCs w:val="18"/>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(81,313,211)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66,040,700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(6,029,774)</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23,925,498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17,895,724</w:t>
            </w:r>
          </w:p>
        </w:tc>
      </w:tr>
      <w:tr>
        <w:trPr>
          <w:trHeight w:val="20"/>
        </w:trPr>
        <w:tc>
          <w:tcPr>
            <w:tcW w:w="1300" w:type="dxa"/>
            <w:vAlign w:val="bottom"/>
            <w:shd w:val="clear" w:color="auto" w:fill="CCEEFF"/>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141,324,137</w:t>
            </w:r>
          </w:p>
        </w:tc>
        <w:tc>
          <w:tcPr>
            <w:tcW w:w="220" w:type="dxa"/>
            <w:vAlign w:val="bottom"/>
          </w:tcPr>
          <w:p>
            <w:pPr>
              <w:spacing w:after="0"/>
              <w:rPr>
                <w:sz w:val="18"/>
                <w:szCs w:val="18"/>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(57,387,713)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83,936,424</w:t>
            </w: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51,992,246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(48,316,946)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3,675,300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(1,246,657)</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25,509,675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24,263,018</w:t>
            </w: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50,745,589</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(22,807,271)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27,938,318</w:t>
            </w:r>
          </w:p>
        </w:tc>
      </w:tr>
      <w:tr>
        <w:trPr>
          <w:trHeight w:val="197"/>
        </w:trPr>
        <w:tc>
          <w:tcPr>
            <w:tcW w:w="1300" w:type="dxa"/>
            <w:vAlign w:val="bottom"/>
            <w:tcBorders>
              <w:top w:val="single" w:sz="8" w:color="CCEEFF"/>
            </w:tcBorders>
          </w:tcPr>
          <w:p>
            <w:pPr>
              <w:spacing w:after="0"/>
              <w:rPr>
                <w:sz w:val="17"/>
                <w:szCs w:val="17"/>
                <w:color w:val="auto"/>
              </w:rPr>
            </w:pPr>
          </w:p>
        </w:tc>
        <w:tc>
          <w:tcPr>
            <w:tcW w:w="4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54,591,551</w:t>
            </w:r>
          </w:p>
        </w:tc>
        <w:tc>
          <w:tcPr>
            <w:tcW w:w="220" w:type="dxa"/>
            <w:vAlign w:val="bottom"/>
          </w:tcPr>
          <w:p>
            <w:pPr>
              <w:spacing w:after="0"/>
              <w:rPr>
                <w:sz w:val="18"/>
                <w:szCs w:val="18"/>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(43,494,819)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11,096,732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(5,636,421)</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23,900,665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18,264,244</w:t>
            </w:r>
          </w:p>
        </w:tc>
      </w:tr>
      <w:tr>
        <w:trPr>
          <w:trHeight w:val="20"/>
        </w:trPr>
        <w:tc>
          <w:tcPr>
            <w:tcW w:w="1300" w:type="dxa"/>
            <w:vAlign w:val="bottom"/>
            <w:shd w:val="clear" w:color="auto" w:fill="CCEEFF"/>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48,955,130</w:t>
            </w:r>
          </w:p>
        </w:tc>
        <w:tc>
          <w:tcPr>
            <w:tcW w:w="220" w:type="dxa"/>
            <w:vAlign w:val="bottom"/>
          </w:tcPr>
          <w:p>
            <w:pPr>
              <w:spacing w:after="0"/>
              <w:rPr>
                <w:sz w:val="18"/>
                <w:szCs w:val="18"/>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(19,594,154)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29,360,976</w:t>
            </w:r>
          </w:p>
        </w:tc>
      </w:tr>
      <w:tr>
        <w:trPr>
          <w:trHeight w:val="20"/>
        </w:trPr>
        <w:tc>
          <w:tcPr>
            <w:tcW w:w="1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September 30, 2023 and December 31, 2022 was $6,288,223 and $2,839,028,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7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Loss and Loss Adjustment Expense Reserves</w:t>
            </w: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3"/>
          </w:tcPr>
          <w:p>
            <w:pPr>
              <w:spacing w:after="0"/>
              <w:rPr>
                <w:sz w:val="20"/>
                <w:szCs w:val="20"/>
                <w:color w:val="auto"/>
              </w:rPr>
            </w:pPr>
            <w:r>
              <w:rPr>
                <w:rFonts w:ascii="Arial" w:cs="Arial" w:eastAsia="Arial" w:hAnsi="Arial"/>
                <w:sz w:val="18"/>
                <w:szCs w:val="18"/>
                <w:color w:val="auto"/>
                <w:w w:val="93"/>
              </w:rPr>
              <w:t>The following table provides a reconciliation of the beginning and ending balances for unpaid loss and LAE reserves: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118,339,513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94,948,745</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(27,659,500)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(10,637,679)</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90,680,013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84,311,066</w:t>
            </w:r>
          </w:p>
        </w:tc>
      </w:tr>
      <w:tr>
        <w:trPr>
          <w:trHeight w:val="210"/>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66,568,985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62,910,967</w:t>
            </w: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713,788</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3"/>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66,552,565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63,624,755</w:t>
            </w:r>
          </w:p>
        </w:tc>
      </w:tr>
      <w:tr>
        <w:trPr>
          <w:trHeight w:val="210"/>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37,932,760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35,774,958</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29,928,162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26,938,462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67,860,922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62,713,420</w:t>
            </w:r>
          </w:p>
        </w:tc>
      </w:tr>
      <w:tr>
        <w:trPr>
          <w:trHeight w:val="209"/>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89,371,656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85,222,401</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32,303,291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21,706,497</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121,674,947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106,928,898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$34,019,370 and $27,230,814 for the nine months ended September 30, 2023 and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nine months ended September 30, 2023 and 2022 was $16,420 favorable and $713,788 unfavorable, respectively. Management, on a quarterly basis,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w:t>
      </w:r>
    </w:p>
    <w:p>
      <w:pPr>
        <w:sectPr>
          <w:pgSz w:w="11900" w:h="16838" w:orient="portrait"/>
          <w:cols w:equalWidth="0" w:num="1">
            <w:col w:w="11240"/>
          </w:cols>
          <w:pgMar w:left="320" w:top="121" w:right="339" w:bottom="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Paid Loss Development </w:t>
      </w:r>
      <w:r>
        <w:rPr>
          <w:rFonts w:ascii="Arial" w:cs="Arial" w:eastAsia="Arial" w:hAnsi="Arial"/>
          <w:sz w:val="16"/>
          <w:szCs w:val="16"/>
          <w:color w:val="auto"/>
        </w:rPr>
        <w:t>– historical patterns of paid loss development are used to project future paid loss emergence in order to estimate required reserves.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incurred loss emergence in order to estimate required reserves.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w:t>
      </w:r>
      <w:r>
        <w:rPr>
          <w:rFonts w:ascii="Arial" w:cs="Arial" w:eastAsia="Arial" w:hAnsi="Arial"/>
          <w:sz w:val="17"/>
          <w:szCs w:val="17"/>
          <w:i w:val="1"/>
          <w:iCs w:val="1"/>
          <w:color w:val="auto"/>
        </w:rPr>
        <w:t xml:space="preserve"> </w:t>
      </w:r>
      <w:r>
        <w:rPr>
          <w:rFonts w:ascii="Arial" w:cs="Arial" w:eastAsia="Arial" w:hAnsi="Arial"/>
          <w:sz w:val="17"/>
          <w:szCs w:val="17"/>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Frequency / Severity Based Methods </w:t>
      </w:r>
      <w:r>
        <w:rPr>
          <w:rFonts w:ascii="Arial" w:cs="Arial" w:eastAsia="Arial" w:hAnsi="Arial"/>
          <w:sz w:val="18"/>
          <w:szCs w:val="18"/>
          <w:color w:val="auto"/>
        </w:rPr>
        <w:t>– historical measurements of claim frequency and average paid claim size (severity) are reviewed for more mature</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2020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ectPr>
          <w:pgSz w:w="11900" w:h="16838" w:orient="portrait"/>
          <w:cols w:equalWidth="0" w:num="1">
            <w:col w:w="11240"/>
          </w:cols>
          <w:pgMar w:left="320" w:top="125" w:right="339" w:bottom="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September 30, 2023, net of reinsurance, as well as the cumulative reported claims by accident year and total IBNR reserves as of September 30, 2023 included in the net incurred loss and allocated expense amounts. The historical information regarding incurred and paid claims development for the years ended December 31, 2014 to December 31, 2022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i w:val="1"/>
                <w:iCs w:val="1"/>
                <w:color w:val="0000EE"/>
                <w:w w:val="88"/>
              </w:rPr>
              <w:t>Table of Contents</w:t>
            </w:r>
          </w:p>
        </w:tc>
        <w:tc>
          <w:tcPr>
            <w:tcW w:w="2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320" w:type="dxa"/>
            <w:vAlign w:val="bottom"/>
            <w:gridSpan w:val="12"/>
          </w:tcPr>
          <w:p>
            <w:pPr>
              <w:spacing w:after="0"/>
              <w:rPr>
                <w:sz w:val="20"/>
                <w:szCs w:val="20"/>
                <w:color w:val="auto"/>
              </w:rPr>
            </w:pPr>
            <w:r>
              <w:rPr>
                <w:rFonts w:ascii="Arial" w:cs="Arial" w:eastAsia="Arial" w:hAnsi="Arial"/>
                <w:sz w:val="18"/>
                <w:szCs w:val="18"/>
                <w:b w:val="1"/>
                <w:bCs w:val="1"/>
                <w:color w:val="auto"/>
              </w:rPr>
              <w:t>All Lines of Business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00" w:type="dxa"/>
            <w:vAlign w:val="bottom"/>
            <w:gridSpan w:val="21"/>
          </w:tcPr>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8"/>
              </w:rPr>
              <w:t>As of</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40" w:type="dxa"/>
            <w:vAlign w:val="bottom"/>
            <w:gridSpan w:val="53"/>
          </w:tcPr>
          <w:p>
            <w:pPr>
              <w:spacing w:after="0"/>
              <w:rPr>
                <w:sz w:val="17"/>
                <w:szCs w:val="17"/>
                <w:color w:val="auto"/>
              </w:rPr>
            </w:pPr>
          </w:p>
        </w:tc>
        <w:tc>
          <w:tcPr>
            <w:tcW w:w="440" w:type="dxa"/>
            <w:vAlign w:val="bottom"/>
            <w:gridSpan w:val="4"/>
            <w:vMerge w:val="continue"/>
          </w:tcPr>
          <w:p>
            <w:pPr>
              <w:spacing w:after="0"/>
              <w:rPr>
                <w:sz w:val="17"/>
                <w:szCs w:val="17"/>
                <w:color w:val="auto"/>
              </w:rPr>
            </w:pPr>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34"/>
          </w:tcPr>
          <w:p>
            <w:pPr>
              <w:jc w:val="right"/>
              <w:ind w:right="300"/>
              <w:spacing w:after="0"/>
              <w:rPr>
                <w:sz w:val="20"/>
                <w:szCs w:val="20"/>
                <w:color w:val="auto"/>
              </w:rPr>
            </w:pPr>
            <w:r>
              <w:rPr>
                <w:rFonts w:ascii="Arial" w:cs="Arial" w:eastAsia="Arial" w:hAnsi="Arial"/>
                <w:sz w:val="18"/>
                <w:szCs w:val="18"/>
                <w:b w:val="1"/>
                <w:bCs w:val="1"/>
                <w:color w:val="auto"/>
                <w:w w:val="95"/>
              </w:rPr>
              <w:t>Incurred Loss and Allocated Loss Adjustment Expenses, Net of Reinsurance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September 30, 2023</w:t>
            </w:r>
          </w:p>
        </w:tc>
        <w:tc>
          <w:tcPr>
            <w:tcW w:w="0" w:type="dxa"/>
            <w:vAlign w:val="bottom"/>
          </w:tcPr>
          <w:p>
            <w:pPr>
              <w:spacing w:after="0"/>
              <w:rPr>
                <w:sz w:val="1"/>
                <w:szCs w:val="1"/>
                <w:color w:val="auto"/>
              </w:rPr>
            </w:pPr>
          </w:p>
        </w:tc>
      </w:tr>
      <w:tr>
        <w:trPr>
          <w:trHeight w:val="191"/>
        </w:trPr>
        <w:tc>
          <w:tcPr>
            <w:tcW w:w="840" w:type="dxa"/>
            <w:vAlign w:val="bottom"/>
            <w:gridSpan w:val="3"/>
          </w:tcPr>
          <w:p>
            <w:pPr>
              <w:spacing w:after="0"/>
              <w:rPr>
                <w:sz w:val="16"/>
                <w:szCs w:val="16"/>
                <w:color w:val="auto"/>
              </w:rPr>
            </w:pPr>
          </w:p>
        </w:tc>
        <w:tc>
          <w:tcPr>
            <w:tcW w:w="8340" w:type="dxa"/>
            <w:vAlign w:val="bottom"/>
            <w:tcBorders>
              <w:top w:val="single" w:sz="8" w:color="auto"/>
            </w:tcBorders>
            <w:gridSpan w:val="43"/>
          </w:tcPr>
          <w:p>
            <w:pPr>
              <w:spacing w:after="0"/>
              <w:rPr>
                <w:sz w:val="16"/>
                <w:szCs w:val="16"/>
                <w:color w:val="auto"/>
              </w:rPr>
            </w:pPr>
          </w:p>
        </w:tc>
        <w:tc>
          <w:tcPr>
            <w:tcW w:w="220" w:type="dxa"/>
            <w:vAlign w:val="bottom"/>
            <w:gridSpan w:val="4"/>
          </w:tcPr>
          <w:p>
            <w:pPr>
              <w:spacing w:after="0"/>
              <w:rPr>
                <w:sz w:val="16"/>
                <w:szCs w:val="16"/>
                <w:color w:val="auto"/>
              </w:rPr>
            </w:pPr>
          </w:p>
        </w:tc>
        <w:tc>
          <w:tcPr>
            <w:tcW w:w="174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color w:val="auto"/>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2"/>
              </w:rPr>
              <w:t>Nine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Claims by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September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34"/>
        </w:trPr>
        <w:tc>
          <w:tcPr>
            <w:tcW w:w="8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Accident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gridSpan w:val="16"/>
          </w:tcPr>
          <w:p>
            <w:pPr>
              <w:jc w:val="center"/>
              <w:ind w:right="320"/>
              <w:spacing w:after="0"/>
              <w:rPr>
                <w:sz w:val="20"/>
                <w:szCs w:val="20"/>
                <w:color w:val="auto"/>
              </w:rPr>
            </w:pPr>
            <w:r>
              <w:rPr>
                <w:rFonts w:ascii="Arial" w:cs="Arial" w:eastAsia="Arial" w:hAnsi="Arial"/>
                <w:sz w:val="18"/>
                <w:szCs w:val="18"/>
                <w:b w:val="1"/>
                <w:bCs w:val="1"/>
                <w:color w:val="auto"/>
                <w:w w:val="89"/>
              </w:rPr>
              <w:t>For the Years Ended December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8"/>
                <w:szCs w:val="18"/>
                <w:b w:val="1"/>
                <w:bCs w:val="1"/>
                <w:color w:val="auto"/>
              </w:rPr>
              <w:t>IBNR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191"/>
        </w:trPr>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7180" w:type="dxa"/>
            <w:vAlign w:val="bottom"/>
            <w:tcBorders>
              <w:top w:val="single" w:sz="8" w:color="auto"/>
            </w:tcBorders>
            <w:gridSpan w:val="39"/>
          </w:tcPr>
          <w:p>
            <w:pPr>
              <w:spacing w:after="0"/>
              <w:rPr>
                <w:sz w:val="16"/>
                <w:szCs w:val="16"/>
                <w:color w:val="auto"/>
              </w:rPr>
            </w:pPr>
          </w:p>
        </w:tc>
        <w:tc>
          <w:tcPr>
            <w:tcW w:w="1380" w:type="dxa"/>
            <w:vAlign w:val="bottom"/>
            <w:gridSpan w:val="8"/>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920" w:type="dxa"/>
            <w:vAlign w:val="bottom"/>
            <w:tcBorders>
              <w:top w:val="single" w:sz="8" w:color="auto"/>
            </w:tcBorders>
            <w:gridSpan w:val="4"/>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2"/>
              </w:rPr>
              <w:t>(Unaudited 2014 - 2022)</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gridSpan w:val="5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85"/>
              </w:rPr>
              <w:t>$ 14,193</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$ 14,260</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$ 14,218</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$ 14,564</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w w:val="88"/>
              </w:rPr>
              <w:t>$ 15,023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$ 16,381</w:t>
            </w: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$ 16,428</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$ 16,434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$ 16,486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22,340</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21,994</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22,148</w:t>
            </w:r>
          </w:p>
        </w:tc>
        <w:tc>
          <w:tcPr>
            <w:tcW w:w="20" w:type="dxa"/>
            <w:vAlign w:val="bottom"/>
          </w:tcPr>
          <w:p>
            <w:pPr>
              <w:spacing w:after="0"/>
              <w:rPr>
                <w:sz w:val="18"/>
                <w:szCs w:val="18"/>
                <w:color w:val="auto"/>
              </w:rPr>
            </w:pPr>
          </w:p>
        </w:tc>
        <w:tc>
          <w:tcPr>
            <w:tcW w:w="840" w:type="dxa"/>
            <w:vAlign w:val="bottom"/>
            <w:gridSpan w:val="4"/>
          </w:tcPr>
          <w:p>
            <w:pPr>
              <w:jc w:val="right"/>
              <w:ind w:right="110"/>
              <w:spacing w:after="0"/>
              <w:rPr>
                <w:sz w:val="20"/>
                <w:szCs w:val="20"/>
                <w:color w:val="auto"/>
              </w:rPr>
            </w:pPr>
            <w:r>
              <w:rPr>
                <w:rFonts w:ascii="Arial" w:cs="Arial" w:eastAsia="Arial" w:hAnsi="Arial"/>
                <w:sz w:val="18"/>
                <w:szCs w:val="18"/>
                <w:color w:val="auto"/>
              </w:rPr>
              <w:t>22,491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23,386</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23,291</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23,528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23,533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23,464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24,941</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24,789</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27,966</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27,417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27,352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31,605</w:t>
            </w:r>
          </w:p>
        </w:tc>
        <w:tc>
          <w:tcPr>
            <w:tcW w:w="20" w:type="dxa"/>
            <w:vAlign w:val="bottom"/>
          </w:tcPr>
          <w:p>
            <w:pPr>
              <w:spacing w:after="0"/>
              <w:rPr>
                <w:sz w:val="18"/>
                <w:szCs w:val="18"/>
                <w:color w:val="auto"/>
              </w:rPr>
            </w:pPr>
          </w:p>
        </w:tc>
        <w:tc>
          <w:tcPr>
            <w:tcW w:w="840" w:type="dxa"/>
            <w:vAlign w:val="bottom"/>
            <w:gridSpan w:val="4"/>
          </w:tcPr>
          <w:p>
            <w:pPr>
              <w:jc w:val="right"/>
              <w:ind w:right="110"/>
              <w:spacing w:after="0"/>
              <w:rPr>
                <w:sz w:val="20"/>
                <w:szCs w:val="20"/>
                <w:color w:val="auto"/>
              </w:rPr>
            </w:pPr>
            <w:r>
              <w:rPr>
                <w:rFonts w:ascii="Arial" w:cs="Arial" w:eastAsia="Arial" w:hAnsi="Arial"/>
                <w:sz w:val="18"/>
                <w:szCs w:val="18"/>
                <w:color w:val="auto"/>
              </w:rPr>
              <w:t>32,169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35,304</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36,160</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36,532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36,502</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36,731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54,455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56,351</w:t>
            </w: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58,441</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59,404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61,237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75,092</w:t>
            </w: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72,368</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71,544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71,964</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72,811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63,083</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62,833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63,217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96,425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96,673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95,839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4,099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79,835</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8240" w:type="dxa"/>
            <w:vAlign w:val="bottom"/>
            <w:gridSpan w:val="43"/>
          </w:tcPr>
          <w:p>
            <w:pPr>
              <w:ind w:left="180"/>
              <w:spacing w:after="0"/>
              <w:rPr>
                <w:sz w:val="20"/>
                <w:szCs w:val="20"/>
                <w:color w:val="auto"/>
              </w:rPr>
            </w:pPr>
            <w:r>
              <w:rPr>
                <w:rFonts w:ascii="Arial" w:cs="Arial" w:eastAsia="Arial" w:hAnsi="Arial"/>
                <w:sz w:val="18"/>
                <w:szCs w:val="18"/>
                <w:color w:val="auto"/>
              </w:rPr>
              <w:t>2023</w:t>
            </w:r>
          </w:p>
        </w:tc>
        <w:tc>
          <w:tcPr>
            <w:tcW w:w="94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8"/>
                <w:szCs w:val="18"/>
                <w:color w:val="auto"/>
              </w:rPr>
              <w:t>63,392</w:t>
            </w:r>
          </w:p>
        </w:tc>
        <w:tc>
          <w:tcPr>
            <w:tcW w:w="1300" w:type="dxa"/>
            <w:vAlign w:val="bottom"/>
            <w:gridSpan w:val="11"/>
          </w:tcPr>
          <w:p>
            <w:pPr>
              <w:jc w:val="right"/>
              <w:ind w:right="1210"/>
              <w:spacing w:after="0"/>
              <w:rPr>
                <w:sz w:val="20"/>
                <w:szCs w:val="20"/>
                <w:color w:val="auto"/>
              </w:rPr>
            </w:pPr>
            <w:r>
              <w:rPr>
                <w:rFonts w:ascii="Arial" w:cs="Arial" w:eastAsia="Arial" w:hAnsi="Arial"/>
                <w:sz w:val="18"/>
                <w:szCs w:val="18"/>
                <w:color w:val="auto"/>
              </w:rPr>
              <w:t>14,044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0"/>
        </w:trPr>
        <w:tc>
          <w:tcPr>
            <w:tcW w:w="8240" w:type="dxa"/>
            <w:vAlign w:val="bottom"/>
            <w:gridSpan w:val="4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gridSpan w:val="15"/>
            <w:shd w:val="clear" w:color="auto" w:fill="CCEEFF"/>
          </w:tcPr>
          <w:p>
            <w:pPr>
              <w:jc w:val="right"/>
              <w:ind w:right="2060"/>
              <w:spacing w:after="0"/>
              <w:rPr>
                <w:sz w:val="20"/>
                <w:szCs w:val="20"/>
                <w:color w:val="auto"/>
              </w:rPr>
            </w:pPr>
            <w:r>
              <w:rPr>
                <w:rFonts w:ascii="Arial" w:cs="Arial" w:eastAsia="Arial" w:hAnsi="Arial"/>
                <w:sz w:val="18"/>
                <w:szCs w:val="18"/>
                <w:color w:val="auto"/>
              </w:rPr>
              <w:t>540,280</w:t>
            </w:r>
          </w:p>
        </w:tc>
        <w:tc>
          <w:tcPr>
            <w:tcW w:w="0" w:type="dxa"/>
            <w:vAlign w:val="bottom"/>
          </w:tcPr>
          <w:p>
            <w:pPr>
              <w:spacing w:after="0"/>
              <w:rPr>
                <w:sz w:val="1"/>
                <w:szCs w:val="1"/>
                <w:color w:val="auto"/>
              </w:rPr>
            </w:pPr>
          </w:p>
        </w:tc>
      </w:tr>
      <w:tr>
        <w:trPr>
          <w:trHeight w:val="411"/>
        </w:trPr>
        <w:tc>
          <w:tcPr>
            <w:tcW w:w="2320" w:type="dxa"/>
            <w:vAlign w:val="bottom"/>
            <w:tcBorders>
              <w:top w:val="single" w:sz="8" w:color="CCEEFF"/>
            </w:tcBorders>
            <w:gridSpan w:val="12"/>
          </w:tcPr>
          <w:p>
            <w:pPr>
              <w:spacing w:after="0"/>
              <w:rPr>
                <w:sz w:val="20"/>
                <w:szCs w:val="20"/>
                <w:color w:val="auto"/>
              </w:rPr>
            </w:pPr>
            <w:r>
              <w:rPr>
                <w:rFonts w:ascii="Arial" w:cs="Arial" w:eastAsia="Arial" w:hAnsi="Arial"/>
                <w:sz w:val="18"/>
                <w:szCs w:val="18"/>
                <w:b w:val="1"/>
                <w:bCs w:val="1"/>
                <w:color w:val="auto"/>
              </w:rPr>
              <w:t>All Lines of Business</w:t>
            </w: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37"/>
            <w:vMerge w:val="restart"/>
          </w:tcPr>
          <w:p>
            <w:pPr>
              <w:jc w:val="right"/>
              <w:spacing w:after="0"/>
              <w:rPr>
                <w:sz w:val="20"/>
                <w:szCs w:val="20"/>
                <w:color w:val="auto"/>
              </w:rPr>
            </w:pPr>
            <w:r>
              <w:rPr>
                <w:rFonts w:ascii="Arial" w:cs="Arial" w:eastAsia="Arial" w:hAnsi="Arial"/>
                <w:sz w:val="18"/>
                <w:szCs w:val="18"/>
                <w:b w:val="1"/>
                <w:bCs w:val="1"/>
                <w:color w:val="auto"/>
                <w:w w:val="96"/>
              </w:rPr>
              <w:t>Cumulative Paid Loss and Allocated Loss Adjustment Expenses, Net of Reinsurance</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20" w:type="dxa"/>
            <w:vAlign w:val="bottom"/>
            <w:tcBorders>
              <w:bottom w:val="single" w:sz="8" w:color="auto"/>
            </w:tcBorders>
            <w:gridSpan w:val="37"/>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Nine</w:t>
            </w: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5"/>
            <w:vMerge w:val="restart"/>
          </w:tcPr>
          <w:p>
            <w:pPr>
              <w:jc w:val="center"/>
              <w:ind w:right="180"/>
              <w:spacing w:after="0"/>
              <w:rPr>
                <w:sz w:val="20"/>
                <w:szCs w:val="20"/>
                <w:color w:val="auto"/>
              </w:rPr>
            </w:pPr>
            <w:r>
              <w:rPr>
                <w:rFonts w:ascii="Arial" w:cs="Arial" w:eastAsia="Arial" w:hAnsi="Arial"/>
                <w:sz w:val="18"/>
                <w:szCs w:val="18"/>
                <w:b w:val="1"/>
                <w:bCs w:val="1"/>
                <w:color w:val="auto"/>
                <w:w w:val="90"/>
              </w:rPr>
              <w:t>For the Years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21"/>
        </w:trPr>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5"/>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4"/>
              </w:rPr>
              <w:t>Accident Year</w:t>
            </w:r>
          </w:p>
        </w:tc>
        <w:tc>
          <w:tcPr>
            <w:tcW w:w="100" w:type="dxa"/>
            <w:vAlign w:val="bottom"/>
            <w:gridSpan w:val="2"/>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2014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14"/>
          </w:tcPr>
          <w:p>
            <w:pPr>
              <w:jc w:val="center"/>
              <w:ind w:right="640"/>
              <w:spacing w:after="0"/>
              <w:rPr>
                <w:sz w:val="20"/>
                <w:szCs w:val="20"/>
                <w:color w:val="auto"/>
              </w:rPr>
            </w:pPr>
            <w:r>
              <w:rPr>
                <w:rFonts w:ascii="Arial" w:cs="Arial" w:eastAsia="Arial" w:hAnsi="Arial"/>
                <w:sz w:val="18"/>
                <w:szCs w:val="18"/>
                <w:b w:val="1"/>
                <w:bCs w:val="1"/>
                <w:color w:val="auto"/>
                <w:w w:val="92"/>
              </w:rPr>
              <w:t>(Unaudited 2014 - 2022)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gridSpan w:val="5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2014</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10,738</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11,770</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13,819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14,901</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15,770</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16,120</w:t>
            </w:r>
          </w:p>
        </w:tc>
        <w:tc>
          <w:tcPr>
            <w:tcW w:w="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12,295</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16,181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18,266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21,067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22,104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22,473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22,516</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15,364</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21,106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26,382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16,704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24,820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28,693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31,393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32,529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33,522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34,606</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2018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32,383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50,553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54,424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55,373</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40,933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54,897</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58,055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60,374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63,311</w:t>
            </w: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2020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53,432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55,830</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56,282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77,756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80,267</w:t>
            </w:r>
          </w:p>
        </w:tc>
        <w:tc>
          <w:tcPr>
            <w:tcW w:w="0" w:type="dxa"/>
            <w:vAlign w:val="bottom"/>
          </w:tcPr>
          <w:p>
            <w:pPr>
              <w:spacing w:after="0"/>
              <w:rPr>
                <w:sz w:val="1"/>
                <w:szCs w:val="1"/>
                <w:color w:val="auto"/>
              </w:rPr>
            </w:pPr>
          </w:p>
        </w:tc>
      </w:tr>
      <w:tr>
        <w:trPr>
          <w:trHeight w:val="216"/>
        </w:trPr>
        <w:tc>
          <w:tcPr>
            <w:tcW w:w="9500" w:type="dxa"/>
            <w:vAlign w:val="bottom"/>
            <w:gridSpan w:val="51"/>
            <w:shd w:val="clear" w:color="auto" w:fill="CCEEFF"/>
          </w:tcPr>
          <w:p>
            <w:pPr>
              <w:ind w:left="440"/>
              <w:spacing w:after="0"/>
              <w:rPr>
                <w:sz w:val="20"/>
                <w:szCs w:val="20"/>
                <w:color w:val="auto"/>
              </w:rPr>
            </w:pPr>
            <w:r>
              <w:rPr>
                <w:rFonts w:ascii="Arial" w:cs="Arial" w:eastAsia="Arial" w:hAnsi="Arial"/>
                <w:sz w:val="18"/>
                <w:szCs w:val="18"/>
                <w:color w:val="auto"/>
                <w:w w:val="89"/>
              </w:rPr>
              <w:t>2022</w:t>
            </w:r>
          </w:p>
        </w:tc>
        <w:tc>
          <w:tcPr>
            <w:tcW w:w="980" w:type="dxa"/>
            <w:vAlign w:val="bottom"/>
            <w:gridSpan w:val="6"/>
            <w:shd w:val="clear" w:color="auto" w:fill="CCEEFF"/>
          </w:tcPr>
          <w:p>
            <w:pPr>
              <w:jc w:val="right"/>
              <w:ind w:right="390"/>
              <w:spacing w:after="0"/>
              <w:rPr>
                <w:sz w:val="20"/>
                <w:szCs w:val="20"/>
                <w:color w:val="auto"/>
              </w:rPr>
            </w:pPr>
            <w:r>
              <w:rPr>
                <w:rFonts w:ascii="Arial" w:cs="Arial" w:eastAsia="Arial" w:hAnsi="Arial"/>
                <w:sz w:val="18"/>
                <w:szCs w:val="18"/>
                <w:color w:val="auto"/>
                <w:w w:val="87"/>
              </w:rPr>
              <w:t>45,856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64,417</w:t>
            </w:r>
          </w:p>
        </w:tc>
        <w:tc>
          <w:tcPr>
            <w:tcW w:w="0" w:type="dxa"/>
            <w:vAlign w:val="bottom"/>
          </w:tcPr>
          <w:p>
            <w:pPr>
              <w:spacing w:after="0"/>
              <w:rPr>
                <w:sz w:val="1"/>
                <w:szCs w:val="1"/>
                <w:color w:val="auto"/>
              </w:rPr>
            </w:pPr>
          </w:p>
        </w:tc>
      </w:tr>
      <w:tr>
        <w:trPr>
          <w:trHeight w:val="216"/>
        </w:trPr>
        <w:tc>
          <w:tcPr>
            <w:tcW w:w="10220" w:type="dxa"/>
            <w:vAlign w:val="bottom"/>
            <w:gridSpan w:val="54"/>
          </w:tcPr>
          <w:p>
            <w:pPr>
              <w:ind w:left="440"/>
              <w:spacing w:after="0"/>
              <w:rPr>
                <w:sz w:val="20"/>
                <w:szCs w:val="20"/>
                <w:color w:val="auto"/>
              </w:rPr>
            </w:pPr>
            <w:r>
              <w:rPr>
                <w:rFonts w:ascii="Arial" w:cs="Arial" w:eastAsia="Arial" w:hAnsi="Arial"/>
                <w:sz w:val="18"/>
                <w:szCs w:val="18"/>
                <w:color w:val="auto"/>
                <w:w w:val="89"/>
              </w:rPr>
              <w:t>2023</w:t>
            </w:r>
          </w:p>
        </w:tc>
        <w:tc>
          <w:tcPr>
            <w:tcW w:w="92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35,801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40" w:type="dxa"/>
            <w:vAlign w:val="bottom"/>
            <w:gridSpan w:val="5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454,987</w:t>
            </w:r>
          </w:p>
        </w:tc>
        <w:tc>
          <w:tcPr>
            <w:tcW w:w="0" w:type="dxa"/>
            <w:vAlign w:val="bottom"/>
          </w:tcPr>
          <w:p>
            <w:pPr>
              <w:spacing w:after="0"/>
              <w:rPr>
                <w:sz w:val="1"/>
                <w:szCs w:val="1"/>
                <w:color w:val="auto"/>
              </w:rPr>
            </w:pPr>
          </w:p>
        </w:tc>
      </w:tr>
      <w:tr>
        <w:trPr>
          <w:trHeight w:val="209"/>
        </w:trPr>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gridSpan w:val="38"/>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0" w:type="dxa"/>
            <w:vAlign w:val="bottom"/>
            <w:gridSpan w:val="39"/>
            <w:shd w:val="clear" w:color="auto" w:fill="CCEEFF"/>
          </w:tcPr>
          <w:p>
            <w:pPr>
              <w:jc w:val="right"/>
              <w:spacing w:after="0"/>
              <w:rPr>
                <w:sz w:val="20"/>
                <w:szCs w:val="20"/>
                <w:color w:val="auto"/>
              </w:rPr>
            </w:pPr>
            <w:r>
              <w:rPr>
                <w:rFonts w:ascii="Arial" w:cs="Arial" w:eastAsia="Arial" w:hAnsi="Arial"/>
                <w:sz w:val="18"/>
                <w:szCs w:val="18"/>
                <w:color w:val="auto"/>
                <w:w w:val="89"/>
              </w:rPr>
              <w:t>Net liability for unpaid loss and allocated loss adjustment expenses for the accident years presented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0" w:type="dxa"/>
            <w:vAlign w:val="bottom"/>
            <w:gridSpan w:val="24"/>
          </w:tcPr>
          <w:p>
            <w:pPr>
              <w:jc w:val="right"/>
              <w:spacing w:after="0"/>
              <w:rPr>
                <w:sz w:val="20"/>
                <w:szCs w:val="20"/>
                <w:color w:val="auto"/>
              </w:rPr>
            </w:pPr>
            <w:r>
              <w:rPr>
                <w:rFonts w:ascii="Arial" w:cs="Arial" w:eastAsia="Arial" w:hAnsi="Arial"/>
                <w:sz w:val="18"/>
                <w:szCs w:val="18"/>
                <w:color w:val="auto"/>
                <w:w w:val="92"/>
              </w:rPr>
              <w:t>All outstanding liabilities before 2014, net of reinsurance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32"/>
            <w:shd w:val="clear" w:color="auto" w:fill="CCEEFF"/>
          </w:tcPr>
          <w:p>
            <w:pPr>
              <w:jc w:val="right"/>
              <w:spacing w:after="0"/>
              <w:rPr>
                <w:sz w:val="20"/>
                <w:szCs w:val="20"/>
                <w:color w:val="auto"/>
              </w:rPr>
            </w:pPr>
            <w:r>
              <w:rPr>
                <w:rFonts w:ascii="Arial" w:cs="Arial" w:eastAsia="Arial" w:hAnsi="Arial"/>
                <w:sz w:val="18"/>
                <w:szCs w:val="18"/>
                <w:color w:val="auto"/>
                <w:w w:val="96"/>
              </w:rPr>
              <w:t>Liabilities for loss and allocated loss adjustment expenses, net of reinsurance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net incurred and paid loss development tables to the loss and LAE reserves in the condensed consolidated balance sheet is as follows:</w:t>
      </w:r>
    </w:p>
    <w:p>
      <w:pPr>
        <w:sectPr>
          <w:pgSz w:w="11900" w:h="16838" w:orient="portrait"/>
          <w:cols w:equalWidth="0" w:num="1">
            <w:col w:w="11240"/>
          </w:cols>
          <w:pgMar w:left="320" w:top="125" w:right="3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96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2023</w:t>
            </w:r>
          </w:p>
        </w:tc>
        <w:tc>
          <w:tcPr>
            <w:tcW w:w="100" w:type="dxa"/>
            <w:vAlign w:val="bottom"/>
          </w:tcPr>
          <w:p>
            <w:pPr>
              <w:spacing w:after="0"/>
              <w:rPr>
                <w:sz w:val="20"/>
                <w:szCs w:val="20"/>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85,465</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32,303</w:t>
            </w:r>
          </w:p>
        </w:tc>
      </w:tr>
      <w:tr>
        <w:trPr>
          <w:trHeight w:val="216"/>
        </w:trPr>
        <w:tc>
          <w:tcPr>
            <w:tcW w:w="9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4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121,675</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30% quota share reinsurance treaty for its personal lines business, covering the period from January 1, 2023 through January 1, 2024 (“2023/2024 Treaty”).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excess of loss and catastrophe reinsurance treaties expired on June 30, 2023 and the Company entered into new excess of loss and catastrophe reinsurance treaties effective July 1, 2023. Effective January 1, 2022, the Company entered into an underlying excess of loss reinsurance treaty (“Underlying XOL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 Material terms for reinsurance treaties in effect for the treaty years shown below are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4"/>
          </w:tcPr>
          <w:p>
            <w:pPr>
              <w:spacing w:after="0"/>
              <w:rPr>
                <w:sz w:val="20"/>
                <w:szCs w:val="20"/>
                <w:color w:val="auto"/>
              </w:rPr>
            </w:pPr>
            <w:r>
              <w:rPr>
                <w:rFonts w:ascii="Arial" w:cs="Arial" w:eastAsia="Arial" w:hAnsi="Arial"/>
                <w:sz w:val="18"/>
                <w:szCs w:val="18"/>
                <w:i w:val="1"/>
                <w:iCs w:val="1"/>
                <w:color w:val="0000EE"/>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Treaty Period</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8"/>
                <w:szCs w:val="18"/>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2023/2024 Treaty</w:t>
            </w:r>
          </w:p>
        </w:tc>
        <w:tc>
          <w:tcPr>
            <w:tcW w:w="10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July 1,</w:t>
            </w:r>
          </w:p>
        </w:tc>
        <w:tc>
          <w:tcPr>
            <w:tcW w:w="11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4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gridSpan w:val="4"/>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7"/>
              </w:rPr>
              <w:t>Risk retained on initial $1,000,000 of losses (5) (6) (7)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2"/>
        </w:trPr>
        <w:tc>
          <w:tcPr>
            <w:tcW w:w="4400" w:type="dxa"/>
            <w:vAlign w:val="bottom"/>
            <w:gridSpan w:val="4"/>
          </w:tcPr>
          <w:p>
            <w:pPr>
              <w:ind w:left="220"/>
              <w:spacing w:after="0" w:line="201" w:lineRule="exact"/>
              <w:rPr>
                <w:sz w:val="20"/>
                <w:szCs w:val="20"/>
                <w:color w:val="auto"/>
              </w:rPr>
            </w:pPr>
            <w:r>
              <w:rPr>
                <w:rFonts w:ascii="Arial" w:cs="Arial" w:eastAsia="Arial" w:hAnsi="Arial"/>
                <w:sz w:val="18"/>
                <w:szCs w:val="18"/>
                <w:color w:val="auto"/>
                <w:w w:val="89"/>
              </w:rPr>
              <w:t>Losses per occurrence subject to quota share reinsurance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coverage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4400" w:type="dxa"/>
            <w:vAlign w:val="bottom"/>
            <w:gridSpan w:val="4"/>
            <w:shd w:val="clear" w:color="auto" w:fill="CCEEFF"/>
          </w:tcPr>
          <w:p>
            <w:pPr>
              <w:ind w:left="420"/>
              <w:spacing w:after="0" w:line="201" w:lineRule="exact"/>
              <w:rPr>
                <w:sz w:val="20"/>
                <w:szCs w:val="20"/>
                <w:color w:val="auto"/>
              </w:rPr>
            </w:pPr>
            <w:r>
              <w:rPr>
                <w:rFonts w:ascii="Arial" w:cs="Arial" w:eastAsia="Arial" w:hAnsi="Arial"/>
                <w:sz w:val="18"/>
                <w:szCs w:val="18"/>
                <w:color w:val="auto"/>
              </w:rPr>
              <w:t>Expiration date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87"/>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87"/>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87"/>
              </w:rPr>
              <w:t>January 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2023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gridSpan w:val="4"/>
          </w:tcPr>
          <w:p>
            <w:pPr>
              <w:ind w:left="220"/>
              <w:spacing w:after="0" w:line="201" w:lineRule="exact"/>
              <w:rPr>
                <w:sz w:val="20"/>
                <w:szCs w:val="20"/>
                <w:color w:val="auto"/>
              </w:rPr>
            </w:pPr>
            <w:r>
              <w:rPr>
                <w:rFonts w:ascii="Arial" w:cs="Arial" w:eastAsia="Arial" w:hAnsi="Arial"/>
                <w:sz w:val="18"/>
                <w:szCs w:val="18"/>
                <w:color w:val="auto"/>
                <w:w w:val="92"/>
              </w:rPr>
              <w:t>Excess of loss coverage and facultative facility coverage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ind w:left="220"/>
              <w:spacing w:after="0"/>
              <w:rPr>
                <w:sz w:val="20"/>
                <w:szCs w:val="20"/>
                <w:color w:val="auto"/>
              </w:rPr>
            </w:pPr>
            <w:r>
              <w:rPr>
                <w:rFonts w:ascii="Arial" w:cs="Arial" w:eastAsia="Arial" w:hAnsi="Arial"/>
                <w:sz w:val="18"/>
                <w:szCs w:val="18"/>
                <w:color w:val="auto"/>
              </w:rPr>
              <w:t>(1) (5) (6)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in excess of</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in excess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Total reinsurance coverage per occurrence (5) (6)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ind w:left="220"/>
              <w:spacing w:after="0"/>
              <w:rPr>
                <w:sz w:val="20"/>
                <w:szCs w:val="20"/>
                <w:color w:val="auto"/>
              </w:rPr>
            </w:pPr>
            <w:r>
              <w:rPr>
                <w:rFonts w:ascii="Arial" w:cs="Arial" w:eastAsia="Arial" w:hAnsi="Arial"/>
                <w:sz w:val="18"/>
                <w:szCs w:val="18"/>
                <w:color w:val="auto"/>
                <w:w w:val="94"/>
              </w:rPr>
              <w:t>Losses per occurrence subject to reinsurance coverage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4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Expiration date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Catastrophe Reinsurance: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4"/>
          </w:tcPr>
          <w:p>
            <w:pPr>
              <w:ind w:left="220"/>
              <w:spacing w:after="0"/>
              <w:rPr>
                <w:sz w:val="20"/>
                <w:szCs w:val="20"/>
                <w:color w:val="auto"/>
              </w:rPr>
            </w:pPr>
            <w:r>
              <w:rPr>
                <w:rFonts w:ascii="Arial" w:cs="Arial" w:eastAsia="Arial" w:hAnsi="Arial"/>
                <w:sz w:val="18"/>
                <w:szCs w:val="18"/>
                <w:color w:val="auto"/>
                <w:w w:val="91"/>
              </w:rPr>
              <w:t>Initial loss subject to personal lines quota share treaty (6)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Risk retained per catastrophe occurrence (6) (7) (8)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7,400,000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Catastrophe loss coverage in excess of quota share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coverage (2) (6)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490,000,000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4"/>
          </w:tcPr>
          <w:p>
            <w:pPr>
              <w:ind w:left="220"/>
              <w:spacing w:after="0"/>
              <w:rPr>
                <w:sz w:val="20"/>
                <w:szCs w:val="20"/>
                <w:color w:val="auto"/>
              </w:rPr>
            </w:pPr>
            <w:r>
              <w:rPr>
                <w:rFonts w:ascii="Arial" w:cs="Arial" w:eastAsia="Arial" w:hAnsi="Arial"/>
                <w:sz w:val="18"/>
                <w:szCs w:val="18"/>
                <w:color w:val="auto"/>
              </w:rPr>
              <w:t>Reinstatement premium protection (3) (4)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Yes</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00" w:right="20" w:hanging="447"/>
        <w:spacing w:after="0" w:line="274"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June 30, 2024.</w:t>
      </w:r>
    </w:p>
    <w:p>
      <w:pPr>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hanging="447"/>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ind w:left="900" w:hanging="44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period July 1, 2022 through June 30, 2023, reinstatement premium protection for $9,800,000 of catastrophe coverage in excess of</w:t>
      </w:r>
    </w:p>
    <w:p>
      <w:pPr>
        <w:sectPr>
          <w:pgSz w:w="11900" w:h="16838" w:orient="portrait"/>
          <w:cols w:equalWidth="0" w:num="1">
            <w:col w:w="11240"/>
          </w:cols>
          <w:pgMar w:left="320" w:top="337" w:right="339" w:bottom="0" w:gutter="0" w:footer="0" w:header="0"/>
        </w:sectPr>
      </w:pPr>
    </w:p>
    <w:bookmarkStart w:id="17" w:name="page18"/>
    <w:bookmarkEnd w:id="17"/>
    <w:p>
      <w:pPr>
        <w:ind w:left="900"/>
        <w:spacing w:after="0" w:line="258" w:lineRule="auto"/>
        <w:rPr>
          <w:sz w:val="20"/>
          <w:szCs w:val="20"/>
          <w:color w:val="auto"/>
        </w:rPr>
      </w:pPr>
      <w:r>
        <w:rPr>
          <w:rFonts w:ascii="Arial" w:cs="Arial" w:eastAsia="Arial" w:hAnsi="Arial"/>
          <w:sz w:val="18"/>
          <w:szCs w:val="18"/>
          <w:color w:val="auto"/>
        </w:rPr>
        <w:t>$10,000,000. For the period July 1, 2023 through June 30, 2024, reinstatement premium protection for $12,500,000 of catastrophe coverage in excess of $10,000,000</w:t>
      </w:r>
    </w:p>
    <w:p>
      <w:pPr>
        <w:spacing w:after="0" w:line="1" w:lineRule="exact"/>
        <w:rPr>
          <w:sz w:val="20"/>
          <w:szCs w:val="20"/>
          <w:color w:val="auto"/>
        </w:rPr>
      </w:pPr>
    </w:p>
    <w:p>
      <w:pPr>
        <w:jc w:val="both"/>
        <w:ind w:left="900" w:hanging="447"/>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2023/2024 Treaty. Excludes losses from named storms.</w:t>
      </w:r>
    </w:p>
    <w:p>
      <w:pPr>
        <w:spacing w:after="0" w:line="1" w:lineRule="exact"/>
        <w:rPr>
          <w:rFonts w:ascii="Arial" w:cs="Arial" w:eastAsia="Arial" w:hAnsi="Arial"/>
          <w:sz w:val="18"/>
          <w:szCs w:val="18"/>
          <w:color w:val="auto"/>
        </w:rPr>
      </w:pPr>
    </w:p>
    <w:p>
      <w:pPr>
        <w:jc w:val="both"/>
        <w:ind w:left="900" w:right="20" w:hanging="447"/>
        <w:spacing w:after="0" w:line="28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2024; reinsurance coverage in effect from January 2, 2024 through June 30, 2024 is only for excess of loss and catastrophe reinsurance treaties.</w:t>
      </w:r>
    </w:p>
    <w:p>
      <w:pPr>
        <w:spacing w:after="0" w:line="1" w:lineRule="exact"/>
        <w:rPr>
          <w:rFonts w:ascii="Arial" w:cs="Arial" w:eastAsia="Arial" w:hAnsi="Arial"/>
          <w:sz w:val="16"/>
          <w:szCs w:val="16"/>
          <w:color w:val="auto"/>
        </w:rPr>
      </w:pPr>
    </w:p>
    <w:p>
      <w:pPr>
        <w:ind w:left="900" w:hanging="447"/>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7"/>
              </w:rPr>
              <w:t>Treaty Year</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July 1, 2023</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July 1, 2021</w:t>
            </w:r>
          </w:p>
        </w:tc>
        <w:tc>
          <w:tcPr>
            <w:tcW w:w="16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w:t>
            </w:r>
          </w:p>
        </w:tc>
      </w:tr>
      <w:tr>
        <w:trPr>
          <w:trHeight w:val="234"/>
        </w:trPr>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2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2024</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June 30, 2023</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2022</w:t>
            </w:r>
          </w:p>
        </w:tc>
      </w:tr>
      <w:tr>
        <w:trPr>
          <w:trHeight w:val="385"/>
        </w:trPr>
        <w:tc>
          <w:tcPr>
            <w:tcW w:w="7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Personal Lines:</w:t>
            </w: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7140" w:type="dxa"/>
            <w:vAlign w:val="bottom"/>
            <w:gridSpan w:val="3"/>
          </w:tcPr>
          <w:p>
            <w:pPr>
              <w:spacing w:after="0"/>
              <w:rPr>
                <w:sz w:val="20"/>
                <w:szCs w:val="20"/>
                <w:color w:val="auto"/>
              </w:rPr>
            </w:pPr>
            <w:r>
              <w:rPr>
                <w:rFonts w:ascii="Arial" w:cs="Arial" w:eastAsia="Arial" w:hAnsi="Arial"/>
                <w:sz w:val="18"/>
                <w:szCs w:val="18"/>
                <w:color w:val="auto"/>
              </w:rPr>
              <w:t>Personal Umbrella</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7140" w:type="dxa"/>
            <w:vAlign w:val="bottom"/>
            <w:gridSpan w:val="3"/>
          </w:tcPr>
          <w:p>
            <w:pPr>
              <w:ind w:left="180"/>
              <w:spacing w:after="0"/>
              <w:rPr>
                <w:sz w:val="20"/>
                <w:szCs w:val="20"/>
                <w:color w:val="auto"/>
              </w:rPr>
            </w:pPr>
            <w:r>
              <w:rPr>
                <w:rFonts w:ascii="Arial" w:cs="Arial" w:eastAsia="Arial" w:hAnsi="Arial"/>
                <w:sz w:val="18"/>
                <w:szCs w:val="18"/>
                <w:color w:val="auto"/>
              </w:rPr>
              <w:t>Quota share treaty:</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Percent ceded - first $1,000,000 of coverage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gridSpan w:val="3"/>
          </w:tcPr>
          <w:p>
            <w:pPr>
              <w:ind w:left="500"/>
              <w:spacing w:after="0"/>
              <w:rPr>
                <w:sz w:val="20"/>
                <w:szCs w:val="20"/>
                <w:color w:val="auto"/>
              </w:rPr>
            </w:pPr>
            <w:r>
              <w:rPr>
                <w:rFonts w:ascii="Arial" w:cs="Arial" w:eastAsia="Arial" w:hAnsi="Arial"/>
                <w:sz w:val="18"/>
                <w:szCs w:val="18"/>
                <w:color w:val="auto"/>
              </w:rPr>
              <w:t>Percent ceded - excess of $1,000,000 dollars of coverage</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Risk retained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140" w:type="dxa"/>
            <w:vAlign w:val="bottom"/>
            <w:gridSpan w:val="3"/>
          </w:tcPr>
          <w:p>
            <w:pPr>
              <w:ind w:left="500"/>
              <w:spacing w:after="0"/>
              <w:rPr>
                <w:sz w:val="20"/>
                <w:szCs w:val="20"/>
                <w:color w:val="auto"/>
              </w:rPr>
            </w:pPr>
            <w:r>
              <w:rPr>
                <w:rFonts w:ascii="Arial" w:cs="Arial" w:eastAsia="Arial" w:hAnsi="Arial"/>
                <w:sz w:val="18"/>
                <w:szCs w:val="18"/>
                <w:color w:val="auto"/>
              </w:rPr>
              <w:t>Total reinsurance coverage per occurrence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140" w:type="dxa"/>
            <w:vAlign w:val="bottom"/>
            <w:gridSpan w:val="3"/>
          </w:tcPr>
          <w:p>
            <w:pPr>
              <w:ind w:left="180"/>
              <w:spacing w:after="0"/>
              <w:rPr>
                <w:sz w:val="20"/>
                <w:szCs w:val="20"/>
                <w:color w:val="auto"/>
              </w:rPr>
            </w:pPr>
            <w:r>
              <w:rPr>
                <w:rFonts w:ascii="Arial" w:cs="Arial" w:eastAsia="Arial" w:hAnsi="Arial"/>
                <w:sz w:val="18"/>
                <w:szCs w:val="18"/>
                <w:color w:val="auto"/>
              </w:rPr>
              <w:t>Expiration date</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June 30, 2024</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2023</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9"/>
              </w:rPr>
              <w:t>June 30, 2022</w:t>
            </w:r>
          </w:p>
        </w:tc>
      </w:tr>
      <w:tr>
        <w:trPr>
          <w:trHeight w:val="216"/>
        </w:trPr>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Commercial Lines (1)</w:t>
      </w:r>
    </w:p>
    <w:p>
      <w:pPr>
        <w:spacing w:after="0" w:line="200" w:lineRule="exact"/>
        <w:rPr>
          <w:sz w:val="20"/>
          <w:szCs w:val="20"/>
          <w:color w:val="auto"/>
        </w:rPr>
      </w:pPr>
    </w:p>
    <w:p>
      <w:pPr>
        <w:spacing w:after="0" w:line="227"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earned ceding commission revenue under the 2023/2024 Treaty for the three months and nine months ended September 30, 2023, and under the 2021/2023 Treaty for the three months and nine months ended September 30, 2022, based on a fixed provisional commission rate at which provisional ceding commissions are earned.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rPr>
              <w:t>Ceding commission revenue consists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4,992,312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4,881,580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15,733,145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14,116,044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544,015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660,799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167,033</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5,536,327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4,886,094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16,393,944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14,283,077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September 30, 2023 and December 31, 2022, net contingent ceding commissions payable to reinsurers under all treaties was approximately $2,007,000 and $2,667,000, respectively, which is recorded in reinsurance balances payable on the accompanying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Credit Losses – Uncollectible Reinsurance</w:t>
      </w:r>
    </w:p>
    <w:p>
      <w:pPr>
        <w:sectPr>
          <w:pgSz w:w="11900" w:h="16838" w:orient="portrait"/>
          <w:cols w:equalWidth="0" w:num="1">
            <w:col w:w="11240"/>
          </w:cols>
          <w:pgMar w:left="320" w:top="125" w:right="339" w:bottom="0" w:gutter="0" w:footer="0" w:header="0"/>
        </w:sectPr>
      </w:pPr>
    </w:p>
    <w:bookmarkStart w:id="18" w:name="page19"/>
    <w:bookmarkEnd w:id="18"/>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September 30, 2023 and December 31, 2022,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If KICO has collateral, based on KICO’s net admitted assets, the maximum allowable advance as of September 30, 2023 and December 31, 2022 was approximately $12,668,000 and $13,192,000, respectively. Available collateral as of September 30, 2023 and December 31, 2022 was approximately $10,911,000 and $12,228,000, respectively. Advances are limited to 85% of the amount of available collateral. There were no borrowings under this facility during the nine months ended September 30, 2023 and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i w:val="1"/>
                <w:iCs w:val="1"/>
                <w:color w:val="0000EE"/>
                <w:w w:val="88"/>
              </w:rPr>
              <w:t>Table of Contents</w:t>
            </w:r>
          </w:p>
        </w:tc>
        <w:tc>
          <w:tcPr>
            <w:tcW w:w="5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Debt</w:t>
            </w:r>
          </w:p>
        </w:tc>
        <w:tc>
          <w:tcPr>
            <w:tcW w:w="656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20" w:type="dxa"/>
            <w:vAlign w:val="bottom"/>
            <w:gridSpan w:val="4"/>
          </w:tcPr>
          <w:p>
            <w:pPr>
              <w:spacing w:after="0"/>
              <w:rPr>
                <w:sz w:val="20"/>
                <w:szCs w:val="20"/>
                <w:color w:val="auto"/>
              </w:rPr>
            </w:pPr>
            <w:r>
              <w:rPr>
                <w:rFonts w:ascii="Arial" w:cs="Arial" w:eastAsia="Arial" w:hAnsi="Arial"/>
                <w:sz w:val="18"/>
                <w:szCs w:val="18"/>
                <w:color w:val="auto"/>
              </w:rPr>
              <w:t>Debt as of September 30, 2023 and December 31, 2022 consists of the following:</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160" w:type="dxa"/>
            <w:vAlign w:val="bottom"/>
            <w:gridSpan w:val="3"/>
          </w:tcPr>
          <w:p>
            <w:pPr>
              <w:ind w:left="1060"/>
              <w:spacing w:after="0"/>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 w:type="dxa"/>
            <w:vAlign w:val="bottom"/>
            <w:vMerge w:val="restart"/>
          </w:tcPr>
          <w:p>
            <w:pPr>
              <w:spacing w:after="0"/>
              <w:rPr>
                <w:sz w:val="18"/>
                <w:szCs w:val="18"/>
                <w:color w:val="auto"/>
              </w:rPr>
            </w:pPr>
          </w:p>
        </w:tc>
        <w:tc>
          <w:tcPr>
            <w:tcW w:w="50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Notes, net</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18,129,327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17,252,868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Equipment financing</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7,095,366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25,224,693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25,158,523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and Warrant Exchange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2022, the Company issued $19,950,000 of its 2022 Notes pursuant to the Exchange Agreement. Interest is payable semi-annually in arrears on June 30 and December 30 of each year, which commenced on June 30, 2023 at the rate of 12.0% per annum. Warrants were issued with a fair value of $993,200 (see Note 8 – Stockholders’ Equity) and transaction costs were $1,758,112, for an effective yield of 13.92% per annum. The balance of the 2022 Notes as of September 30, 2023 and December 31,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940" w:type="dxa"/>
            <w:vAlign w:val="bottom"/>
            <w:gridSpan w:val="4"/>
          </w:tcPr>
          <w:p>
            <w:pPr>
              <w:ind w:left="366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12.0% Senior Unsecured Notes</w:t>
            </w:r>
          </w:p>
        </w:tc>
        <w:tc>
          <w:tcPr>
            <w:tcW w:w="384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19,950,000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19,950,000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Warrants</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(734,763)</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(979,684)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(1,085,910)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(1,717,448)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2022 Notes, net</w:t>
            </w:r>
          </w:p>
        </w:tc>
        <w:tc>
          <w:tcPr>
            <w:tcW w:w="384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18,129,327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17,252,868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60" w:type="dxa"/>
            <w:vAlign w:val="bottom"/>
            <w:vMerge w:val="restart"/>
          </w:tcPr>
          <w:p>
            <w:pPr>
              <w:jc w:val="right"/>
              <w:ind w:right="2170"/>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required to make a mandatory redemption of the 2022 Notes on December 30, 2023, in an amount such that the aggregate principal amount of the 2022 Notes to be redeemed plus accrued and unpaid interest thereon shall be equal to the amount by which the maximum Ordinary Dividend Paying Capacity of KICO (as defined below) measured as of December 15, 2023 exceeds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w:t>
      </w:r>
    </w:p>
    <w:p>
      <w:pPr>
        <w:sectPr>
          <w:pgSz w:w="11900" w:h="16931" w:orient="portrait"/>
          <w:cols w:equalWidth="0" w:num="1">
            <w:col w:w="11240"/>
          </w:cols>
          <w:pgMar w:left="320" w:top="125" w:right="339" w:bottom="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or to be paid during the calendar year ended December 31, 2023 on the 2022 Notes, intercompany loans and any other indebtedness of the holding company on a stand-alone basis and (ii) other cash operating expenses, including taxes, paid or to be paid by the holding company during the calendar year ended December 31, 2023. The amount of other operating expenses paid in cash in the preceding clause (ii) shall not exceed $2.5 million. Holding Company Expenses will be determined based on the actual Holding Company Expenses for the nine months ending September 30, 2023, and an estimate of Holding Company Expenses for the three months ending December 30, 2023.</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2022 Notes are redeemable, at the Company’s option, in whole or in part, at any time or in part from time to time, upon not less than fifteen (15) nor more than sixty (60) days’ notice, at the following redemption prices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December 30, 2022 to December 29, 2023</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December 30, 2023 to September 29, 2024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2024 to December 29, 2024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September 30, 2023 and December 31, 2022, the ratio as defined under the Leverage Maintenance Test was 31.4% and 26.7%, respectively. On November 7, 2023, a majority of the holders of the outstanding 2022 Notes (on behalf of all holders of the 2022 Notes) agreed to a waiver regarding the satisfaction of the Leverage Maintenance Test as of September 30, 2023. See Note 13 – Subsequent Events.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 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condensed consolidated balance sheet.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7" w:lineRule="exact"/>
        <w:rPr>
          <w:sz w:val="20"/>
          <w:szCs w:val="20"/>
          <w:color w:val="auto"/>
        </w:rPr>
      </w:pPr>
    </w:p>
    <w:p>
      <w:pPr>
        <w:ind w:left="92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the lease, KICO may purchase the fixed assets for a purchase price of $2,024,206, which is 25% of the original fixed asset cost of $8,096,824; or</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provision of the Financing requires KICO to pledge collateral for the lease obligation. As of September 30, 2023 and December 31, 2022, the amount of required collateral was approximately $7,422,000 and $8,691,000, respectively. As of September 30, 2023 and December 31, 2022, the fair value of KICO’s pledged collateral was approximately $8,168,000 and $8,691,000, respectively, in United States Treasury securities.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Future contractual payment obligations under the Financing as of September 30, 2023 are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1,153,862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1,223,293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1,296,901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1,119,021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5,071,160</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 purchase price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2,024,206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7,095,366</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ectPr>
          <w:pgSz w:w="11900" w:h="16838" w:orient="portrait"/>
          <w:cols w:equalWidth="0" w:num="1">
            <w:col w:w="11240"/>
          </w:cols>
          <w:pgMar w:left="320" w:top="125" w:right="339" w:bottom="0" w:gutter="0" w:footer="0" w:header="0"/>
        </w:sectPr>
      </w:pPr>
    </w:p>
    <w:bookmarkStart w:id="20" w:name="page21"/>
    <w:bookmarkEnd w:id="20"/>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$-0- and $1,277,066 for the nine months ended September 30, 2023 and 2022, respectively. On November 11, 2022, the Company’s Board of Directors determined to suspend regular quarterly dividends. Future dividend policy will be subject to the discretion of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Equity Participation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results of operations for the three months ended September 30, 2023 and 2022 include stock-based compensation expense for stock options totaling approximately $-0- and $2,000, respectively. The results of operations for the nine months ended September 30, 2023 and 2022 include stock-based compensation expense for stock options totaling approximately $-0- and $9,000, respectively. Stock-based compensation expense related to stock options for the nine months ended September 30, 2022 is net of estimated forfeitures of approximately 18%. Such amounts have been included in the condensed consolidated statements of operations and comprehensive loss within other operating expenses.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options were granted during the nine months ended September 30, 2023 and 2022. The fair value of stock options at the grant date are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nine months ended September 30, 2023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940" w:type="dxa"/>
            <w:vAlign w:val="bottom"/>
          </w:tcPr>
          <w:p>
            <w:pPr>
              <w:ind w:left="24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September 30, 2023 is calculated as the difference between the exercise price of the underlying options and the market price of the Company’s Common Stock for the options that had exercise prices that were lower than the $1.79 closing price of the Company’s Common Stock on September 30, 2023. No options were exercised, forfeited or expired during the nine months ended September 30, 2023. The total intrinsic value of options when forfeited are determined as of the date of forfeiture. The total intrinsic value of options when expired are determined as of the date of expiration.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no unvested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were 591,383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2014 Plan for nine months ended September 30, 2023 is as follows:</w:t>
      </w:r>
    </w:p>
    <w:p>
      <w:pPr>
        <w:sectPr>
          <w:pgSz w:w="11900" w:h="16841" w:orient="portrait"/>
          <w:cols w:equalWidth="0" w:num="1">
            <w:col w:w="11240"/>
          </w:cols>
          <w:pgMar w:left="320" w:top="125"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Aggregate</w:t>
            </w:r>
          </w:p>
        </w:tc>
      </w:tr>
      <w:tr>
        <w:trPr>
          <w:trHeight w:val="230"/>
        </w:trPr>
        <w:tc>
          <w:tcPr>
            <w:tcW w:w="7280" w:type="dxa"/>
            <w:vAlign w:val="bottom"/>
          </w:tcPr>
          <w:p>
            <w:pPr>
              <w:ind w:left="276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per Share</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366,597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2,555,181</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373,499</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(56,977)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(380,199)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(51,926)</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2,181,882</w:t>
            </w:r>
          </w:p>
        </w:tc>
      </w:tr>
      <w:tr>
        <w:trPr>
          <w:trHeight w:val="20"/>
        </w:trPr>
        <w:tc>
          <w:tcPr>
            <w:tcW w:w="7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September 30, 2023 and 2022, stock-based compensation for these grants was approximately $207,000 and $186,000, respectively, which is included in other operating expenses on the accompanying condensed consolidated statements of operations and comprehensive loss. For the nine months ended September 30, 2023 and 2022, stock-based compensation for these grants was approximately $636,000 and $1,180,000, respectively, which is included in other operating expenses on the accompanying condensed consolidated statements of operations and comprehensive loss. These amounts reflect the Company’s accounting expense and do not correspond to the actual value that will be recognized by the directors, executives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offering period under the ESPP was from November 1, 2021 through October 31, 2022 (“2021/2022 Offering”). There is currently no offering pursuant to the ESPP subsequent to October 31, 2022. For the three months and nine months ended September 30, 2022, stock-based compensation under the 2021/2022 Offering was approximately $5,000 and $16,000, respectively, which is included in other operating expenses on the accompanying condensed consolidated statements of operations and comprehensive loss.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2021/2022 Offering period, 33,222 shares of Common Stock were issued at $1.82 per share to participating employees for a total purchase price of $60,464.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Exchange Agreement (see Note 7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warrants were granted during the nine months ended September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341" w:right="3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8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carryovers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6,411,993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3,828,947</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Claims reserve discount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1,220,674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1,238,544</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3,574,840</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Deferred ceding commission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1,972,541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2,230,109</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losses on securities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4,920,837</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1,193,445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503,692</w:t>
            </w:r>
          </w:p>
        </w:tc>
        <w:tc>
          <w:tcPr>
            <w:tcW w:w="100" w:type="dxa"/>
            <w:vAlign w:val="bottom"/>
          </w:tcPr>
          <w:p>
            <w:pPr>
              <w:spacing w:after="0"/>
              <w:rPr>
                <w:sz w:val="18"/>
                <w:szCs w:val="18"/>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18,106,252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16,296,969</w:t>
            </w:r>
          </w:p>
        </w:tc>
      </w:tr>
      <w:tr>
        <w:trPr>
          <w:trHeight w:val="209"/>
        </w:trPr>
        <w:tc>
          <w:tcPr>
            <w:tcW w:w="85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Investment in KICO (2)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4,311,788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5,002,085</w:t>
            </w: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5,317,092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5,965,811</w:t>
            </w:r>
          </w:p>
        </w:tc>
      </w:tr>
      <w:tr>
        <w:trPr>
          <w:trHeight w:val="210"/>
        </w:trPr>
        <w:tc>
          <w:tcPr>
            <w:tcW w:w="8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12,789,160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10,331,158</w:t>
            </w:r>
          </w:p>
        </w:tc>
      </w:tr>
      <w:tr>
        <w:trPr>
          <w:trHeight w:val="20"/>
        </w:trPr>
        <w:tc>
          <w:tcPr>
            <w:tcW w:w="8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September 30,</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December 31,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20" w:type="dxa"/>
            <w:vAlign w:val="bottom"/>
          </w:tcPr>
          <w:p>
            <w:pPr>
              <w:ind w:left="254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r>
      <w:tr>
        <w:trPr>
          <w:trHeight w:val="210"/>
        </w:trPr>
        <w:tc>
          <w:tcPr>
            <w:tcW w:w="6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only, NOL from 2021 - 2023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6,411,993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3,828,947</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r>
      <w:tr>
        <w:trPr>
          <w:trHeight w:val="210"/>
        </w:trPr>
        <w:tc>
          <w:tcPr>
            <w:tcW w:w="6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only (A)</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December 2027 - December</w:t>
            </w:r>
          </w:p>
        </w:tc>
      </w:tr>
      <w:tr>
        <w:trPr>
          <w:trHeight w:val="230"/>
        </w:trPr>
        <w:tc>
          <w:tcPr>
            <w:tcW w:w="6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2,555,609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2,276,595</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2043</w:t>
            </w:r>
          </w:p>
        </w:tc>
        <w:tc>
          <w:tcPr>
            <w:tcW w:w="100" w:type="dxa"/>
            <w:vAlign w:val="bottom"/>
            <w:shd w:val="clear" w:color="auto" w:fill="CCEEFF"/>
          </w:tcPr>
          <w:p>
            <w:pPr>
              <w:spacing w:after="0"/>
              <w:rPr>
                <w:sz w:val="20"/>
                <w:szCs w:val="20"/>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(2,555,609)</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(2,276,595)</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6,411,993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3,828,947</w:t>
            </w:r>
          </w:p>
        </w:tc>
        <w:tc>
          <w:tcPr>
            <w:tcW w:w="2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left="620" w:hanging="5"/>
        <w:spacing w:after="0" w:line="255" w:lineRule="auto"/>
        <w:tabs>
          <w:tab w:leader="none" w:pos="937" w:val="left"/>
        </w:tabs>
        <w:numPr>
          <w:ilvl w:val="0"/>
          <w:numId w:val="8"/>
        </w:numPr>
        <w:rPr>
          <w:rFonts w:ascii="Arial" w:cs="Arial" w:eastAsia="Arial" w:hAnsi="Arial"/>
          <w:sz w:val="18"/>
          <w:szCs w:val="18"/>
          <w:color w:val="auto"/>
        </w:rPr>
      </w:pPr>
      <w:r>
        <w:rPr>
          <w:rFonts w:ascii="Arial" w:cs="Arial" w:eastAsia="Arial" w:hAnsi="Arial"/>
          <w:sz w:val="18"/>
          <w:szCs w:val="18"/>
          <w:color w:val="auto"/>
        </w:rPr>
        <w:t>Kingstone generates operating losses for state purposes and has prior year NOLs available. The state NOL as of September 30, 2023 and December 31, 2022 was approximately $39,317,000 and $35,025,000, respectively. KICO, the Company’s insurance underwriting subsidiary, is not subject to state income taxes. KICO’s state tax obligations are paid through a gross premiums tax, which is included in the condensed consolidated statements of operations and comprehensive loss within other underwriting expenses. Kingstone has recorded a valuation allowance due to the uncertainty of generating enough state taxable income to utilize 100% of the available state NOLs over their remaining lives, which expire between 2027 and 2043.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20"/>
        <w:spacing w:after="0"/>
        <w:tabs>
          <w:tab w:leader="none" w:pos="940" w:val="left"/>
        </w:tabs>
        <w:rPr>
          <w:sz w:val="20"/>
          <w:szCs w:val="20"/>
          <w:color w:val="auto"/>
        </w:rPr>
      </w:pPr>
      <w:r>
        <w:rPr>
          <w:rFonts w:ascii="Arial" w:cs="Arial" w:eastAsia="Arial" w:hAnsi="Arial"/>
          <w:sz w:val="18"/>
          <w:szCs w:val="18"/>
          <w:color w:val="auto"/>
        </w:rPr>
        <w:t>(2)</w:t>
        <w:tab/>
        <w:t>Deferred tax liability – Investment in KICO</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2023 and 2022. If any had been recognized these would have been reported in income tax expense.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2019 through December 31, 2022 remain subject to examination.</w:t>
      </w:r>
    </w:p>
    <w:p>
      <w:pPr>
        <w:sectPr>
          <w:pgSz w:w="11900" w:h="16838" w:orient="portrait"/>
          <w:cols w:equalWidth="0" w:num="1">
            <w:col w:w="11240"/>
          </w:cols>
          <w:pgMar w:left="320" w:top="125" w:right="339" w:bottom="0" w:gutter="0" w:footer="0" w:header="0"/>
        </w:sectPr>
      </w:pPr>
    </w:p>
    <w:bookmarkStart w:id="23" w:name="page24"/>
    <w:bookmarkEnd w:id="2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shares of Common Stock outstanding. Diluted loss per common share reflects, in periods in which it has a dilutive effect, the impact of common shares issuable upon exercise of stock options and warrants as well as non-vested restricted stock awards. The computation of diluted loss per common share excludes those options and warrants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computation of diluted loss per common share excludes outstanding options, warrants and non-vested restricted stock awards in periods where the exercise of such options and warrants or vesting of such restricted stock awards would be anti-dilutive. For the three months and nine months ended September 30, 2023 and 2022,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shares of Common Stock used in the calculation of basic and diluted loss per common share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0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10,756,156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10,645,675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10,754,709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10,640,290</w:t>
            </w: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outstanding,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used for computing diluted loss per share</w:t>
            </w:r>
          </w:p>
        </w:tc>
        <w:tc>
          <w:tcPr>
            <w:tcW w:w="1100" w:type="dxa"/>
            <w:vAlign w:val="bottom"/>
          </w:tcPr>
          <w:p>
            <w:pPr>
              <w:jc w:val="right"/>
              <w:spacing w:after="0"/>
              <w:rPr>
                <w:sz w:val="20"/>
                <w:szCs w:val="20"/>
                <w:color w:val="auto"/>
              </w:rPr>
            </w:pPr>
            <w:r>
              <w:rPr>
                <w:rFonts w:ascii="Arial" w:cs="Arial" w:eastAsia="Arial" w:hAnsi="Arial"/>
                <w:sz w:val="18"/>
                <w:szCs w:val="18"/>
                <w:color w:val="auto"/>
              </w:rPr>
              <w:t>10,756,156</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10,645,675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10,754,709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10,640,290</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p>
      <w:pPr>
        <w:spacing w:after="0" w:line="225" w:lineRule="exact"/>
        <w:rPr>
          <w:sz w:val="20"/>
          <w:szCs w:val="20"/>
          <w:color w:val="auto"/>
        </w:rPr>
      </w:pPr>
    </w:p>
    <w:p>
      <w:pPr>
        <w:ind w:left="900" w:hanging="447"/>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KICO rent expense is included in the condensed consolidated statements of operations and comprehensive loss within other underwriting expenses.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Cosi rent expense is included in the condensed consolidated statements of operations and comprehensive loss within other operating expenses.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Lease cost</w:t>
            </w: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124,026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131,152</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lease cost (1)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124,026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131,152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7" w:right="339" w:bottom="0" w:gutter="0" w:footer="0" w:header="0"/>
        </w:sectPr>
      </w:pPr>
    </w:p>
    <w:bookmarkStart w:id="24" w:name="page25"/>
    <w:bookmarkEnd w:id="2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liability reported in operating cash flows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49,145</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47,483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145,774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147,969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Remaining lease term in years</w:t>
            </w:r>
          </w:p>
        </w:tc>
        <w:tc>
          <w:tcPr>
            <w:tcW w:w="1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0.50</w:t>
            </w:r>
          </w:p>
        </w:tc>
        <w:tc>
          <w:tcPr>
            <w:tcW w:w="3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ind w:left="900" w:hanging="447"/>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September 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Nine Months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98,290</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 (1)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89,297</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20" w:hanging="467"/>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Rent expense for the three months ended September 30, 2023 and 2022 amounted to $41,342 for both periods and is included in the accompanying condensed consolidated statements of operations and comprehensive loss within other underwriting expenses. Rent expense for the nine months ended September 30, 2023 and 2022 amounted to $124,026 and $131,152, respectively, and is included in the accompanying condensed consolidated statements of operations and comprehensive loss within other underwriting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of the one-sixth of the award that was scheduled to vest on December 29, 2023 to December 30, 2024.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of the one-fourth of the award</w:t>
      </w:r>
    </w:p>
    <w:p>
      <w:pPr>
        <w:spacing w:after="0" w:line="20" w:lineRule="exact"/>
        <w:rPr>
          <w:sz w:val="20"/>
          <w:szCs w:val="20"/>
          <w:color w:val="auto"/>
        </w:rPr>
      </w:pPr>
    </w:p>
    <w:p>
      <w:pPr>
        <w:sectPr>
          <w:pgSz w:w="11900" w:h="16870" w:orient="portrait"/>
          <w:cols w:equalWidth="0" w:num="1">
            <w:col w:w="11240"/>
          </w:cols>
          <w:pgMar w:left="320" w:top="121" w:right="339" w:bottom="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6"/>
          <w:szCs w:val="16"/>
          <w:color w:val="auto"/>
        </w:rPr>
        <w:t>that was scheduled to vest on December 29, 2023 to December 30, 2024.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was scheduled to vest with respect to one-sixth of the award on each of December 29, 2023 and December 30, 2024 based on the continued provision of services through such dates. On September 18, 2023, Mr. Goldstein and the Company agreed to extend the vesting date for the one-sixth of the award that was scheduled to vest on December 29, 2023 to December 30, 2024. In January 2021, Mr. Goldstein was granted 21,000 shares of restricted stock pursuant to this provision. This grant vested with respect to one-half of the award on the first anniversary of the grant date and was scheduled to vest with respect to one-fourth of the award on each of December 29, 2023 and December 30, 2024 based on the continued provision of services through such dates. On September 18, 2023, Mr. Goldstein and the Company agreed to extend the vesting date for the one-fourth of the award that was scheduled to vest on December 29, 2023 to December 30, 2024. In January 2022, Mr. Goldstein was granted 27,300 shares of restricted stock pursuant to this provision. This grant was scheduled to vest with respect to one-half of the award on each of December 29, 2023 and December 30, 2024 based on the continued provision of services through such dates. On September 18, 2023, Mr. Goldstein and the Company agreed to extend the vesting date for the one-half of the award that was scheduled to vest on December 29, 2023 to December 30, 2024.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October 1, 2023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2023, the Company and Mr. Goldstein entered into an amendment to the Third Amended Goldstein Employment Agreement which took effect as of October 1, 2023. Pursuant to the amendment, effective as of October 1, 2023, Mr. Goldstein is no longer serving as President and Chief Executive Officer of the Company, the expiration date of the Third Amended Goldstein Employment Agreement shall be the earlier of (a) December 31, 2024 or (b) in the event Mr. Goldstein is not re-elected as Chairman of the Board of the Company following its 2024 annual meeting of stockholders, then the date of such annual meeting, Mr. Goldstein’s salary was reduced to $300,000 per annum, and Mr. Goldstein is no longer entitled to receive a bonus based upon the Company’s net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 (See Note 13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expired on December 31, 2022.</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the Company is precluded from making a grant in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ectPr>
          <w:pgSz w:w="11900" w:h="16838" w:orient="portrait"/>
          <w:cols w:equalWidth="0" w:num="1">
            <w:col w:w="11240"/>
          </w:cols>
          <w:pgMar w:left="320" w:top="125"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October 1, 2023, Ms. Golden was appointed to the position of President and Chief Executive Officer of the Company to succeed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Goldstein.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2023 and 2022 the Company did not accrue for, or pay, bonuses related to an employee bonus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401(k)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$90,000 and $71,000, respectively, of expense for the three months ended September 30, 2023 and 2022, related to the 401(k) Plan, which is recorded in other underwriting expenses on the accompanying condensed consolidated statements of operations and comprehensive loss. The Company incurred approximately $249,000 and $207,000, respectively, of expense for the nine months ended September 30, 2023 and 2022, related to the 401(k) Plan, which is recorded in other underwriting expenses on the accompanying condensed consolidated statements of operations and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will be made no earlier than December 22, 2023 and will be completed no later than December 22, 2024.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compensation liability as of September 30, 2023 and December 31, 2022 amounted to $873,768 and $1,155,860, respectively, and is recorded in accounts payable, accrued expenses and other liabilities in the accompanying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that occurred subsequent to September 30, 2023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7, 2023, a majority of the holders of the outstanding 2022 Notes (on behalf of all holders of the 2022 Notes) agreed to a waiver regarding the satisfaction of the Leverage Maintenance Test as of September 30, 2023. See Note 7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October 1, 2023, Ms. Golden was appointed to the position of President and Chief Executive Officer of the Company to succeed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Goldstein. See Note 11 – Commitments and Contingencies.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property and casualty insurance products through our wholly owned subsidiary, Kingstone Insurance Company (“KICO”). KICO is actively writing personal lines and physical damage coverage for taxi and livery vehicles primarily in downstate New York, consisting of New York City, Long Island and Westchester County. KICO is also licensed in the States of New Jersey, Rhode Island, Connecticut, Massachusetts, Pennsylvania, Maine, and New Hampshire. For the three months and nine months ended September 30, 2023, respectively, 88.5% and 88.1% of KICO’s direct written premiums came from the New York policies. We refer to our New York business as our “Core” business and the business outside of New York as our “non-Core” business.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ectPr>
          <w:pgSz w:w="11900" w:h="16838" w:orient="portrait"/>
          <w:cols w:equalWidth="0" w:num="1">
            <w:col w:w="11240"/>
          </w:cols>
          <w:pgMar w:left="320" w:top="557" w:right="339" w:bottom="0" w:gutter="0" w:footer="0" w:header="0"/>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September 30, 2023 and December 31, 2022, there were no commercial liability policies in-force. As of September 30, 2023 and December 31, 2022, these expired policies represent approximately 15.5% and 17.9%, respectively, of loss and LAE reserves net of reinsurance recoverables. See discussion below under “Additional Financial Information”.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Policies and Estimates section within Item 7 “Management’s Discussion and Analysis of Financial Condition and Results of Operations” of our Annual Report on Form 10-K for the year ended December 31, 2022 for further information.</w:t>
      </w:r>
    </w:p>
    <w:p>
      <w:pPr>
        <w:sectPr>
          <w:pgSz w:w="11900" w:h="16838" w:orient="portrait"/>
          <w:cols w:equalWidth="0" w:num="1">
            <w:col w:w="11240"/>
          </w:cols>
          <w:pgMar w:left="320" w:top="125" w:right="339" w:bottom="0" w:gutter="0" w:footer="0" w:header="0"/>
        </w:sectPr>
      </w:pPr>
    </w:p>
    <w:bookmarkStart w:id="28" w:name="page29"/>
    <w:bookmarkEnd w:id="28"/>
    <w:p>
      <w:pPr>
        <w:spacing w:after="0" w:line="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allowance for credit losses of investment securities, and the valuation of warrants. See Note 2 to the consolidated financial statements in our Annual Report on Form 10-K for the year ended December 31, 2022 and Note 2 of the condensed consolidated financial statements included in this Quarterly Report for accounting policies regarding the adoption of ASU 2016-13 effective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Kingstone 2.0 (completed) and Kingstone 3.0 (underway)</w:t>
      </w:r>
    </w:p>
    <w:p>
      <w:pPr>
        <w:spacing w:after="0" w:line="22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Beginning in the fourth quarter of 2019, a series of strategic initiatives, coined “Kingstone 2.0” were commenced to modernize our Company. The pillars of the new strategy were as follows:</w:t>
      </w:r>
    </w:p>
    <w:p>
      <w:pPr>
        <w:spacing w:after="0" w:line="170"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Strengthen the management team by adding highly qualified professionals with deep domain experience and diverse backgrounds;</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implement a new, more highly segmented product suite (Kingstone Select) which better matches rate to risk using advanced analytics and an abundance of data;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Better manage the Company’s catastrophe exposure in order to reduce loss cost and the growth rate of our Probable Maximum Loss (“PML”) in order to mitigate the impact of the emerging “hard market” in catastrophe reinsurance.</w:t>
      </w:r>
    </w:p>
    <w:p>
      <w:pPr>
        <w:spacing w:after="0" w:line="170"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70" w:lineRule="exact"/>
        <w:rPr>
          <w:sz w:val="20"/>
          <w:szCs w:val="20"/>
          <w:color w:val="auto"/>
        </w:rPr>
      </w:pPr>
    </w:p>
    <w:p>
      <w:pPr>
        <w:jc w:val="both"/>
        <w:ind w:left="900" w:hanging="447"/>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Aggressively reducing the non-Core book of business, which has had a disproportionately negative impact on underwriting results, by slowing new business, re-underwriting the book, culling the agent base, reducing commissions, or other means, subject to regulatory constraints. We stopped writing all new non-Core business and have been aggressively reducing policy count this year. As of September 30, 2023, our non-Core policy count is down by 38.9% compared to September 30, 2022;</w:t>
      </w:r>
    </w:p>
    <w:p>
      <w:pPr>
        <w:spacing w:after="0" w:line="186" w:lineRule="exact"/>
        <w:rPr>
          <w:rFonts w:ascii="Arial" w:cs="Arial" w:eastAsia="Arial" w:hAnsi="Arial"/>
          <w:sz w:val="18"/>
          <w:szCs w:val="18"/>
          <w:color w:val="auto"/>
        </w:rPr>
      </w:pPr>
    </w:p>
    <w:p>
      <w:pPr>
        <w:jc w:val="both"/>
        <w:ind w:left="900" w:hanging="447"/>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Adjusting pricing to stay ahead of loss trends, including inflation, by filing the maximum annual rate change that can be supported in each state and product and ensuring all policyholders are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Overall average written premium for our Legacy Core homeowners policies for the last 12 months, reflecting both rate and replacement cost changes, increased by 25.5%;</w:t>
      </w:r>
    </w:p>
    <w:p>
      <w:pPr>
        <w:spacing w:after="0" w:line="177" w:lineRule="exact"/>
        <w:rPr>
          <w:rFonts w:ascii="Arial" w:cs="Arial" w:eastAsia="Arial" w:hAnsi="Arial"/>
          <w:sz w:val="17"/>
          <w:szCs w:val="17"/>
          <w:color w:val="auto"/>
        </w:rPr>
      </w:pPr>
    </w:p>
    <w:p>
      <w:pPr>
        <w:jc w:val="both"/>
        <w:ind w:left="900" w:hanging="447"/>
        <w:spacing w:after="0" w:line="293"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Tightly managing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 to limit new business that was deemed to be too expensive and at the same time re-underwrote the book to cull those risks which presented the greatest risk. The combination of stricter new business underwriting and increased non-renewals gave rise to the 4.5% decline in policy count for our Core business. We have now reverted most of our new business underwriting standards back to what they were previously so Core new business growth should increase going forward; and</w:t>
      </w:r>
    </w:p>
    <w:p>
      <w:pPr>
        <w:spacing w:after="0" w:line="164" w:lineRule="exact"/>
        <w:rPr>
          <w:rFonts w:ascii="Arial" w:cs="Arial" w:eastAsia="Arial" w:hAnsi="Arial"/>
          <w:sz w:val="16"/>
          <w:szCs w:val="16"/>
          <w:color w:val="auto"/>
        </w:rPr>
      </w:pPr>
    </w:p>
    <w:p>
      <w:pPr>
        <w:jc w:val="both"/>
        <w:ind w:left="900" w:hanging="447"/>
        <w:spacing w:after="0" w:line="26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expense reduction focus with a goal of reducing the net expense ratio to 33% by year-end 2024. For the three months ended September 30, 2023, the net underwriting expense ratio was 31.7%, a reduction of 5.2 points in spite of the 4.8% decline in net premiums earned. For the nine months ended September 30, 2023, we achieved our 33% goal.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See tables below comparing the quarterly trends and changes from our Core and non-Core business for policies in force and direct written premiums from September 30, 2022 through September 30, 2023. For the three months ended September 30, 2023, our Core direct written premiums have increased by 4.7% compared to the three months ended September 30, 2022, while policies in force have decreased by 4.5% as of September 30, 2023. For the same periods, our non-Core policies in force have decreased by 38.9% and direct written premiums have decreased by 43.9%. We believe that the above actions taken will continue to have the intended effect and will result in a return to profitability for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September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September</w:t>
            </w:r>
          </w:p>
        </w:tc>
        <w:tc>
          <w:tcPr>
            <w:tcW w:w="16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30,</w:t>
            </w:r>
          </w:p>
        </w:tc>
        <w:tc>
          <w:tcPr>
            <w:tcW w:w="16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r>
      <w:tr>
        <w:trPr>
          <w:trHeight w:val="426"/>
        </w:trPr>
        <w:tc>
          <w:tcPr>
            <w:tcW w:w="4520" w:type="dxa"/>
            <w:vAlign w:val="bottom"/>
          </w:tcPr>
          <w:p>
            <w:pPr>
              <w:spacing w:after="0"/>
              <w:rPr>
                <w:sz w:val="20"/>
                <w:szCs w:val="20"/>
                <w:color w:val="auto"/>
              </w:rPr>
            </w:pPr>
            <w:r>
              <w:rPr>
                <w:rFonts w:ascii="Arial" w:cs="Arial" w:eastAsia="Arial" w:hAnsi="Arial"/>
                <w:sz w:val="18"/>
                <w:szCs w:val="18"/>
                <w:color w:val="auto"/>
              </w:rPr>
              <w:t>(000’s except percentages and Policies in Force)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b w:val="1"/>
                <w:bCs w:val="1"/>
                <w:color w:val="auto"/>
              </w:rPr>
              <w:t>Policies In Force, as of end of Three Month Period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71,359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72,081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70,132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68,498</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Non-Core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22,007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20,695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18,945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16,224</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13,457</w:t>
            </w:r>
          </w:p>
        </w:tc>
      </w:tr>
      <w:tr>
        <w:trPr>
          <w:trHeight w:val="20"/>
        </w:trPr>
        <w:tc>
          <w:tcPr>
            <w:tcW w:w="4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policies in force</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93,712</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92,054</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91,026</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86,356</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81,955</w:t>
            </w:r>
          </w:p>
        </w:tc>
      </w:tr>
      <w:tr>
        <w:trPr>
          <w:trHeight w:val="196"/>
        </w:trPr>
        <w:tc>
          <w:tcPr>
            <w:tcW w:w="45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written premiums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43,949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43,923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41,427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42,211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46,025</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Non-Core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5,966</w:t>
            </w:r>
          </w:p>
        </w:tc>
      </w:tr>
      <w:tr>
        <w:trPr>
          <w:trHeight w:val="20"/>
        </w:trPr>
        <w:tc>
          <w:tcPr>
            <w:tcW w:w="4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ectPr>
          <w:pgSz w:w="11900" w:h="16850" w:orient="portrait"/>
          <w:cols w:equalWidth="0" w:num="1">
            <w:col w:w="11240"/>
          </w:cols>
          <w:pgMar w:left="320" w:top="341" w:right="33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direct written premiums</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54,592</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53,901</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47,597</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47,647</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51,992</w:t>
            </w:r>
          </w:p>
        </w:tc>
      </w:tr>
      <w:tr>
        <w:trPr>
          <w:trHeight w:val="20"/>
        </w:trPr>
        <w:tc>
          <w:tcPr>
            <w:tcW w:w="4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Change from September 30, 2022</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Policies In Force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w:t>
            </w:r>
          </w:p>
        </w:tc>
      </w:tr>
      <w:tr>
        <w:trPr>
          <w:trHeight w:val="216"/>
        </w:trPr>
        <w:tc>
          <w:tcPr>
            <w:tcW w:w="4520" w:type="dxa"/>
            <w:vAlign w:val="bottom"/>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written premiums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(2,522)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(1,738)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2,076</w:t>
            </w:r>
          </w:p>
        </w:tc>
      </w:tr>
      <w:tr>
        <w:trPr>
          <w:trHeight w:val="216"/>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4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Core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Policies In Force</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w:t>
            </w:r>
          </w:p>
        </w:tc>
      </w:tr>
      <w:tr>
        <w:trPr>
          <w:trHeight w:val="216"/>
        </w:trPr>
        <w:tc>
          <w:tcPr>
            <w:tcW w:w="4520" w:type="dxa"/>
            <w:vAlign w:val="bottom"/>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written premiums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(664)</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(4,472)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(5,207)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(4,676)</w:t>
            </w:r>
          </w:p>
        </w:tc>
      </w:tr>
      <w:tr>
        <w:trPr>
          <w:trHeight w:val="216"/>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change</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89"/>
              </w:rPr>
              <w:t>Nine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147,237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147,354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9,696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56,228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66,041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reinsurance treaties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151,568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141,324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10,244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83,936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Ceding commission revenue (1)</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14,517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89,826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83,346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9,716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59,268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60,159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4"/>
        </w:trPr>
        <w:tc>
          <w:tcPr>
            <w:tcW w:w="5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2,928</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25,221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25,534</w:t>
            </w: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(313)</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2,357</w:t>
            </w: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(489)</w:t>
            </w: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1,635</w:t>
            </w:r>
          </w:p>
        </w:tc>
        <w:tc>
          <w:tcPr>
            <w:tcW w:w="104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11,743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(2,149)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(4,433)</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2,284</w:t>
            </w: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9,461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nine months ended September 30,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September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Point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5"/>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underwriting expense ratio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37.2%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Direct Written Premiums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during the nine months ended September 30, 2023 (“Nine Months 2023”) were $147,237,000 compared to $147,354,000 during the nine months ended September 30, 2022 (“Nine Months 2022”). The decrease of $117,000, or 0.1%, was primarily due to a decrease in premiums from our personal lines business.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Direct written premiums from our personal lines business for Nine Months 2023 were $136,601,000, a decrease of $1,597,000, or 1.2%, from $138,198,000 in Nine Months 2022. The 1.2% decrease in premiums from our personal lines business was primarily due to the decrease in premiums associated with a 14.0% decrease in policies in force as of September 30, 2023 compared to September 30, 2022, offset by rate increases. The rate increases achieved along with a decrease in policies in force is in accordance with both our Kingstone 2.0 and Kingstone 3.0 strategic plans.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from our livery physical damage business for Nine Months 2023 were $10,559,000, an increase of $1,522,000, or 16.8%, from $9,037,000 in Nine Months 2022. The increase in livery physical damage direct written premiums was due to an increasing number of policies and an increase in the values of the autos insured.</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Beginning in 2017, we commenced our non-Core business and started writing personal lines policies in New Jersey. Through 2019 we expandedour non-Core business to Rhode Island, Massachusetts and Connecticut.Direct written premiums from our Core business were $129,665,000 in Nine Months 2023 compared to $118,332,000 in Nine Months 2022, an increase of $11,333,000, or 9.6%. Policies in force from our Core business decreased by 4.5% in Nine Months 2023 compared to Nine Months 2022. Direct written premiums from our non-Core business were $17,572,000 in Nine Months 2023 down from $29,022,000 in Nine Months 2022, a decrease of $11,450,000, or 39.5%. The decrease in direct written premiums from our non-Core business is a result of our decision to aggressively reduce the book of business in these states. Policies in force from our non-Core business decreased by 38.9% in Nine Months 2023 compared to Nine Months 2022. The increase in our Core business and the decrease in our non-Core business is consistent with a key pillar of our Kingstone 3.0 strategy to reduce our non-Core business due to profitability concerns.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written premiums decreased $9,813,000, or 14.9%, to $56,228,000 in Nine Months 2023 from $66,041,000 in Nine Months 2022. Net written premiums include direct premiums, less the amount of written premiums ceded under our reinsurance treaties (quota share, excess of loss, and catastrophe). The decrease in Nine Months 2023 is primarily due to a decrease in direct written premiums and an increase in catastrophe premiums rates.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 treaties</w:t>
      </w:r>
    </w:p>
    <w:p>
      <w:pPr>
        <w:sectPr>
          <w:pgSz w:w="11900" w:h="16838" w:orient="portrait"/>
          <w:cols w:equalWidth="0" w:num="1">
            <w:col w:w="11240"/>
          </w:cols>
          <w:pgMar w:left="320" w:top="140" w:right="339" w:bottom="200" w:gutter="0" w:footer="0" w:header="0"/>
        </w:sectPr>
      </w:pPr>
    </w:p>
    <w:bookmarkStart w:id="31" w:name="page32"/>
    <w:bookmarkEnd w:id="31"/>
    <w:p>
      <w:pPr>
        <w:jc w:val="both"/>
        <w:ind w:firstLine="648"/>
        <w:spacing w:after="0" w:line="272"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30% quota share reinsurance treaty for our personal lines business, covering the period from January 1, 2023 through January 1, 2024 (“2023/2024 Treaty”). In Nine Months 2023, our premiums ceded under quota share treaties increased by $3,964,000 in comparison to ceded premiums in Nine Months 2022 (see table above). The increase in Nine Months 2023 was attributable to the runoff of an 8.5% portion of the 30% 2021/2023 Treaty. The remainder of the 2021/2023 Treaty was on a cutoff basis and the new 2023/2024 Treaty was placed for 30% on January 1, 2023. Our personal lines business was subject to the 2023/2024 Treaty in Nine Months 2023, and the 2021-2023 Treaty in Nine Months 2022.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Nine Months 2023, our ceded excess of loss reinsurance premiums increased by $924,000 over the comparable ceded premiums for Nine Months 2022. The increase was due to an increase in subject premiums and the heightened cost of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Catastrophe premiums increased $4,808,000, or 11.1%, to $48,316,000 in Nine Months 2023 from $43,508,000 in Nine Months 2022. The increase was primarily due to an increase in catastrophe reinsurance rates. In accordance with our Kingstone 2.0 and Kingstone 3.0 goals, we have reduced our PML in Nine Months 2023, which partially offset the increase in premiums effective July 1, 2023.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160" w:firstLine="607"/>
        <w:spacing w:after="0" w:line="263" w:lineRule="auto"/>
        <w:rPr>
          <w:sz w:val="20"/>
          <w:szCs w:val="20"/>
          <w:color w:val="auto"/>
        </w:rPr>
      </w:pPr>
      <w:r>
        <w:rPr>
          <w:rFonts w:ascii="Arial" w:cs="Arial" w:eastAsia="Arial" w:hAnsi="Arial"/>
          <w:sz w:val="18"/>
          <w:szCs w:val="18"/>
          <w:color w:val="auto"/>
        </w:rPr>
        <w:t>Net premiums earned increased $1,766,000, or 2.1%, to $85,701,000 in Nine Months 2023 from $83,936,000 in Nine Months 2022. The increase was due in part to the increased premiums written in prior periods due to rate increases and increased replacement costs. The run-off of a portion of the 2021-2023 Treaty increased the premiums ceded and reduced the growth of net premiums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2"/>
              </w:rPr>
              <w:t>Nine months ended 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16,394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14,283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Ceding commission revenue was $16,394,000 in Nine Months 2023 compared to $14,283,000 in Nine Months 2022. The increase of $2,111,000 was due to an increase in provisional ceding commissions earned and an increase in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Nine Months 2023 we earned provisional ceding commissions of $15,733,000 from personal lines earned premiums ceded under the 2023/2024 Treaty, and in Nine Months 2022 we earned provisional ceding commissions of $14,116,000 from personal lines earned premiums ceded under the 2021/2023 Treaty. The increase of $1,617,000 in provisional ceding commissions earned was due to the increase in premiums ceded under these treaties during Nine Months 2023 compared to Nine Months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investment income was $4,437,000 in Nine Months 2023 compared to $3,412,000 in Nine Months 2022, an increase of $1,025,000, or 30.0%. The increase in investment income is attributable to a $766,000 reversal in Nine Months 2022 of prior years’ estimated accrued interest income stemming from an error in third party investment reporting. The increase was also due to higher interest rates earned on cash balances. The average yield on non-cash invested assets was 3.73% as of September 30, 2023 compared to 3.48% as of September 30, 2022.</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Cash and invested assets were $172,095,000 as of September 30, 2023 compared to $192,229,000 as of September 30, 2022. The $20,134,000 decrease in cash and invested assets was primarily attributable to increased disbursements of losses in connection with higher severity and inflation’s</w:t>
      </w:r>
    </w:p>
    <w:p>
      <w:pPr>
        <w:sectPr>
          <w:pgSz w:w="11900" w:h="16838" w:orient="portrait"/>
          <w:cols w:equalWidth="0" w:num="1">
            <w:col w:w="11240"/>
          </w:cols>
          <w:pgMar w:left="320" w:top="125" w:right="339" w:bottom="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impact on losses along with catastrophe losses incurred in 2023 and prior periods. An increase in unrealized losses on our investment portfolio also contributed to the reduction.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gains on investments were $598,000 in Nine Months 2023 compared to net (losses) of $(9,313,000) in Nine Months 2022. Unrealized gains on our equity securities and other investments in Nine Months 2023 were $615,000, compared to net unrealized (losses) of $(10,502,000) in Nine Months 2022. Realized (losses) on sales of investments were $(17,000) in Nine Months 2023 compared to realized gains of $1,189,000 in Nine Months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income was $454,000 in Nine Months 2023 compared to $750,000 in Nine Months 2022, a decrease of $296,000, or 39.5%.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$66,553,000 for Nine Months 2023 compared to $63,625,000 for Nine Months 2022. The net loss ratio was 77.7% in Nine Months 2023 compared to 75.8% in Nine Months 2022, an increase of 1.9 percentage points.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117475</wp:posOffset>
            </wp:positionV>
            <wp:extent cx="5271770" cy="394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Nine Months 2023, the net loss ratio was higher than for Nine Months 2022 mainly due to a larger impact from catastrophe losses.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net catastrophe losses were $7,285,000 for Nine Months 2023, which contributed 8.5 points to the loss ratio. There were two winter storm events including a major freezing event at the beginning of February, eight wind and thunderstorm events, and one tropical storm classified as catastrophe for Nine Months 2023. By comparison, catastrophe events had a loss ratio impact of 4.1 points for Nine Months 2022.</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underlying loss ratio (loss ratio excluding the impact of catastrophe and prior year development) was 69.2% for Nine Months 2023, a decrease of 1.6 points from the 70.8% underlying loss ratio recorded for Nine Months 2022. The underlying loss experience in Nine Months 2023 was improved due to lower frequency, but was offset by increasing severity resulting from inflation and an elevated number of large losses.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year development was stable for Nine Months 2023. There was an overall favorable development of $16,000, which had marginal impact on the loss ratio.</w:t>
      </w:r>
    </w:p>
    <w:p>
      <w:pPr>
        <w:sectPr>
          <w:pgSz w:w="11900" w:h="16838" w:orient="portrait"/>
          <w:cols w:equalWidth="0" w:num="1">
            <w:col w:w="11240"/>
          </w:cols>
          <w:pgMar w:left="320" w:top="125" w:right="339" w:bottom="0" w:gutter="0" w:footer="0" w:header="0"/>
        </w:sectPr>
      </w:pPr>
    </w:p>
    <w:bookmarkStart w:id="33" w:name="page34"/>
    <w:bookmarkEnd w:id="33"/>
    <w:p>
      <w:pPr>
        <w:ind w:left="70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$25,221,000 in Nine Months 2023 or 16.6% of direct earned premiums. Commission expense was $25,534,000 in Nine Months 2022 or 18.1% of direct earned premiums. The decrease of $313,000 was primarily due to a reduction of commission rates on our legacy policies in accordance with Kingstone 3.0 as well as the lower commission rate paid on Select products as compared to legacy products but offset in part by an increase in direct earned premiums of $10,244,000 to $151,568,000.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underwriting expenses were $19,874,000, or 13.1% of direct earned premiums, in Nine Months 2023 compared to $20,717,000, or 14.7% of direct earned premiums, in Nine Months 2022. The decrease of $843,000, or 4.1%, was primarily due to decreases in professional fees, credit card fees and policy management system fees as result of the completion of our policy management system conversion, allowing us to eliminate multiple legacy systems. The decreases were partially offset by increases in salaries and employment costs.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largest single component of other underwriting expenses is salaries and employment costs, with costs of $8,692,000 in Nine Months 2023 compared to $8,027,000 in Nine Months 2022. The increase of $665,000, or 8.3%, is compared unfavorably to the 0.1% decrease in direct written premiums. In the periods following Nine Months 2022, we continued to strengthen our professional team by investing in the hiring of higher-level and higher compensated managers and staff needed to manage the business consistent with our Kingstone 2.0 and Kingstone 3.0 strategies. The increase in salaries was partially offset by a reduction in our staff in June and July of 2023 as we have been reducing our non-Core business. The effect of staff reductions on salaries and employment costs is expected to have a greater impact on year to date other underwriting expenses in future periods.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underwriting expense ratio in Nine Months 2023 was 33.0% compared to 37.2% in Nine Months 2022.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00" w:type="dxa"/>
            <w:vAlign w:val="bottom"/>
          </w:tcPr>
          <w:p>
            <w:pPr>
              <w:spacing w:after="0"/>
              <w:rPr>
                <w:sz w:val="16"/>
                <w:szCs w:val="16"/>
                <w:color w:val="auto"/>
              </w:rPr>
            </w:pPr>
          </w:p>
        </w:tc>
      </w:tr>
      <w:tr>
        <w:trPr>
          <w:trHeight w:val="234"/>
        </w:trPr>
        <w:tc>
          <w:tcPr>
            <w:tcW w:w="8000" w:type="dxa"/>
            <w:vAlign w:val="bottom"/>
            <w:gridSpan w:val="2"/>
          </w:tcPr>
          <w:p>
            <w:pPr>
              <w:ind w:left="7640"/>
              <w:spacing w:after="0"/>
              <w:rPr>
                <w:sz w:val="20"/>
                <w:szCs w:val="20"/>
                <w:color w:val="auto"/>
              </w:rPr>
            </w:pPr>
            <w:r>
              <w:rPr>
                <w:rFonts w:ascii="Arial" w:cs="Arial" w:eastAsia="Arial" w:hAnsi="Arial"/>
                <w:sz w:val="18"/>
                <w:szCs w:val="18"/>
                <w:b w:val="1"/>
                <w:bCs w:val="1"/>
                <w:color w:val="auto"/>
                <w:w w:val="84"/>
              </w:rPr>
              <w:t>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Other underwriting expenses</w:t>
            </w: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7"/>
              </w:rPr>
              <w:t>10.1%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Underwriting fees (inspections/surveys)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expenses</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Professional fees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7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29.4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Provisional</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9"/>
              </w:rPr>
              <w:t>(18.4)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Contingent</w:t>
            </w:r>
          </w:p>
        </w:tc>
        <w:tc>
          <w:tcPr>
            <w:tcW w:w="72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9"/>
              </w:rPr>
              <w:t>(19.2)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7"/>
              </w:rPr>
              <w:t>33.0%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8000" w:type="dxa"/>
            <w:vAlign w:val="bottom"/>
            <w:gridSpan w:val="2"/>
          </w:tcPr>
          <w:p>
            <w:pPr>
              <w:ind w:left="3720"/>
              <w:spacing w:after="0"/>
              <w:rPr>
                <w:sz w:val="20"/>
                <w:szCs w:val="20"/>
                <w:color w:val="auto"/>
              </w:rPr>
            </w:pPr>
            <w:r>
              <w:rPr>
                <w:rFonts w:ascii="Arial" w:cs="Arial" w:eastAsia="Arial" w:hAnsi="Arial"/>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$1,868,000 for Nine Months 2023 compared to $2,357,000 for Nine Months 2022. The following table shows a breakdown of the significant components of other operating expenses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Bonuses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Professional</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3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Directors fees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r>
      <w:tr>
        <w:trPr>
          <w:trHeight w:val="20"/>
        </w:trPr>
        <w:tc>
          <w:tcPr>
            <w:tcW w:w="5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Arial" w:cs="Arial" w:eastAsia="Arial" w:hAnsi="Arial"/>
                <w:sz w:val="18"/>
                <w:szCs w:val="18"/>
                <w:color w:val="auto"/>
              </w:rPr>
              <w:t>Total other operating expenses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5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Nine Months 2023 of $489,000, or 20.7%, as compared to Nine Months 2022 was primarily due to a decrease in equity compensation and professional fees, partially offset by an increase in employment costs. The increase in employment costs was due to the hiring of our new Chief Financial Officer in Nine Months 2023 and fluctuations in deferred compensation liability related to changes in the underlying invested portfolio. The decrease in professional fees is due to $316,000 incurred in Nine Months 2022 related to a then contemplated transaction that would have resulted in a third party acquiring all of the outstanding equity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Depreciation and amortization was $2,328,000 in Nine Months 2023 compared to $2,472,000 in Nine Months 2022. The decrease of $144,000, or 5.8%,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in Nine Months 2023 was $3,005,000 compared to $1,370,000 in Nine Months 2022, an increase of $1,635,000 or 119.3%. In Nine Months 2023, as disclosed in Note 7 to the condensed consolidated financial statements, we incurred increased interest expense in connection with the 2022 Notes, which provide for interest at the rate of 12% per annum, and the 2022 equipment financing. In Nine Months 2022, we incurred interest expense in connection with the 2017 Notes, our $30.0 million issuance of long-term debt in December 2017, which provided for interest at the rate of 5.5%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Nine Months 2023 was $2,149,000, which resulted in an effective tax benefit rate of 19.1%. Income tax benefit in Nine Months 2022 was $4,433,000 which resulted in an effective tax rate of 19.3%. Loss before taxes was $11,264,000 in Nine Months 2023 compared to $23,007,000 in Nine Months 2022. The difference in effective tax rate is due to the effect of permanent differences in Nine Months 2023 compared to Nine Months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$9,114,000 in Nine Months 2023 compared to $18,575,000 in Nine Months 2022. The decrease in net loss of $9,461,000 was due to the circumstances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51,992</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54,592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51,992</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4,821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reinsurance treaties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48,955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35" w:name="page36"/>
    <w:bookmarkEnd w:id="35"/>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Ceding commission revenue (1)</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5,536</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4,886</w:t>
            </w:r>
          </w:p>
        </w:tc>
        <w:tc>
          <w:tcPr>
            <w:tcW w:w="36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650</w:t>
            </w: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Net losses on investments</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(427)</w:t>
            </w: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35,538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(1,303)</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29,570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30,514</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(944)</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30,991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1,450</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5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1080" w:type="dxa"/>
            <w:vAlign w:val="bottom"/>
          </w:tcPr>
          <w:p>
            <w:pPr>
              <w:jc w:val="right"/>
              <w:spacing w:after="0"/>
              <w:rPr>
                <w:sz w:val="20"/>
                <w:szCs w:val="20"/>
                <w:color w:val="auto"/>
              </w:rPr>
            </w:pPr>
            <w:r>
              <w:rPr>
                <w:rFonts w:ascii="Arial" w:cs="Arial" w:eastAsia="Arial" w:hAnsi="Arial"/>
                <w:sz w:val="18"/>
                <w:szCs w:val="18"/>
                <w:color w:val="auto"/>
              </w:rPr>
              <w:t>397.9%</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9"/>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19,773</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21,694</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(1,921)</w:t>
            </w: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0"/>
        </w:trPr>
        <w:tc>
          <w:tcPr>
            <w:tcW w:w="5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8,210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8,702</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(492)</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(368)</w:t>
            </w: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532</w:t>
            </w:r>
          </w:p>
        </w:tc>
        <w:tc>
          <w:tcPr>
            <w:tcW w:w="1080" w:type="dxa"/>
            <w:vAlign w:val="bottom"/>
          </w:tcPr>
          <w:p>
            <w:pPr>
              <w:jc w:val="right"/>
              <w:spacing w:after="0"/>
              <w:rPr>
                <w:sz w:val="20"/>
                <w:szCs w:val="20"/>
                <w:color w:val="auto"/>
              </w:rPr>
            </w:pPr>
            <w:r>
              <w:rPr>
                <w:rFonts w:ascii="Arial" w:cs="Arial" w:eastAsia="Arial" w:hAnsi="Arial"/>
                <w:sz w:val="18"/>
                <w:szCs w:val="18"/>
                <w:color w:val="auto"/>
              </w:rPr>
              <w:t>116.4%</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(562)</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(297)</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three months ended September 30,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3"/>
              </w:rPr>
              <w:t>Three months ended September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Point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31.7%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Direct written premiums during the three months ended September 30, 2023 (“Three Months 2023”) were $51,992,000 compared to $54,592,000 during the three months ended September 30, 2022 (“Three Months 2022”). The decrease of $2,600,000, or 4.8%, was primarily due to a decrease in premiums from our personal lines business, partially offset by an increase in premiums from our livery physical damage business.</w:t>
      </w:r>
    </w:p>
    <w:p>
      <w:pPr>
        <w:spacing w:after="0" w:line="165"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Direct written premiums from our personal lines business for Three Months 2023 were $48,419,000, a decrease of $2,824,000, or 5.5%, from $51,243,000 in Three Months 2022. The 5.5% decrease in premiums from our personal lines business was primarily due to a decrease in premiums associated with a 14.0% decrease in policies in force as of September 30, 2023 compared to September 30, 2022, offset by rate increases. The rate increases achieved along with a decrease in policies in force is in accordance with both our Kingstone 2.0 and Kingstone 3.0 strategic plans.</w:t>
      </w:r>
    </w:p>
    <w:p>
      <w:pPr>
        <w:spacing w:after="0" w:line="171"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Direct written premiums from our livery physical damage business for Three Months 2023 were $3,544,000, an increase of $234,000, or 7.1%, from $3,310,000 in Three Months 2022. The increase in livery physical damage direct written premiums was due to an increasing number of policies and an increase in the values of the autos insured.</w:t>
      </w:r>
    </w:p>
    <w:p>
      <w:pPr>
        <w:spacing w:after="0" w:line="184"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Beginning in 2017, we commenced our non-Core business and started writing personal lines policies in New Jersey. Through 2019 we expanded our non-Core business to Rhode Island, Massachusetts and Connecticut. Direct written premiums from our Core business were $46,025,000 in Three Months 2023 compared to $43,949,000 in Three Months 2022, an increase of $2,076,000, or 4.7%. Policies in force from our Core business decreased by 4.5% in Three Months 2023 compared to Three Months 2022. Direct written premiums from our non-Core business were $5,966,000 in Three Months</w:t>
      </w:r>
    </w:p>
    <w:p>
      <w:pPr>
        <w:sectPr>
          <w:pgSz w:w="11900" w:h="16855" w:orient="portrait"/>
          <w:cols w:equalWidth="0" w:num="1">
            <w:col w:w="11240"/>
          </w:cols>
          <w:pgMar w:left="320" w:top="125" w:right="339" w:bottom="0" w:gutter="0" w:footer="0" w:header="0"/>
        </w:sectPr>
      </w:pPr>
    </w:p>
    <w:bookmarkStart w:id="36" w:name="page37"/>
    <w:bookmarkEnd w:id="36"/>
    <w:p>
      <w:pPr>
        <w:jc w:val="both"/>
        <w:spacing w:after="0" w:line="301" w:lineRule="auto"/>
        <w:rPr>
          <w:sz w:val="20"/>
          <w:szCs w:val="20"/>
          <w:color w:val="auto"/>
        </w:rPr>
      </w:pPr>
      <w:r>
        <w:rPr>
          <w:rFonts w:ascii="Arial" w:cs="Arial" w:eastAsia="Arial" w:hAnsi="Arial"/>
          <w:sz w:val="16"/>
          <w:szCs w:val="16"/>
          <w:color w:val="auto"/>
        </w:rPr>
        <w:t>2023 down from $10,642,000 in Three Months 2022, a decrease of $4,676,000, or 43.9%. The decrease in direct written premiums from our non-Core business is a result of our decision to aggressively reduce the book of business in these states. Policies in force from our non-Core business decreased by 38.9% in Three Months 2023 compared to Three Months 2022. The increase in direct written premiums in our Core business and the decrease in our non-Core business is consistent with a key pillar of our Kingstone 3.0 strategy to reduce our non-Core business due to profitability concerns.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written premiums decreased $7,422,000, or 66.9%, to $3,675,000 in Three Months 2023 from $11,097,000 in Three Months 2022. Net written premiums include direct premiums, less the amount of written premiums ceded under our reinsurance treaties (quota share, excess of loss, and catastrophe). The decrease in Three Months 2023 is primarily due to changes in the terms of our catastrophe reinsurance treaty. See catastrophe reinsurance treaties discussion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 treaties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30% quota share reinsurance treaty for our personal lines business, covering the period from January 1, 2023 through January 1, 2024 (“2023/2024 Treaty”). In Three Months 2023, our premiums ceded under quota share treaties decreased by $709,000 in comparison to ceded premiums in Three Months 2022 (see table above). The decrease in Three Months 2023 was attributable to the decrease in direct written premiums discussed above, partially offset by the runoff of an 8.5% portion of the 30% 2021/2023 Treaty. The remainder of the 2021/2023 Treaty was on a cutoff basis and the new 2023/2024 Treaty was placed for 30% on January 1, 2023. Our personal lines business was subject to the 2023/2024 Treaty in Three Months 2023, and the 2021-2023 Treaty in Three Months 2022.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2023, our ceded excess of loss reinsurance premiums increased by $532,000 over the comparable ceded premiums for Three Months 2022. The increase was due to an increase in subject premiums and the heightened cost of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Catastrophe premiums increased $4,998,000, or 17.0%, to $34,380,000 in Three Months 2023 from $29,382,000 in Three Months 2022. The increase was primarily due to an increase in catastrophe reinsurance rates. In accordance with our Kingstone 2.0 and Kingstone 3.0 goals, we have reduced our PML in Three Months 2023, which partially offset the increase in premiums effective July 1, 2023.</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premiums earned decreased $1,423,000, or 4.8%, to $27,938,000 in Three Months 2023 from $29,361,000 in Three Months 2022. The decrease was due to the 4.8% decrease in direct written premiums during Three Months 2023, the run-off of a portion of the 2021-2023 Treaty, which increased the premiums ceded and reduced the net premiums earned, and an increase in catastrophe premiums rates, which also reduced net premiums earned. These reductions to net premiums earned were partially offset by the increased premiums written in prior periods due to rate increases and increased replacement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1"/>
              </w:rPr>
              <w:t>Three months ended 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5,536</w:t>
            </w:r>
          </w:p>
        </w:tc>
        <w:tc>
          <w:tcPr>
            <w:tcW w:w="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Ceding commission revenue was $5,536,000 in Three Months 2023 compared to $4,886,000 in Three Months 2022. The increase of $650,000 was due to an increase in provisional ceding commissions earned and an increase in contingent ceding commissions earned. See below for a discussion of provisional ceding commissions earned and contingent ceding commissions earned.</w:t>
      </w:r>
    </w:p>
    <w:p>
      <w:pPr>
        <w:sectPr>
          <w:pgSz w:w="11900" w:h="16838" w:orient="portrait"/>
          <w:cols w:equalWidth="0" w:num="1">
            <w:col w:w="11240"/>
          </w:cols>
          <w:pgMar w:left="320" w:top="125" w:right="339" w:bottom="0"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Provisional Ceding Commissions Earned</w:t>
      </w:r>
    </w:p>
    <w:p>
      <w:pPr>
        <w:sectPr>
          <w:pgSz w:w="11900" w:h="16838" w:orient="portrait"/>
          <w:cols w:equalWidth="0" w:num="1">
            <w:col w:w="11240"/>
          </w:cols>
          <w:pgMar w:left="320" w:top="125" w:right="339" w:bottom="0" w:gutter="0" w:footer="0" w:header="0"/>
          <w:type w:val="continuous"/>
        </w:sectPr>
      </w:pPr>
    </w:p>
    <w:bookmarkStart w:id="37" w:name="page38"/>
    <w:bookmarkEnd w:id="37"/>
    <w:p>
      <w:pPr>
        <w:jc w:val="both"/>
        <w:ind w:firstLine="648"/>
        <w:spacing w:after="0" w:line="301" w:lineRule="auto"/>
        <w:rPr>
          <w:sz w:val="20"/>
          <w:szCs w:val="20"/>
          <w:color w:val="auto"/>
        </w:rPr>
      </w:pPr>
      <w:r>
        <w:rPr>
          <w:rFonts w:ascii="Arial" w:cs="Arial" w:eastAsia="Arial" w:hAnsi="Arial"/>
          <w:sz w:val="16"/>
          <w:szCs w:val="16"/>
          <w:color w:val="auto"/>
        </w:rPr>
        <w:t>In Three Months 2023 we earned provisional ceding commissions of $4,992,000 from personal lines earned premiums ceded under the 2023/2024 Treaty, and in Three Months 2022 we earned provisional ceding commissions of $4,882,000 from personal lines earned premiums ceded under the 2021/2023 Treaty. The increase of $110,000 in provisional ceding commissions earned was due to the runoff of an 8.5% portion of the 30% 2021/2023 Treaty, partially offset by a decrease in premiums subject to quota share treaties as a result of the decrease in direct written premiums discussed above.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investment income was $1,444,000 in Three Months 2023 compared to $1,419,000 in Three Months 2022, an increase of $25,000, or 1.8%. The increase in investment income is attributable to higher interest rates earned on cash balances. The average yield on non-cash invested assets was 3.73% as of September 30, 2023 compared to 3.48% as of September 30,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and invested assets were $172,095,000 as of September 30, 2023 compared to $192,229,000 as of September 30, 2022. The $20,134,000 decrease in cash and invested assets was primarily attributable to increased disbursements of losses in connection with higher severity and inflation’s impact on losses along with catastrophe losses incurred in 2023 and prior periods. An increase in unrealized losses on our investment portfolio also contributed to the reduction.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(losses) on investments were $(824,000) in Three Months 2023 compared to net (losses) of $(398,000) in Three Months 2022. Unrealized (losses) on our equity securities and other investments in Three Months 2023 were $(820,000) compared to net unrealized (losses) of $(1,798,000) in Three Months 2022. Realized (losses) on sales of investments were $(4,000) in Three Months 2023 compared to realized gains of $1,400,000 in Three Months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income was $142,000 in Three Months 2023 compared to $270,000 in Three Months 2022, a decrease of $128,000, or 47.4%.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$21,932,000 for Three Months 2023 compared to $22,028,000 for Three Months 2022. The net loss ratio was 78.5% in Three Months 2023 compared to 75.0% in Three Months 2022, an increase of 3.5 percentage points.</w:t>
      </w:r>
    </w:p>
    <w:p>
      <w:pPr>
        <w:spacing w:after="0" w:line="170"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line="20"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Three Months 2023, the net loss ratio was higher than for Three Months 2022. Although the catastrophe impact for Three Months 2023 was larger than for Three Months 2022, the underlying loss ratio (loss ratio excluding the impact of catastrophe and prior year development) was lower.</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were six newly designated catastrophe events for Three Months 2023. The estimated total net catastrophe losses for the calendar quarter were $2,159,000, which contributed 7.7 points to the loss ratio. By comparison, the catastrophe impact for Three Months 2022 was 1.1 points.</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underlying loss ratio was 70.8% for Three Months 2023, a decrease of 1.6 points from the 72.4% underlying loss ratio recorded for Three Months 2022. The underlying loss experience for Three Months 2023 was improved due to lower frequency which is believed to be the result of the Company’s new product rollout as well as the Company’s active efforts to manage less profitable segments. The improvement in frequency was offset by increased severity due to inflation and large losses, similar to what was observed in the first six months of 2023.</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was stable for Three Months 2023. There was an overall unfavorable development of $3,000, which had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$8,210,000 in Three Months 2023 or 16.2% of direct earned premiums. Commission expense was $8,702,000 in Three Months 2022 or 17.8% of direct earned premiums. The decrease of $492,000 was primarily due to a reduction of commission rates on our legacy policies in accordance with Kingstone 3.0 as well as the lower commission rate paid on Select products as compared to legacy products, but offset by an increase in direct earned premiums of $1,791,000 to $50,746,000.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underwriting expenses were $6,319,000, or 12.5% of direct earned premiums in Three Months 2023 compared to $7,276,000, or 14.9% of direct earned premiums, in Three Months 2022. The decrease of $957,000, or 13.2%, was primarily due to decreases in salaries and employment costs, credit card fees, and policy management system fees as result of the completion of our policy management system conversion, allowing us to eliminate multiple legacy systems.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$2,817,000 in Three Months 2023 compared to $2,961,000 in Three Months 2022. The decrease of $144,000, or 4.9%, compared favorably to the 4.8% decrease in direct written premiums. The decrease in salaries and employment costs was due to a reduction in our staff in June and July of 2023 as we have been reducing our non-Core business. As an offset to the decrease in employment costs from staff reductions, in the periods following Three Months 2022, we continued to strengthen our professional team by investing in the hiring of higher-level and higher compensated managers and staff needed to manage the business consistent with our Kingstone 2.0 and Kingstone 3.0 strategies.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2023 was 31.7% compared to 36.9% in Three Months 2022.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00" w:type="dxa"/>
            <w:vAlign w:val="bottom"/>
          </w:tcPr>
          <w:p>
            <w:pPr>
              <w:spacing w:after="0"/>
              <w:rPr>
                <w:sz w:val="16"/>
                <w:szCs w:val="16"/>
                <w:color w:val="auto"/>
              </w:rPr>
            </w:pPr>
          </w:p>
        </w:tc>
      </w:tr>
      <w:tr>
        <w:trPr>
          <w:trHeight w:val="234"/>
        </w:trPr>
        <w:tc>
          <w:tcPr>
            <w:tcW w:w="8000" w:type="dxa"/>
            <w:vAlign w:val="bottom"/>
            <w:gridSpan w:val="2"/>
          </w:tcPr>
          <w:p>
            <w:pPr>
              <w:ind w:left="7640"/>
              <w:spacing w:after="0"/>
              <w:rPr>
                <w:sz w:val="20"/>
                <w:szCs w:val="20"/>
                <w:color w:val="auto"/>
              </w:rPr>
            </w:pPr>
            <w:r>
              <w:rPr>
                <w:rFonts w:ascii="Arial" w:cs="Arial" w:eastAsia="Arial" w:hAnsi="Arial"/>
                <w:sz w:val="18"/>
                <w:szCs w:val="18"/>
                <w:b w:val="1"/>
                <w:bCs w:val="1"/>
                <w:color w:val="auto"/>
                <w:w w:val="84"/>
              </w:rPr>
              <w:t>2023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Other underwriting expenses</w:t>
            </w: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7"/>
              </w:rPr>
              <w:t>10.1%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Underwriting fees (inspections/surveys)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expenses</w:t>
            </w: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Professional fees</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0"/>
        </w:trPr>
        <w:tc>
          <w:tcPr>
            <w:tcW w:w="7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29.4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09"/>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Provisional</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9"/>
              </w:rPr>
              <w:t>(17.9)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Contingent</w:t>
            </w:r>
          </w:p>
        </w:tc>
        <w:tc>
          <w:tcPr>
            <w:tcW w:w="72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9"/>
              </w:rPr>
              <w:t>(19.8)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7"/>
              </w:rPr>
              <w:t>31.7%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58" w:orient="portrait"/>
          <w:cols w:equalWidth="0" w:num="1">
            <w:col w:w="11240"/>
          </w:cols>
          <w:pgMar w:left="320" w:top="125"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(Components may not sum to totals due to rounding)</w:t>
      </w:r>
    </w:p>
    <w:p>
      <w:pPr>
        <w:sectPr>
          <w:pgSz w:w="11900" w:h="16858" w:orient="portrait"/>
          <w:cols w:equalWidth="0" w:num="1">
            <w:col w:w="11240"/>
          </w:cols>
          <w:pgMar w:left="320" w:top="125" w:right="339" w:bottom="0" w:gutter="0" w:footer="0" w:header="0"/>
          <w:type w:val="continuous"/>
        </w:sectPr>
      </w:pPr>
    </w:p>
    <w:bookmarkStart w:id="39" w:name="page40"/>
    <w:bookmarkEnd w:id="39"/>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operating expenses, related to the expenses of our holding company and Cosi, were $442,000 for Three Months 2023 compared to $810,000 for Three Months 2022. The following table shows a breakdown of the significant components of other operating expenses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Bonuses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Professional</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other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decrease in Three Months 2023 of $368,000, or 45.4%, as compared to Three Months 2022 was primarily due to a decrease in professional fees, partially offset by an increase in employment costs. The decrease in professional fees is due to $268,000 incurred in Three Months 2022 related to a then contemplated transaction that would have resulted in a third party acquiring all of the outstanding equity of our company. The negative balance of professional fees in Three Months 2023 is due to credits received on previously billed amounts. The increase in employment costs was due to the hiring of our new Chief Financial Officer in January 2023 and fluctuations in deferred compensation liability related to changes in the underlying invested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Depreciation and amortization was $741,000 in Three Months 2023 compared to $825,000 in Three Months 2022. The decrease of $84,000, or 10.2%,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in Three Months 2023 was $989,000 compared to $457,000 in Three Months 2022, an increase of $532,000 or 116.4%. In Three Months 2023, as disclosed in Note 7 to the condensed consolidated financial statements, we incurred increased interest expense in connection with the 2022 Notes, which provide for interest at the rate of 12% per annum, and the 2022 equipment financing. In Three Months 2022, we incurred interest expense in connection with the 2017 Notes, our $30.0 million issuance of long-term debt in December 2017, which provided for interest at the rate of 5.5%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2023 was $859,000, which resulted in an effective tax benefit rate of 19.5%. Income tax benefit in Three Months 2022 was $562,000, which resulted in an effective tax rate of 12.3%. Loss before taxes was $4,397,000 in Three Months 2023 compared to $4,559,000 in Three Months 2022. The difference in effective tax rate is due to the effect of permanent differences in Three Months 2023 compared to Three Months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$3,538,000 in Three Months 2023 compared to $3,998,000 in Three Months 2022. The decrease in net loss of $460,000 was due to the circumstances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5"/>
        </w:trPr>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-8890</wp:posOffset>
            </wp:positionV>
            <wp:extent cx="33261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Gross premiums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57" w:orient="portrait"/>
          <w:cols w:equalWidth="0" w:num="1">
            <w:col w:w="11240"/>
          </w:cols>
          <w:pgMar w:left="320" w:top="557" w:right="339" w:bottom="0" w:gutter="0" w:footer="0" w:header="0"/>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48,418,956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51,242,544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136,601,070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138,197,960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3,543,810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3,309,845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10,559,310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9,036,713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39,162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119,238</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gross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51,992,246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54,591,551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147,236,636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147,353,911</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7,758,513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45,616,286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56,917,763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3,543,810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3,309,845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10,559,310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9,036,713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28,374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51,179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86,224</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net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3,675,300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11,096,732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56,226,775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66,040,700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24,346,521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26,407,939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75,441,482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75,747,009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3,571,160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2,920,335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10,192,773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8,082,173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20,637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32,702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107,242</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27,938,318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29,360,976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85,701,467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83,936,424</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19,132,159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18,719,715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59,627,739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56,296,473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1,720,620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1,716,383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3,999,787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3,727,175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137,886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733,061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919,738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2,453,114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2,870,115</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21,572,083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21,365,330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66,218,526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62,878,890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360,370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662,186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334,039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745,865</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21,932,453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66,552,565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63,624,755</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Personal lines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205.2%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r>
    </w:tbl>
    <w:p>
      <w:pPr>
        <w:spacing w:after="0" w:line="202" w:lineRule="exact"/>
        <w:rPr>
          <w:sz w:val="20"/>
          <w:szCs w:val="20"/>
          <w:color w:val="auto"/>
        </w:rPr>
      </w:pPr>
    </w:p>
    <w:p>
      <w:pPr>
        <w:ind w:left="900" w:hanging="447"/>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900" w:hanging="447"/>
        <w:spacing w:after="0" w:line="26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discussion above with regard to “Net Loss and LAE”, as to catastrophe losses in the three months and nine months ended September 30, 2023 and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27,938,318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85,701,467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83,936,424</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5,536,327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4,886,094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16,393,944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14,283,077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1,444,360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1,418,521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4,437,208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3,411,946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(losses) gains on investments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(799,348)</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(366,411)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531,277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(9,098,008)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141,711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269,297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449,782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740,424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34,261,368</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35,568,477</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107,513,678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93,273,863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21,932,453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66,552,565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63,624,755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8,210,430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8,702,190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25,221,374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25,534,307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6,318,625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7,276,101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19,873,882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20,717,047</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741,059</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803,568</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2,327,691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2,430,769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331,606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37,309,147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38,809,375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114,307,118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112,306,878</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(3,047,779)</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(3,240,898)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(6,793,440)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(19,033,015)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(585,797)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(1,246,788)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(3,702,374)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(2,461,982)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(2,895,818)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(5,546,652)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(15,330,641)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Key Measures: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0"/>
        </w:trPr>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r>
      <w:tr>
        <w:trPr>
          <w:trHeight w:val="197"/>
        </w:trPr>
        <w:tc>
          <w:tcPr>
            <w:tcW w:w="46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costs and other underwriting expenses</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14,529,055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45,095,256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46,251,354</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Ceding commission revenue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(5,536,327)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(4,886,094)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(16,393,944)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(14,283,077)</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Less: Other income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(141,711)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(269,297)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(449,782)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(740,424)</w:t>
            </w:r>
          </w:p>
        </w:tc>
      </w:tr>
      <w:tr>
        <w:trPr>
          <w:trHeight w:val="20"/>
        </w:trPr>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expenses</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8,851,017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10,822,900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28,251,530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31,227,853</w:t>
            </w:r>
          </w:p>
        </w:tc>
      </w:tr>
      <w:tr>
        <w:trPr>
          <w:trHeight w:val="197"/>
        </w:trPr>
        <w:tc>
          <w:tcPr>
            <w:tcW w:w="46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27,938,318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85,701,467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83,936,424</w:t>
            </w:r>
          </w:p>
        </w:tc>
      </w:tr>
      <w:tr>
        <w:trPr>
          <w:trHeight w:val="197"/>
        </w:trPr>
        <w:tc>
          <w:tcPr>
            <w:tcW w:w="46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628"/>
        </w:trPr>
        <w:tc>
          <w:tcPr>
            <w:tcW w:w="46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147,236,636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(91,009,861)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56,226,775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4,331,226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25,143,466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29,474,692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151,567,862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(65,866,395)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85,701,467</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89,825,751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(30,558,103)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59,267,648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10,746,184</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(3,461,267)</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7,284,917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100,571,935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(34,019,370)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66,552,565</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147,353,911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(81,313,211)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66,040,700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(6,029,774)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23,925,498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17,895,724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141,324,137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(57,387,713)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83,936,424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83,345,972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(23,186,898)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60,159,074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7,509,597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(4,043,916)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3,465,681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90,855,569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(27,230,814)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63,624,755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51,992,246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(48,316,946)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3,675,300</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(1,246,657)</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25,509,675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24,263,018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50,745,589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(22,807,271)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27,938,318</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29,569,767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(9,796,769)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19,772,998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2,871,300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(711,845)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2,159,455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32,441,067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(10,508,614)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21,932,453</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54,591,551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(43,494,819)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11,096,732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(5,636,421)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23,900,665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18,264,244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48,955,130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(19,594,154)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29,360,976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30,513,819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(8,820,270)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21,693,549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477,127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(143,160)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333,967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30,990,946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(8,963,430)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22,027,516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42" w:name="page43"/>
    <w:bookmarkEnd w:id="42"/>
    <w:p>
      <w:pPr>
        <w:spacing w:after="0" w:line="66"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27,938,318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85,701,467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83,936,424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5,536,327</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4,886,094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16,393,944</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14,283,077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141,711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449,782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740,424</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21,932,453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66,552,565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63,624,755</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8,210,430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8,702,190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25,221,374</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25,534,307</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6,318,625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7,276,101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19,873,882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20,717,047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Total acquisition costs and other underwriting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14,529,055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45,095,256</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46,251,354</w:t>
            </w:r>
          </w:p>
        </w:tc>
      </w:tr>
      <w:tr>
        <w:trPr>
          <w:trHeight w:val="210"/>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Underwriting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(2,845,152)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(3,489,440)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(9,102,628)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(10,916,184)</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Key Measures: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Effect of catastrophe loss on 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Effect of catastrophe loss on net combined ratio (1)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14,529,055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45,095,256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46,251,354</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Ceding commission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(5,536,327)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(4,886,094)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(16,393,944)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(14,283,077)</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Less: Other income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(141,711)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(269,297)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(449,782)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(740,424)</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8,851,017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10,822,900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28,251,530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31,227,853</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earned premium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27,938,318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85,701,467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83,936,424</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900" w:hanging="447"/>
        <w:spacing w:after="0" w:line="263"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September 30, 2023 and 2022, includes the sum of net catastrophe losses and loss adjustment expenses of $2,159,455 and $333,967, respectively. For the nine months ended September 30, 2023 and 2022, includes the sum of net catastrophe losses and loss adjustment expenses of $7,284,917 and $3,465,681,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September 30,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September 30, 2023</w:t>
            </w:r>
          </w:p>
        </w:tc>
        <w:tc>
          <w:tcPr>
            <w:tcW w:w="1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425"/>
        </w:trPr>
        <w:tc>
          <w:tcPr>
            <w:tcW w:w="43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Cost or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22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3"/>
              </w:rPr>
              <w:t>Gross Unrealized Losses</w:t>
            </w:r>
          </w:p>
        </w:tc>
        <w:tc>
          <w:tcPr>
            <w:tcW w:w="12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Estimated</w:t>
            </w: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38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5"/>
              </w:rPr>
              <w:t>Less than 12</w:t>
            </w:r>
          </w:p>
        </w:tc>
        <w:tc>
          <w:tcPr>
            <w:tcW w:w="114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3"/>
              </w:rPr>
              <w:t>More than 12</w:t>
            </w:r>
          </w:p>
        </w:tc>
        <w:tc>
          <w:tcPr>
            <w:tcW w:w="128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rPr>
              <w:t>Fair</w:t>
            </w:r>
          </w:p>
        </w:tc>
        <w:tc>
          <w:tcPr>
            <w:tcW w:w="940" w:type="dxa"/>
            <w:vAlign w:val="bottom"/>
          </w:tcPr>
          <w:p>
            <w:pPr>
              <w:jc w:val="center"/>
              <w:ind w:left="7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rPr>
              <w:t>Fair</w:t>
            </w:r>
          </w:p>
        </w:tc>
      </w:t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Gains</w:t>
            </w: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Months</w:t>
            </w: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Months</w:t>
            </w:r>
          </w:p>
        </w:tc>
        <w:tc>
          <w:tcPr>
            <w:tcW w:w="12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Value</w:t>
            </w:r>
          </w:p>
        </w:tc>
      </w:tr>
    </w:tbl>
    <w:p>
      <w:pPr>
        <w:spacing w:after="0" w:line="20" w:lineRule="exact"/>
        <w:rPr>
          <w:sz w:val="20"/>
          <w:szCs w:val="20"/>
          <w:color w:val="auto"/>
        </w:rPr>
      </w:pPr>
    </w:p>
    <w:p>
      <w:pPr>
        <w:sectPr>
          <w:pgSz w:w="11900" w:h="16905" w:orient="portrait"/>
          <w:cols w:equalWidth="0" w:num="1">
            <w:col w:w="11240"/>
          </w:cols>
          <w:pgMar w:left="320" w:top="341" w:right="33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8,224,680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8,167,845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16,615,369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(4,201,015)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12,414,354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78,116,754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(8,651,516)</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69,465,238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2"/>
              </w:rPr>
              <w:t>Residential mortgage and other asset backed securities (2)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51,503,046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(8,821,223)</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42,739,462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32.2%</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154,459,849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63,626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(62,822)</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(21,673,754)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132,786,899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Cost 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4"/>
                <w:szCs w:val="24"/>
                <w:color w:val="auto"/>
              </w:rPr>
            </w:pPr>
          </w:p>
        </w:tc>
        <w:tc>
          <w:tcPr>
            <w:tcW w:w="2300" w:type="dxa"/>
            <w:vAlign w:val="bottom"/>
            <w:gridSpan w:val="6"/>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40" w:type="dxa"/>
            <w:vAlign w:val="bottom"/>
            <w:gridSpan w:val="4"/>
          </w:tcPr>
          <w:p>
            <w:pPr>
              <w:ind w:left="120"/>
              <w:spacing w:after="0" w:line="191" w:lineRule="exact"/>
              <w:rPr>
                <w:sz w:val="20"/>
                <w:szCs w:val="20"/>
                <w:color w:val="auto"/>
              </w:rPr>
            </w:pPr>
            <w:r>
              <w:rPr>
                <w:rFonts w:ascii="Arial" w:cs="Arial" w:eastAsia="Arial" w:hAnsi="Arial"/>
                <w:sz w:val="18"/>
                <w:szCs w:val="18"/>
                <w:b w:val="1"/>
                <w:bCs w:val="1"/>
                <w:color w:val="auto"/>
              </w:rPr>
              <w:t>Unrealized</w:t>
            </w:r>
          </w:p>
        </w:tc>
        <w:tc>
          <w:tcPr>
            <w:tcW w:w="11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r>
      <w:tr>
        <w:trPr>
          <w:trHeight w:val="195"/>
        </w:trPr>
        <w:tc>
          <w:tcPr>
            <w:tcW w:w="43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23,874,545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23,869,096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17,108,154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(2,195,273)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(1,771,494)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13,141,387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80,338,464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(5,796,994)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(2,458,985)</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72,082,485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46.6%</w:t>
            </w: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2"/>
              </w:rPr>
              <w:t>Residential mortgage and other asset backed securities (2)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53,597,264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(882,664)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(7,150,803)</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45,622,195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174,918,427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  (8,881,859)</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(11,381,282)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154,715,163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660" w:hanging="4"/>
        <w:spacing w:after="0" w:line="259"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September 30, 2023 and December 31, 2022, the amount of required collateral was approximately $7,422,000 and $8,691,000, respectively. As of September 30, 2023 and December 31, 2022, the estimated fair value of the eligible collateral was approximately $8,168,000 and $8,691,000,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left="660" w:hanging="4"/>
        <w:spacing w:after="0" w:line="25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2023 and December 31, 2022, the estimated fair value of the eligible investments was approximately $10,911,000 and $12,228,000, respectively. KICO will retain all rights regarding all securities if pledged as collateral. As of September 30, 2023 and December 31, 2022 there was no outstanding balance on the FHLBNY credit line.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13,583,942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(3,384,701)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10,199,241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4,402,841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(919,432)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3,708,410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17,986,783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225,001</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(4,304,133)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13,907,651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13,583,942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(3,589,313)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9,994,629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4,502,758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(821,632)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3,839,761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18,086,700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158,635</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(4,410,945)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13,834,390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September 30, 2023 and December 31, 2022:</w:t>
      </w:r>
    </w:p>
    <w:p>
      <w:pPr>
        <w:sectPr>
          <w:pgSz w:w="11900" w:h="16838" w:orient="portrait"/>
          <w:cols w:equalWidth="0" w:num="1">
            <w:col w:w="11240"/>
          </w:cols>
          <w:pgMar w:left="320" w:top="134" w:right="3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September 30, 2023</w:t>
            </w: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December 31, 2022</w:t>
            </w:r>
          </w:p>
        </w:tc>
      </w:tr>
      <w:tr>
        <w:trPr>
          <w:trHeight w:val="191"/>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r>
      <w:tr>
        <w:trPr>
          <w:trHeight w:val="426"/>
        </w:trPr>
        <w:tc>
          <w:tcPr>
            <w:tcW w:w="498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Other Investments: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Hedge fund</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$ 1,226,278</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$ 3,213,318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1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  784,612</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$ 2,771,652</w:t>
            </w:r>
          </w:p>
        </w:tc>
      </w:tr>
      <w:tr>
        <w:trPr>
          <w:trHeight w:val="628"/>
        </w:trPr>
        <w:tc>
          <w:tcPr>
            <w:tcW w:w="6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3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28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0"/>
              </w:rPr>
              <w:t>Gross Unrealized Losses</w:t>
            </w:r>
          </w:p>
        </w:tc>
        <w:tc>
          <w:tcPr>
            <w:tcW w:w="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90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96"/>
              </w:rPr>
              <w:t>Unrealized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w w:val="97"/>
              </w:rPr>
              <w:t>Less than 12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Gains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Months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426"/>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$ 1,228,783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(49,795)</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$ 1,147,493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Political subdivisions of States, Territories and Possessions</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499,036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489,990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304,111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252,500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5,021,895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(1,212,380)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3,809,515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66.9%</w:t>
            </w:r>
          </w:p>
        </w:tc>
      </w:tr>
      <w:tr>
        <w:trPr>
          <w:trHeight w:val="210"/>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5"/>
          </w:tcPr>
          <w:p>
            <w:pPr>
              <w:jc w:val="right"/>
              <w:ind w:right="80"/>
              <w:spacing w:after="0"/>
              <w:rPr>
                <w:sz w:val="20"/>
                <w:szCs w:val="20"/>
                <w:color w:val="auto"/>
              </w:rPr>
            </w:pPr>
            <w:r>
              <w:rPr>
                <w:rFonts w:ascii="Arial" w:cs="Arial" w:eastAsia="Arial" w:hAnsi="Arial"/>
                <w:sz w:val="18"/>
                <w:szCs w:val="18"/>
                <w:color w:val="auto"/>
              </w:rPr>
              <w:t>$ 7,053,825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(110,452)</w:t>
            </w:r>
          </w:p>
        </w:tc>
        <w:tc>
          <w:tcPr>
            <w:tcW w:w="2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(1,243,875)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$ 5,699,498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8"/>
                <w:szCs w:val="18"/>
                <w:b w:val="1"/>
                <w:bCs w:val="1"/>
                <w:color w:val="auto"/>
                <w:w w:val="98"/>
              </w:rPr>
              <w:t>December 31, 2022</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jc w:val="right"/>
              <w:ind w:right="32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5"/>
          </w:tcPr>
          <w:p>
            <w:pPr>
              <w:jc w:val="right"/>
              <w:ind w:right="220"/>
              <w:spacing w:after="0" w:line="191" w:lineRule="exact"/>
              <w:rPr>
                <w:sz w:val="20"/>
                <w:szCs w:val="20"/>
                <w:color w:val="auto"/>
              </w:rPr>
            </w:pPr>
            <w:r>
              <w:rPr>
                <w:rFonts w:ascii="Arial" w:cs="Arial" w:eastAsia="Arial" w:hAnsi="Arial"/>
                <w:sz w:val="18"/>
                <w:szCs w:val="18"/>
                <w:b w:val="1"/>
                <w:bCs w:val="1"/>
                <w:color w:val="auto"/>
                <w:w w:val="95"/>
              </w:rPr>
              <w:t>Amortized</w:t>
            </w:r>
          </w:p>
        </w:tc>
        <w:tc>
          <w:tcPr>
            <w:tcW w:w="1020" w:type="dxa"/>
            <w:vAlign w:val="bottom"/>
            <w:gridSpan w:val="5"/>
          </w:tcPr>
          <w:p>
            <w:pPr>
              <w:jc w:val="right"/>
              <w:ind w:right="140"/>
              <w:spacing w:after="0" w:line="191" w:lineRule="exact"/>
              <w:rPr>
                <w:sz w:val="20"/>
                <w:szCs w:val="20"/>
                <w:color w:val="auto"/>
              </w:rPr>
            </w:pPr>
            <w:r>
              <w:rPr>
                <w:rFonts w:ascii="Arial" w:cs="Arial" w:eastAsia="Arial" w:hAnsi="Arial"/>
                <w:sz w:val="18"/>
                <w:szCs w:val="18"/>
                <w:b w:val="1"/>
                <w:bCs w:val="1"/>
                <w:color w:val="auto"/>
                <w:w w:val="94"/>
              </w:rPr>
              <w:t>Unrealized</w:t>
            </w:r>
          </w:p>
        </w:tc>
        <w:tc>
          <w:tcPr>
            <w:tcW w:w="60" w:type="dxa"/>
            <w:vAlign w:val="bottom"/>
          </w:tcPr>
          <w:p>
            <w:pPr>
              <w:spacing w:after="0"/>
              <w:rPr>
                <w:sz w:val="16"/>
                <w:szCs w:val="16"/>
                <w:color w:val="auto"/>
              </w:rPr>
            </w:pPr>
          </w:p>
        </w:tc>
        <w:tc>
          <w:tcPr>
            <w:tcW w:w="1160" w:type="dxa"/>
            <w:vAlign w:val="bottom"/>
            <w:tcBorders>
              <w:top w:val="single" w:sz="8" w:color="auto"/>
            </w:tcBorders>
            <w:gridSpan w:val="5"/>
          </w:tcPr>
          <w:p>
            <w:pPr>
              <w:jc w:val="right"/>
              <w:ind w:right="160"/>
              <w:spacing w:after="0" w:line="191" w:lineRule="exact"/>
              <w:rPr>
                <w:sz w:val="20"/>
                <w:szCs w:val="20"/>
                <w:color w:val="auto"/>
              </w:rPr>
            </w:pPr>
            <w:r>
              <w:rPr>
                <w:rFonts w:ascii="Arial" w:cs="Arial" w:eastAsia="Arial" w:hAnsi="Arial"/>
                <w:sz w:val="18"/>
                <w:szCs w:val="18"/>
                <w:b w:val="1"/>
                <w:bCs w:val="1"/>
                <w:color w:val="auto"/>
                <w:w w:val="89"/>
              </w:rPr>
              <w:t>Less than 12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1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r>
      <w:tr>
        <w:trPr>
          <w:trHeight w:val="425"/>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$ 1,228,560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28,400</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(34,077)</w:t>
            </w: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$ 1,222,883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Political subdivisions of States, Territories and Possessions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498,638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500,730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304,111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5,734,831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36,968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(809,746)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(360,278)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4,601,775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69.7%</w:t>
            </w: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$ 7,766,140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67,460</w:t>
            </w:r>
          </w:p>
        </w:tc>
        <w:tc>
          <w:tcPr>
            <w:tcW w:w="80" w:type="dxa"/>
            <w:vAlign w:val="bottom"/>
          </w:tcPr>
          <w:p>
            <w:pPr>
              <w:spacing w:after="0"/>
              <w:rPr>
                <w:sz w:val="18"/>
                <w:szCs w:val="18"/>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(872,934)</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(360,278)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$ 6,600,388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our investments in held-to-maturity securities by contractual maturity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1,121,091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1,069,974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1,088,522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1,411,819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1,166,505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1,200,720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4,520,915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3,463,019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4,534,394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3,567,571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7,053,825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5,699,498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45" w:name="page46"/>
    <w:bookmarkEnd w:id="45"/>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September 30, 2023 and December 31, 2022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8,167,845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23,869,096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1,716,858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1,824,478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9,196,422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9,785,908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31,296,689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31,099,075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15,436,321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16,682,159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22,592,113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19,664,051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4,516,713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80,238,403</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83,572,384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w w:val="93"/>
              </w:rPr>
              <w:t>Residential mortgage backed, asset backed, and other collateralized obligations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12,028,321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16,497,621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21,295,991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23,062,233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6,806,737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6,722,902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15,373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411,851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457,683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40,474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3,733,847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373,103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gridSpan w:val="3"/>
          </w:tcPr>
          <w:p>
            <w:pPr>
              <w:ind w:left="340"/>
              <w:spacing w:after="0" w:line="195" w:lineRule="exact"/>
              <w:rPr>
                <w:sz w:val="20"/>
                <w:szCs w:val="20"/>
                <w:color w:val="auto"/>
              </w:rPr>
            </w:pPr>
            <w:r>
              <w:rPr>
                <w:rFonts w:ascii="Arial" w:cs="Arial" w:eastAsia="Arial" w:hAnsi="Arial"/>
                <w:sz w:val="18"/>
                <w:szCs w:val="18"/>
                <w:color w:val="auto"/>
                <w:w w:val="95"/>
              </w:rPr>
              <w:t>Total residential mortgage backed, asset backed, and other collateralized</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44,380,651</w:t>
            </w:r>
          </w:p>
        </w:tc>
        <w:tc>
          <w:tcPr>
            <w:tcW w:w="220" w:type="dxa"/>
            <w:vAlign w:val="bottom"/>
            <w:vMerge w:val="restart"/>
          </w:tcPr>
          <w:p>
            <w:pPr>
              <w:spacing w:after="0"/>
              <w:rPr>
                <w:sz w:val="16"/>
                <w:szCs w:val="16"/>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47,273,683</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7"/>
        </w:trPr>
        <w:tc>
          <w:tcPr>
            <w:tcW w:w="5940" w:type="dxa"/>
            <w:vAlign w:val="bottom"/>
            <w:gridSpan w:val="3"/>
          </w:tcPr>
          <w:p>
            <w:pPr>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132,786,899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154,715,163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55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4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6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September 30, 2023 and December 31, 2022:</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6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8"/>
              </w:rPr>
              <w:t>U.S. Treasury securities and obligations of U.S. government corporations and agencies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3.72%</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2.97%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3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w:t>
      </w:r>
    </w:p>
    <w:p>
      <w:pPr>
        <w:sectPr>
          <w:pgSz w:w="11900" w:h="16949" w:orient="portrait"/>
          <w:cols w:equalWidth="0" w:num="1">
            <w:col w:w="11240"/>
          </w:cols>
          <w:pgMar w:left="320" w:top="125" w:right="339" w:bottom="0" w:gutter="0" w:footer="0" w:header="0"/>
        </w:sectPr>
      </w:pPr>
    </w:p>
    <w:bookmarkStart w:id="46" w:name="page47"/>
    <w:bookmarkEnd w:id="46"/>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2023 and December 31, 2022, 62% and 65%, respectively, of the investment portfolio recorded at fair value was priced based upon quoted market prices.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September 30,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10"/>
          </w:tcPr>
          <w:p>
            <w:pPr>
              <w:jc w:val="right"/>
              <w:ind w:right="86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w w:val="95"/>
              </w:rPr>
              <w:t>Estimated</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5"/>
          </w:tcPr>
          <w:p>
            <w:pPr>
              <w:ind w:left="100"/>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Held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6"/>
        </w:trPr>
        <w:tc>
          <w:tcPr>
            <w:tcW w:w="24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obligations of U.S. government</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$ 8,167,845</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(56,835)</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8,167,845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(56,835)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Political subdivisions of States,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12,414,354</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(4,201,015)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12,414,354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(4,201,015)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69,465,238</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(8,651,516)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69,465,238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(8,651,516)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Residential mortgage and other</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204,418</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(5,987)</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38,962,381</w:t>
            </w:r>
          </w:p>
        </w:tc>
        <w:tc>
          <w:tcPr>
            <w:tcW w:w="2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(8,821,223)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39,166,799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(8,827,210)</w:t>
            </w:r>
          </w:p>
        </w:tc>
        <w:tc>
          <w:tcPr>
            <w:tcW w:w="0" w:type="dxa"/>
            <w:vAlign w:val="bottom"/>
          </w:tcPr>
          <w:p>
            <w:pPr>
              <w:spacing w:after="0"/>
              <w:rPr>
                <w:sz w:val="1"/>
                <w:szCs w:val="1"/>
                <w:color w:val="auto"/>
              </w:rPr>
            </w:pPr>
          </w:p>
        </w:tc>
      </w:tr>
      <w:tr>
        <w:trPr>
          <w:trHeight w:val="217"/>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$ 8,372,263</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(62,822)</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$ 120,841,973</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(21,673,754)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129,214,236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(21,736,576)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December 31, 2022</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10"/>
          </w:tcPr>
          <w:p>
            <w:pPr>
              <w:jc w:val="right"/>
              <w:ind w:right="82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3"/>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obligations of U.S. government</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1"/>
              </w:rPr>
              <w:t>$ 18,918,196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Political subdivisions of States,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7,970,633</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(2,195,273)</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5,170,753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56,910,104</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(5,796,994)</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15,172,381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Residential mortgage and other</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5"/>
              </w:rPr>
              <w:t>10,145,880</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(882,664)</w:t>
            </w:r>
          </w:p>
        </w:tc>
        <w:tc>
          <w:tcPr>
            <w:tcW w:w="98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8"/>
              </w:rPr>
              <w:t>34,753,178</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(8,033,467)</w:t>
            </w:r>
          </w:p>
        </w:tc>
        <w:tc>
          <w:tcPr>
            <w:tcW w:w="0" w:type="dxa"/>
            <w:vAlign w:val="bottom"/>
          </w:tcPr>
          <w:p>
            <w:pPr>
              <w:spacing w:after="0"/>
              <w:rPr>
                <w:sz w:val="1"/>
                <w:szCs w:val="1"/>
                <w:color w:val="auto"/>
              </w:rPr>
            </w:pPr>
          </w:p>
        </w:tc>
      </w:tr>
      <w:tr>
        <w:trPr>
          <w:trHeight w:val="217"/>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980" w:type="dxa"/>
            <w:vAlign w:val="bottom"/>
            <w:tcBorders>
              <w:right w:val="single" w:sz="8" w:color="CCEEFF"/>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1"/>
              </w:rPr>
              <w:t>$ 93,944,813</w:t>
            </w: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 (8,881,859)</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$ 55,096,312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(11,381,282)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149,041,125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(20,263,141)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w w:val="99"/>
              </w:rPr>
              <w:t>73</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1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were 150 securities at September 30, 2023 that accounted for the gross unrealized loss of our fixed-maturity securities available-for-sale, none of which were deemed to be credit losses by us. There were 155 securities at December 31, 2022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w:t>
      </w:r>
    </w:p>
    <w:p>
      <w:pPr>
        <w:sectPr>
          <w:pgSz w:w="11900" w:h="16971" w:orient="portrait"/>
          <w:cols w:equalWidth="0" w:num="1">
            <w:col w:w="11240"/>
          </w:cols>
          <w:pgMar w:left="320" w:top="125" w:right="339" w:bottom="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primary source of cash flow for our holding company are dividends and distributions received from KICO, which are subject to statutory restrictions. For the nine months ended September 30, 2023, KICO paid a dividend of $1,250,000 to us. As of September 30, 2023, KICO had a negative unassigned surplus and currently will not be able to pay any distributions to us without prior regulatory approval. In September 2023, KICO received regulatory approval and paid us a $2,700,000 distribution from paid in capital.</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KICO is a member of the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June 30, 2023, and are due and payable within 90 days of borrowing. The maximum allowable advance as of September 30, 2023, based on the net admitted assets as of June 30, 2023, was approximately $13,268,000. Available collateral as of September 30, 2023 was approximately $10,911,000. Advances are limited to 85% of the amount of available collateral. There were no borrowings under this facility during the nine months ended September 30, 2023.</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15, 2022, we issued $19,950,000 of our 2022 Notes pursuant to the Exchange Agreement. We are required to make a mandatory redemption payment with regard to the 2022 Notes on December 30, 2023 in an amount discussed in Note 7 – Debt of the condensed consolidated financial statements included in this Quarterly Report. We are also required to make semi-annual interest payments in arrears on June 30 and December 30 of each year. The maturity date of the 2022 Notes is December 30,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Nine Months ended September 30,</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flows (used in) provided by:</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2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(15,754,344)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(7,921,438)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19,755,073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(825,988)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(1,656,865)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3,174,741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(9,179,392)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11,958,228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24,290,598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$ 15,132,969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$ 15,111,206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used in operating activities was $15,754,000 in Nine Months 2023 as compared to $7,921,000 used in operating activities in Nine Months 2022. The $7,833,000 increase in cash flows used in operating activities in Nine Months 2023 as compared to Nine Months 2022 was primarily the result of an increase in cash arising from net fluctuations in operating assets and liabilities, partially offset by a decrease in net loss (adjusted for non-cash items) of $597,000. The increase in cash used in operating activities is also partially offset by the payment of $13,245,000 to reinsurers in Nine Months 2022 pursuant to the inception of our quota share reinsurance treaty, effective December 31, 2021. The net fluctuations in assets and liabilities are related to operating activities of KICO as affected by growth or declines in its operations, payments on claims and other changes, which are described above.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$19,755,000 in Nine Months 2023 compared to $399,000 provided by investing activities in Nine Months 2022 resulting in a $19,356,000 increase in net cash provided by investing activities. In Nine Months 2023, we had net cash provided by our investment portfolio of $21,135,000, compared to $3,741,000 provided in Nine Months 2022. In addition, we decreased our acquisition of fixed assets by $1,962,000 in Nine Months 2023 compared to Nine Months 2022.</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financing activities was $826,000 in Nine Months 2023 compared to $1,657,000 used in Nine Months 2022. The $831,000 decrease in net cash used in financing activities was attributable to no dividends being paid to shareholders in Nine Months 2023 compared to $1,277,000 being paid in Nine Months 2022 and a $378,000 decrease in withholding taxes paid on the vesting of restricted stock awards. The decreases in cash used in financing activities were partially offset by $810,000 of principal payments on the equipment financing in connection with KICO’s sale-leaseback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which primarily consists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entered into new excess of loss and catastrophe reinsurance treaties effective July 1, 2023. Effective January 1, 2022, we entered into an underlying excess of loss reinsurance treaty (“Underlying XOL Treaty”) covering the period from January 1, 2022 through January 1, 2023. The Underlying XOL Treaty provides 50% reinsurance coverage for losses of $400,000 in excess of $600,000. Losses from named storms are excluded from the Underlying XOL Treaty. Effective January 1, 2023, the Underlying XOL Treaty was renewed covering the period from January 1, 2023 through January 1, 2024. Material terms for our reinsurance treaties in effect for the treaty years shown below are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125" w:right="3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9"/>
              </w:rPr>
              <w:t>Treaty Period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January 2,</w:t>
            </w:r>
          </w:p>
        </w:tc>
        <w:tc>
          <w:tcPr>
            <w:tcW w:w="80" w:type="dxa"/>
            <w:vAlign w:val="bottom"/>
          </w:tcPr>
          <w:p>
            <w:pPr>
              <w:spacing w:after="0"/>
              <w:rPr>
                <w:sz w:val="18"/>
                <w:szCs w:val="18"/>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2023/2024 Treaty</w:t>
            </w:r>
          </w:p>
        </w:tc>
        <w:tc>
          <w:tcPr>
            <w:tcW w:w="10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July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January 1,</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July 1,</w:t>
            </w:r>
          </w:p>
        </w:tc>
        <w:tc>
          <w:tcPr>
            <w:tcW w:w="11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8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44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126"/>
        </w:trPr>
        <w:tc>
          <w:tcPr>
            <w:tcW w:w="44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2024</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448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4"/>
          </w:tcPr>
          <w:p>
            <w:pPr>
              <w:spacing w:after="0"/>
              <w:rPr>
                <w:sz w:val="20"/>
                <w:szCs w:val="20"/>
                <w:color w:val="auto"/>
              </w:rPr>
            </w:pPr>
            <w:r>
              <w:rPr>
                <w:rFonts w:ascii="Arial" w:cs="Arial" w:eastAsia="Arial" w:hAnsi="Arial"/>
                <w:sz w:val="18"/>
                <w:szCs w:val="18"/>
                <w:color w:val="auto"/>
              </w:rPr>
              <w:t>Homeowners, dwelling fire and canine legal liability</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4"/>
          </w:tcPr>
          <w:p>
            <w:pPr>
              <w:ind w:left="16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Percent ceded (7)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60"/>
              <w:spacing w:after="0"/>
              <w:rPr>
                <w:sz w:val="20"/>
                <w:szCs w:val="20"/>
                <w:color w:val="auto"/>
              </w:rPr>
            </w:pPr>
            <w:r>
              <w:rPr>
                <w:rFonts w:ascii="Arial" w:cs="Arial" w:eastAsia="Arial" w:hAnsi="Arial"/>
                <w:sz w:val="18"/>
                <w:szCs w:val="18"/>
                <w:color w:val="auto"/>
              </w:rPr>
              <w:t>Risk retained on intial $1,000,000 of losses (5) (6)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2"/>
        </w:trPr>
        <w:tc>
          <w:tcPr>
            <w:tcW w:w="44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Losses per occurrence subject to quota share reinsurance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coverage</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gridSpan w:val="4"/>
            <w:shd w:val="clear" w:color="auto" w:fill="CCEEFF"/>
          </w:tcPr>
          <w:p>
            <w:pPr>
              <w:ind w:left="44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7"/>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7"/>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7"/>
              </w:rPr>
              <w:t>January 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2023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5"/>
              </w:rPr>
              <w:t>Excess of loss coverage and facultative facility coverage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 (5) (6)</w:t>
            </w:r>
          </w:p>
        </w:tc>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8,400,000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 excess of</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 (5) (6)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60"/>
              <w:spacing w:after="0"/>
              <w:rPr>
                <w:sz w:val="20"/>
                <w:szCs w:val="20"/>
                <w:color w:val="auto"/>
              </w:rPr>
            </w:pPr>
            <w:r>
              <w:rPr>
                <w:rFonts w:ascii="Arial" w:cs="Arial" w:eastAsia="Arial" w:hAnsi="Arial"/>
                <w:sz w:val="18"/>
                <w:szCs w:val="18"/>
                <w:color w:val="auto"/>
                <w:w w:val="97"/>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Expiration date (6)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June 30, 2024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June 30,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June 30, 2023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26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ind w:left="160"/>
              <w:spacing w:after="0"/>
              <w:rPr>
                <w:sz w:val="20"/>
                <w:szCs w:val="20"/>
                <w:color w:val="auto"/>
              </w:rPr>
            </w:pPr>
            <w:r>
              <w:rPr>
                <w:rFonts w:ascii="Arial" w:cs="Arial" w:eastAsia="Arial" w:hAnsi="Arial"/>
                <w:sz w:val="18"/>
                <w:szCs w:val="18"/>
                <w:color w:val="auto"/>
                <w:w w:val="94"/>
              </w:rPr>
              <w:t>Initial loss subject to personal lines quota share treaty (6)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Risk retained per catastrophe occurrence (6) (7)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7,400,000</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60"/>
              <w:spacing w:after="0"/>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in excess of quota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ind w:left="300"/>
              <w:spacing w:after="0"/>
              <w:rPr>
                <w:sz w:val="20"/>
                <w:szCs w:val="20"/>
                <w:color w:val="auto"/>
              </w:rPr>
            </w:pPr>
            <w:r>
              <w:rPr>
                <w:rFonts w:ascii="Arial" w:cs="Arial" w:eastAsia="Arial" w:hAnsi="Arial"/>
                <w:sz w:val="18"/>
                <w:szCs w:val="18"/>
                <w:color w:val="auto"/>
              </w:rPr>
              <w:t>coverage (2) (6)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315,000,000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315,000,000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335,000,000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335,000,000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490,000,000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ind w:left="160"/>
              <w:spacing w:after="0"/>
              <w:rPr>
                <w:sz w:val="20"/>
                <w:szCs w:val="20"/>
                <w:color w:val="auto"/>
              </w:rPr>
            </w:pPr>
            <w:r>
              <w:rPr>
                <w:rFonts w:ascii="Arial" w:cs="Arial" w:eastAsia="Arial" w:hAnsi="Arial"/>
                <w:sz w:val="18"/>
                <w:szCs w:val="18"/>
                <w:color w:val="auto"/>
              </w:rPr>
              <w:t>Reinstatement premium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protection (3) (4)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Yes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Yes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right="20" w:hanging="447"/>
        <w:spacing w:after="0" w:line="274"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September 30, 2024.</w:t>
      </w:r>
    </w:p>
    <w:p>
      <w:pPr>
        <w:ind w:left="900" w:hanging="447"/>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hanging="447"/>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jc w:val="both"/>
        <w:ind w:left="900" w:hanging="447"/>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 For the period July 1, 2023 through June 30, 2024, reinstatement premium protection for $12,500,000 of catastrophe coverage in excess of $10,000,000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left="900" w:hanging="447"/>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p>
      <w:pPr>
        <w:spacing w:after="0" w:line="2" w:lineRule="exact"/>
        <w:rPr>
          <w:rFonts w:ascii="Arial" w:cs="Arial" w:eastAsia="Arial" w:hAnsi="Arial"/>
          <w:sz w:val="18"/>
          <w:szCs w:val="18"/>
          <w:color w:val="auto"/>
        </w:rPr>
      </w:pPr>
    </w:p>
    <w:p>
      <w:pPr>
        <w:jc w:val="both"/>
        <w:ind w:left="900" w:right="20" w:hanging="447"/>
        <w:spacing w:after="0" w:line="28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2024; reinsurance coverage in effect from January 2, 2024 through June 30, 2024 is only for excess of loss and catastrophe reinsurance treaties.</w:t>
      </w:r>
    </w:p>
    <w:p>
      <w:pPr>
        <w:spacing w:after="0" w:line="1" w:lineRule="exact"/>
        <w:rPr>
          <w:rFonts w:ascii="Arial" w:cs="Arial" w:eastAsia="Arial" w:hAnsi="Arial"/>
          <w:sz w:val="16"/>
          <w:szCs w:val="16"/>
          <w:color w:val="auto"/>
        </w:rPr>
      </w:pPr>
    </w:p>
    <w:p>
      <w:pPr>
        <w:ind w:left="900" w:hanging="447"/>
        <w:spacing w:after="0" w:line="265"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2023</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July 1, 2021</w:t>
            </w:r>
          </w:p>
        </w:tc>
        <w:tc>
          <w:tcPr>
            <w:tcW w:w="1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2024</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20"/>
                <w:szCs w:val="20"/>
                <w:color w:val="auto"/>
              </w:rPr>
            </w:pPr>
          </w:p>
        </w:tc>
      </w:tr>
      <w:tr>
        <w:trPr>
          <w:trHeight w:val="411"/>
        </w:trPr>
        <w:tc>
          <w:tcPr>
            <w:tcW w:w="72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2024</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2023</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9"/>
              </w:rPr>
              <w:t>June 30, 2022</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1" w:right="3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Commercial Lines (1)</w:t>
      </w:r>
    </w:p>
    <w:p>
      <w:pPr>
        <w:spacing w:after="0" w:line="225"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Nine Months 2023 included continuing economic inflation, which resulted in a sustained increase in interest rates, a widening of credit spreads, lower public equity valuations, and significant financial market volatility. The higher interest rates and widening of credit spreads previously reduced the value of our fixed income securities, saw a reversal which had previously lowered our stockholders’ equity materially in prior quarters. For Nine Months 2023, the continuing economic inflation impacted our loss and loss adjustment expenses as well; should these trends continue in the near-term, it would in all likelihood negatively impact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September 30, 2023,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ectPr>
          <w:pgSz w:w="11900" w:h="16838" w:orient="portrait"/>
          <w:cols w:equalWidth="0" w:num="1">
            <w:col w:w="11240"/>
          </w:cols>
          <w:pgMar w:left="320" w:top="125" w:right="339" w:bottom="0" w:gutter="0" w:footer="0" w:header="0"/>
        </w:sectPr>
      </w:pPr>
    </w:p>
    <w:bookmarkStart w:id="50" w:name="page51"/>
    <w:bookmarkEnd w:id="50"/>
    <w:p>
      <w:pPr>
        <w:jc w:val="both"/>
        <w:ind w:firstLine="607"/>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2022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2022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920" w:hanging="467"/>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5"/>
            <w:shd w:val="clear" w:color="auto" w:fill="CCEEFF"/>
          </w:tcPr>
          <w:p>
            <w:pPr>
              <w:spacing w:after="0"/>
              <w:rPr>
                <w:rFonts w:ascii="Arial" w:cs="Arial" w:eastAsia="Arial" w:hAnsi="Arial"/>
                <w:sz w:val="18"/>
                <w:szCs w:val="18"/>
                <w:color w:val="0000EE"/>
              </w:rPr>
            </w:pPr>
            <w:hyperlink r:id="rId94">
              <w:r>
                <w:rPr>
                  <w:rFonts w:ascii="Arial" w:cs="Arial" w:eastAsia="Arial" w:hAnsi="Arial"/>
                  <w:sz w:val="18"/>
                  <w:szCs w:val="18"/>
                  <w:color w:val="0000EE"/>
                </w:rPr>
                <w:t>3(a)</w:t>
              </w:r>
            </w:hyperlink>
          </w:p>
        </w:tc>
        <w:tc>
          <w:tcPr>
            <w:tcW w:w="10120" w:type="dxa"/>
            <w:vAlign w:val="bottom"/>
            <w:gridSpan w:val="7"/>
            <w:shd w:val="clear" w:color="auto" w:fill="CCEEFF"/>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Restated Certificate of Incorporation, as amended (incorporated by reference to Exhibit 3(a) to the Company’s Quarterly Report on Form</w:t>
              </w:r>
            </w:hyperlink>
          </w:p>
        </w:tc>
      </w:tr>
      <w:tr>
        <w:trPr>
          <w:trHeight w:val="217"/>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10-Q for the period ended March 31, 2014 filed on May 15, 2014).</w:t>
              </w:r>
            </w:hyperlink>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2"/>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5"/>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3(b)</w:t>
              </w:r>
            </w:hyperlink>
          </w:p>
        </w:tc>
        <w:tc>
          <w:tcPr>
            <w:tcW w:w="10120" w:type="dxa"/>
            <w:vAlign w:val="bottom"/>
            <w:gridSpan w:val="7"/>
            <w:shd w:val="clear" w:color="auto" w:fill="CCEEFF"/>
          </w:tcPr>
          <w:p>
            <w:pPr>
              <w:spacing w:after="0" w:line="17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By-laws, as amended (incorporated by reference to Exhibit 3.1 to the Company’s Current Report on Form 8-K filed on November 9, 2009).</w:t>
              </w:r>
            </w:hyperlink>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2"/>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31(a)</w:t>
            </w: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3"/>
              </w:rPr>
              <w:t>Rule 13a-14(a)/15d-14(a) Certification of Chief Executive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2"/>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31(b)</w:t>
            </w: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3"/>
              </w:rPr>
              <w:t>Rule 13a-14(a)/15d-14(a) Certification of Chief Financial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2"/>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50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 Adopted Pursuant to Section</w:t>
            </w:r>
          </w:p>
        </w:tc>
      </w:tr>
      <w:tr>
        <w:trPr>
          <w:trHeight w:val="216"/>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tcBorders>
            <w:gridSpan w:val="7"/>
            <w:shd w:val="clear" w:color="auto" w:fill="CCEEFF"/>
          </w:tcPr>
          <w:p>
            <w:pPr>
              <w:spacing w:after="0" w:line="196" w:lineRule="exact"/>
              <w:rPr>
                <w:sz w:val="20"/>
                <w:szCs w:val="20"/>
                <w:color w:val="auto"/>
              </w:rPr>
            </w:pPr>
            <w:r>
              <w:rPr>
                <w:rFonts w:ascii="Arial" w:cs="Arial" w:eastAsia="Arial" w:hAnsi="Arial"/>
                <w:sz w:val="18"/>
                <w:szCs w:val="18"/>
                <w:color w:val="0000EE"/>
              </w:rPr>
              <w:t>906 of the Sarbanes-Oxley Act of 2002</w:t>
            </w: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20" w:type="dxa"/>
            <w:vAlign w:val="bottom"/>
            <w:tcBorders>
              <w:top w:val="single" w:sz="8" w:color="0000EE"/>
            </w:tcBorders>
            <w:gridSpan w:val="2"/>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101.CAL</w:t>
            </w:r>
          </w:p>
        </w:tc>
        <w:tc>
          <w:tcPr>
            <w:tcW w:w="940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8"/>
              </w:rPr>
              <w:t>101.DEF</w:t>
            </w:r>
          </w:p>
        </w:tc>
        <w:tc>
          <w:tcPr>
            <w:tcW w:w="94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940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jc w:val="both"/>
        <w:ind w:left="460" w:right="20" w:hanging="452"/>
        <w:spacing w:after="0" w:line="34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w:t>
      </w:r>
    </w:p>
    <w:p>
      <w:pPr>
        <w:sectPr>
          <w:pgSz w:w="11900" w:h="16838" w:orient="portrait"/>
          <w:cols w:equalWidth="0" w:num="1">
            <w:col w:w="11240"/>
          </w:cols>
          <w:pgMar w:left="320" w:top="341" w:right="339" w:bottom="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t>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140" w:type="dxa"/>
            <w:vAlign w:val="bottom"/>
            <w:gridSpan w:val="2"/>
          </w:tcPr>
          <w:p>
            <w:pPr>
              <w:ind w:left="188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20, 2023</w:t>
            </w:r>
          </w:p>
        </w:tc>
        <w:tc>
          <w:tcPr>
            <w:tcW w:w="6140" w:type="dxa"/>
            <w:vAlign w:val="bottom"/>
            <w:gridSpan w:val="2"/>
          </w:tcPr>
          <w:p>
            <w:pPr>
              <w:ind w:left="1880"/>
              <w:spacing w:after="0"/>
              <w:rPr>
                <w:sz w:val="20"/>
                <w:szCs w:val="20"/>
                <w:color w:val="auto"/>
              </w:rPr>
            </w:pPr>
            <w:r>
              <w:rPr>
                <w:rFonts w:ascii="Arial" w:cs="Arial" w:eastAsia="Arial" w:hAnsi="Arial"/>
                <w:sz w:val="18"/>
                <w:szCs w:val="18"/>
                <w:color w:val="auto"/>
              </w:rPr>
              <w:t>By:  /s/ Meryl Golden</w:t>
            </w:r>
          </w:p>
        </w:tc>
        <w:tc>
          <w:tcPr>
            <w:tcW w:w="13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Meryl Golden</w:t>
            </w:r>
          </w:p>
        </w:tc>
        <w:tc>
          <w:tcPr>
            <w:tcW w:w="13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20, 2023</w:t>
            </w:r>
          </w:p>
        </w:tc>
        <w:tc>
          <w:tcPr>
            <w:tcW w:w="6140" w:type="dxa"/>
            <w:vAlign w:val="bottom"/>
            <w:gridSpan w:val="2"/>
          </w:tcPr>
          <w:p>
            <w:pPr>
              <w:ind w:left="1880"/>
              <w:spacing w:after="0"/>
              <w:rPr>
                <w:sz w:val="20"/>
                <w:szCs w:val="20"/>
                <w:color w:val="auto"/>
              </w:rPr>
            </w:pPr>
            <w:r>
              <w:rPr>
                <w:rFonts w:ascii="Arial" w:cs="Arial" w:eastAsia="Arial" w:hAnsi="Arial"/>
                <w:sz w:val="18"/>
                <w:szCs w:val="18"/>
                <w:color w:val="auto"/>
              </w:rPr>
              <w:t>By:  /s/ Jennifer Gravelle</w:t>
            </w:r>
          </w:p>
        </w:tc>
        <w:tc>
          <w:tcPr>
            <w:tcW w:w="13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Gravelle</w:t>
            </w:r>
          </w:p>
        </w:tc>
        <w:tc>
          <w:tcPr>
            <w:tcW w:w="13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20"/>
                <w:szCs w:val="20"/>
                <w:color w:val="auto"/>
              </w:rPr>
            </w:pPr>
          </w:p>
        </w:tc>
      </w:tr>
      <w:tr>
        <w:trPr>
          <w:trHeight w:val="648"/>
        </w:trPr>
        <w:tc>
          <w:tcPr>
            <w:tcW w:w="3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81</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ind w:left="10000"/>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Meryl Golden, certify that:</w:t>
      </w:r>
    </w:p>
    <w:p>
      <w:pPr>
        <w:spacing w:after="0" w:line="22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Meryl Golden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Gravelle, certify that:</w:t>
      </w:r>
    </w:p>
    <w:p>
      <w:pPr>
        <w:spacing w:after="0" w:line="22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Jennifer Gravelle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Dated: November 20, 2023</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Meryl Golden</w:t>
            </w:r>
          </w:p>
        </w:tc>
      </w:tr>
      <w:tr>
        <w:trPr>
          <w:trHeight w:val="195"/>
        </w:trPr>
        <w:tc>
          <w:tcPr>
            <w:tcW w:w="59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Meryl Golden</w:t>
            </w:r>
          </w:p>
        </w:tc>
      </w:tr>
      <w:tr>
        <w:trPr>
          <w:trHeight w:val="230"/>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9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Gravelle</w:t>
            </w:r>
          </w:p>
        </w:tc>
      </w:tr>
      <w:tr>
        <w:trPr>
          <w:trHeight w:val="195"/>
        </w:trPr>
        <w:tc>
          <w:tcPr>
            <w:tcW w:w="59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Jennifer Gravelle</w:t>
            </w:r>
          </w:p>
        </w:tc>
      </w:tr>
      <w:tr>
        <w:trPr>
          <w:trHeight w:val="230"/>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upperLetter"/>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4" Type="http://schemas.openxmlformats.org/officeDocument/2006/relationships/hyperlink" Target="http://www.sec.gov/Archives/edgar/data/33992/000135448814002619/kins_ex3a.htm" TargetMode="External"/><Relationship Id="rId95"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2023-11-20T15:03:51Z</dcterms:created>
  <dcterms:modified xsi:type="dcterms:W3CDTF">2023-11-20T15:03:51Z</dcterms:modified>
</cp:coreProperties>
</file>