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14A</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(Rule 14a-101)</w:t>
      </w:r>
    </w:p>
    <w:p>
      <w:pPr>
        <w:jc w:val="center"/>
        <w:ind w:right="-1100"/>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14A INFORMATION</w:t>
      </w: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auto"/>
        </w:rPr>
        <w:t>Proxy Statement Pursuant to Section 14(a) of the Securities Exchange Act of 1934</w:t>
      </w:r>
    </w:p>
    <w:p>
      <w:pPr>
        <w:spacing w:after="0" w:line="43"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(Amendment No. )</w:t>
      </w:r>
    </w:p>
    <w:p>
      <w:pPr>
        <w:sectPr>
          <w:pgSz w:w="11900" w:h="16838" w:orient="portrait"/>
          <w:cols w:equalWidth="0" w:num="1">
            <w:col w:w="10139"/>
          </w:cols>
          <w:pgMar w:left="320" w:top="220" w:right="1440" w:bottom="1440" w:gutter="0" w:footer="0" w:header="0"/>
        </w:sect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2">
            <w:col w:w="4300" w:space="720"/>
            <w:col w:w="5119"/>
          </w:cols>
          <w:pgMar w:left="320" w:top="220" w:right="1440"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139"/>
          </w:cols>
          <w:pgMar w:left="320" w:top="220" w:right="1440" w:bottom="1440" w:gutter="0" w:footer="0" w:header="0"/>
          <w:type w:val="continuous"/>
        </w:sectPr>
      </w:pPr>
    </w:p>
    <w:p>
      <w:pPr>
        <w:spacing w:after="0" w:line="24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3719" w:firstLine="8"/>
        <w:spacing w:after="0" w:line="216" w:lineRule="exact"/>
        <w:tabs>
          <w:tab w:leader="none" w:pos="50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0" w:lineRule="exact"/>
        <w:rPr>
          <w:sz w:val="24"/>
          <w:szCs w:val="24"/>
          <w:color w:val="auto"/>
        </w:rPr>
      </w:pPr>
    </w:p>
    <w:p>
      <w:pPr>
        <w:spacing w:after="0" w:line="26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KINGSTONE COMPANIES, INC.</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(Name of Registrant as Specified in its Charter)</w:t>
      </w:r>
    </w:p>
    <w:p>
      <w:pPr>
        <w:spacing w:after="0" w:line="200" w:lineRule="exact"/>
        <w:rPr>
          <w:sz w:val="24"/>
          <w:szCs w:val="24"/>
          <w:color w:val="auto"/>
        </w:rPr>
      </w:pPr>
    </w:p>
    <w:p>
      <w:pPr>
        <w:spacing w:after="0" w:line="258" w:lineRule="exact"/>
        <w:rPr>
          <w:sz w:val="24"/>
          <w:szCs w:val="24"/>
          <w:color w:val="auto"/>
        </w:rPr>
      </w:pPr>
    </w:p>
    <w:p>
      <w:pPr>
        <w:ind w:left="2440"/>
        <w:spacing w:after="0"/>
        <w:rPr>
          <w:sz w:val="20"/>
          <w:szCs w:val="20"/>
          <w:color w:val="auto"/>
        </w:rPr>
      </w:pPr>
      <w:r>
        <w:rPr>
          <w:rFonts w:ascii="Arial" w:cs="Arial" w:eastAsia="Arial" w:hAnsi="Arial"/>
          <w:sz w:val="19"/>
          <w:szCs w:val="19"/>
          <w:color w:val="auto"/>
        </w:rPr>
        <w:t>(Name of Person(s) Filing Proxy Statement, if Other Than the Registrant)</w:t>
      </w: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880" w:hanging="872"/>
        <w:spacing w:after="0"/>
        <w:tabs>
          <w:tab w:leader="none" w:pos="8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880" w:hanging="872"/>
        <w:spacing w:after="0"/>
        <w:tabs>
          <w:tab w:leader="none" w:pos="8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KINGSTONE COMPANIES,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15 Joys Lane</w:t>
      </w:r>
    </w:p>
    <w:p>
      <w:pPr>
        <w:jc w:val="center"/>
        <w:spacing w:after="0"/>
        <w:rPr>
          <w:sz w:val="20"/>
          <w:szCs w:val="20"/>
          <w:color w:val="auto"/>
        </w:rPr>
      </w:pPr>
      <w:r>
        <w:rPr>
          <w:rFonts w:ascii="Arial" w:cs="Arial" w:eastAsia="Arial" w:hAnsi="Arial"/>
          <w:sz w:val="22"/>
          <w:szCs w:val="22"/>
          <w:b w:val="1"/>
          <w:bCs w:val="1"/>
          <w:color w:val="auto"/>
        </w:rPr>
        <w:t>Kingston, New York 12401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 BE HELD ON AUGUST 9, 2023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 Kingstone Companies, Inc.:</w:t>
      </w:r>
    </w:p>
    <w:p>
      <w:pPr>
        <w:spacing w:after="0" w:line="23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Meeting of Stockholders of Kingstone Companies, Inc.,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“we”), will be held on August 9, 2023, at 15 Joys Lane, Kingston, New York 12401, at 9:00 a.m., for the following purposes:</w:t>
      </w:r>
    </w:p>
    <w:p>
      <w:pPr>
        <w:spacing w:after="0" w:line="193"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directors for the coming year.</w:t>
      </w:r>
    </w:p>
    <w:p>
      <w:pPr>
        <w:spacing w:after="0" w:line="252" w:lineRule="exact"/>
        <w:rPr>
          <w:rFonts w:ascii="Arial" w:cs="Arial" w:eastAsia="Arial" w:hAnsi="Arial"/>
          <w:sz w:val="18"/>
          <w:szCs w:val="18"/>
          <w:color w:val="auto"/>
        </w:rPr>
      </w:pPr>
    </w:p>
    <w:p>
      <w:pPr>
        <w:ind w:left="1300" w:hanging="320"/>
        <w:spacing w:after="0" w:line="30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amendment to the Company’s Amended and Restated 2014 Equity Participation Plan (the “2014 Plan”) to increase the number of shares of common stock authorized to be issued pursuant to the 2014 Plan from 1,400,000 to 1,900,000.</w:t>
      </w:r>
    </w:p>
    <w:p>
      <w:pPr>
        <w:spacing w:after="0" w:line="173"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Marcum LLP as the Company’s independent registered public accounting firm for the fiscal year ending December 31, 2023.</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 non-binding advisory vote to approve the Company’s executive compensation.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Only stockholders of record at the close of business on June 15, 2023, are entitled to notice of and to vote at the meeting or at any adjournment thereof.</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w:t>
      </w:r>
      <w:r>
        <w:rPr>
          <w:rFonts w:ascii="Arial" w:cs="Arial" w:eastAsia="Arial" w:hAnsi="Arial"/>
          <w:sz w:val="18"/>
          <w:szCs w:val="18"/>
          <w:color w:val="auto"/>
        </w:rPr>
        <w:t>We are sending a Notice of Internet Availability of Proxy Materials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to our stockholders of record and beneficial owners, unless they have directed us to provide the materials in a different manner. The Notice provides instructions on how to access and review all of the important information contained in this proxy statement, as well as how to submit a proxy by telephone or over the Internet. If you receive the Notice and would still like to receive a printed copy of our proxy materials, instructions for requesting these materials are included in the Notice. The Company plans to mail the Notice to stockholders by June 29, 2023. The proxy statement and the Company’s Annual Report on Form 10-K for the year ended December 31, 2022, are available electronically to the Company’s stockholders of record as of the close of business on June 15, 2023,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Floyd R. Tupper</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i w:val="1"/>
          <w:iCs w:val="1"/>
          <w:color w:val="auto"/>
        </w:rPr>
        <w:t>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Kingston,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June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245110</wp:posOffset>
            </wp:positionV>
            <wp:extent cx="7127875" cy="1127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7875" cy="1127125"/>
                    </a:xfrm>
                    <a:prstGeom prst="rect">
                      <a:avLst/>
                    </a:prstGeom>
                    <a:noFill/>
                  </pic:spPr>
                </pic:pic>
              </a:graphicData>
            </a:graphic>
          </wp:anchor>
        </w:drawing>
        <w:t>WHETHER OR NOT YOU PLAN TO ATTEND THE MEETING, PLEASE SUBMIT YOUR PROXY OR VOTING INSTRUCTIONS AS SOON AS POSSIBLE. FOR SPECIFIC INSTRUCTIONS ON HOW TO VOTE YOUR SHARES, PLEASE REFER TO THE INSTRUCTIONS IN THE NOTICE REGARDING THE AVAILABILITY OF PROXY MATERIALS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IN PERSON. THOSE VOTING BY INTERNET OR BY TELEPHONE MAY ALSO REVOKE THEIR PROXY BY VOTING IN PERSON AT THE MEETING OR BY VOTING AND SUBMITTING THEIR PROXY AT A LATER TIME 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124460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91"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KINGSTONE COMPANIES,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15 Joys Lane</w:t>
      </w:r>
    </w:p>
    <w:p>
      <w:pPr>
        <w:jc w:val="center"/>
        <w:spacing w:after="0" w:line="230" w:lineRule="auto"/>
        <w:rPr>
          <w:sz w:val="20"/>
          <w:szCs w:val="20"/>
          <w:color w:val="auto"/>
        </w:rPr>
      </w:pPr>
      <w:r>
        <w:rPr>
          <w:rFonts w:ascii="Arial" w:cs="Arial" w:eastAsia="Arial" w:hAnsi="Arial"/>
          <w:sz w:val="22"/>
          <w:szCs w:val="22"/>
          <w:b w:val="1"/>
          <w:bCs w:val="1"/>
          <w:color w:val="auto"/>
        </w:rPr>
        <w:t>Kingston, New York 12401</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SOLICITING, VOTING AND REVOCABILITY OF PROXY</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proxy statement is being made available to all stockholders of record at the close of business on June 15, 2023, in connection with the solicitation by the Board of Directors of proxies to be voted at the Annual Meeting of Stockholders to be held on August 9, 2023, at 9:00 a.m., local time, or any adjournment thereof. Proxy materials for the Annual Meeting of Stockholders were made available to stockholders on or about June 29, 2023.</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All shares represented by proxies duly executed and received will be voted on the matters presented at the meeting in accordance with the instructions specified in such proxies. Proxies so received without specified instructions will be voted as follows:</w:t>
      </w:r>
    </w:p>
    <w:p>
      <w:pPr>
        <w:spacing w:after="0" w:line="216" w:lineRule="exact"/>
        <w:rPr>
          <w:sz w:val="20"/>
          <w:szCs w:val="20"/>
          <w:color w:val="auto"/>
        </w:rPr>
      </w:pPr>
    </w:p>
    <w:p>
      <w:pPr>
        <w:ind w:left="1460" w:hanging="480"/>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nominees named in the proxy to our Board of Directors;</w:t>
      </w:r>
    </w:p>
    <w:p>
      <w:pPr>
        <w:spacing w:after="0" w:line="252" w:lineRule="exact"/>
        <w:rPr>
          <w:rFonts w:ascii="Arial" w:cs="Arial" w:eastAsia="Arial" w:hAnsi="Arial"/>
          <w:sz w:val="18"/>
          <w:szCs w:val="18"/>
          <w:color w:val="auto"/>
        </w:rPr>
      </w:pPr>
    </w:p>
    <w:p>
      <w:pPr>
        <w:ind w:left="1460" w:hanging="480"/>
        <w:spacing w:after="0" w:line="312" w:lineRule="auto"/>
        <w:tabs>
          <w:tab w:leader="none" w:pos="14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proposal to approve an amendment to our Amended and Restated 2014 Equity Participation Plan (the “2014 Plan”) to</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the number of shares of common stock authorized to be issued pursuant to the 2014 Plan from 1,400,000 to 1,900,000;</w:t>
      </w:r>
    </w:p>
    <w:p>
      <w:pPr>
        <w:spacing w:after="0" w:line="166" w:lineRule="exact"/>
        <w:rPr>
          <w:rFonts w:ascii="Arial" w:cs="Arial" w:eastAsia="Arial" w:hAnsi="Arial"/>
          <w:sz w:val="17"/>
          <w:szCs w:val="17"/>
          <w:color w:val="auto"/>
        </w:rPr>
      </w:pPr>
    </w:p>
    <w:p>
      <w:pPr>
        <w:ind w:left="1460" w:hanging="480"/>
        <w:spacing w:after="0" w:line="282"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Marcum LLP as our independent registered public accounting firm for the fiscal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2023;</w:t>
      </w:r>
    </w:p>
    <w:p>
      <w:pPr>
        <w:spacing w:after="0" w:line="188" w:lineRule="exact"/>
        <w:rPr>
          <w:rFonts w:ascii="Arial" w:cs="Arial" w:eastAsia="Arial" w:hAnsi="Arial"/>
          <w:sz w:val="18"/>
          <w:szCs w:val="18"/>
          <w:color w:val="auto"/>
        </w:rPr>
      </w:pPr>
    </w:p>
    <w:p>
      <w:pPr>
        <w:ind w:left="1460" w:hanging="480"/>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compensation of our named executive officers.</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the approval of the amendment to the 2014 Plan and the advisory vote on the approval of executive compensation are considered “non-routine” matters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 named in the enclosed proxy will have discretionary authority to vote all proxies not marked to the contrary with respect to such matters in accordance with his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firstLine="648"/>
        <w:spacing w:after="0" w:line="249" w:lineRule="auto"/>
        <w:rPr>
          <w:sz w:val="20"/>
          <w:szCs w:val="20"/>
          <w:color w:val="auto"/>
        </w:rPr>
      </w:pPr>
      <w:r>
        <w:rPr>
          <w:rFonts w:ascii="Arial" w:cs="Arial" w:eastAsia="Arial" w:hAnsi="Arial"/>
          <w:sz w:val="21"/>
          <w:szCs w:val="21"/>
          <w:color w:val="auto"/>
        </w:rPr>
        <w:t>The total number of shares of common stock outstanding and entitled to vote as of the close of business on June 15, 2023 was 10,755,964. Our common stock is the only class of securities entitled to vote on matters presented to our stockholders, each share being entitled to one vote. A majority of the shares of common stock outstanding and entitled to vote as of the close of business on June 15, 2023, or 5,377,983 shares of common stock, must be present at the meeting in person or by proxy in order to constitute a quorum for the transaction of business.</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(six) multiplied by the number of shares he is entitled to vote. A stockholder may therefore cast his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15, 2023, will be entitled to vote. With regard to the election of directors, votes may be cast in favor or withheld. The directors shall be elected by a plurality of the votes cast in favor. Accordingly, based upon there being six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Stockholders may expressly abstain from voting on Proposals 2, 3 and 4 by so indicating on the proxy. Abstentions are counted as present in the tabulation of votes on Proposals 2, 3 and 4. Since each of Proposals 2, 3 and 4 requires the affirmative approval of a majority of the shares of common stock present in person or represented by proxy at the meeting and entitled to vote (assuming a quorum is present at the meeting), abstentions will have the effect of a negative vote while broker non-votes will have no effect.</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in person while in attendance at the meeting. However, a stockholder who attends the meeting need not revoke a proxy given and vote in person unless the stockholder wishes to do so. Written revocations or amended proxies should be sent to us at 15 Joys Lane, Kingston, New York 12401, Attention: Corporate Secretary. Those voting by Internet or by telephone may also revoke their proxy by voting in person at the meeting or by voting and submitting their proxy at a later time by Internet or by telephone.</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both"/>
        <w:ind w:firstLine="648"/>
        <w:spacing w:after="0" w:line="238" w:lineRule="auto"/>
        <w:rPr>
          <w:sz w:val="20"/>
          <w:szCs w:val="20"/>
          <w:color w:val="auto"/>
        </w:rPr>
      </w:pPr>
      <w:r>
        <w:rPr>
          <w:rFonts w:ascii="Arial" w:cs="Arial" w:eastAsia="Arial" w:hAnsi="Arial"/>
          <w:sz w:val="22"/>
          <w:szCs w:val="22"/>
          <w:color w:val="auto"/>
        </w:rPr>
        <w:t>A list of stockholders entitled to vote at the meeting will be available for examination by any stockholder for any purpose germane to the meeting, during ordinary business hours, for ten days prior to the meeting, at our offices located at 15 Joys Lane, Kingston, New York 12401, and also during the whole time of the meeting for inspection by any stockholder who is present. To contact us, stockholders should call (845) 802-7900.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Summary Compensation Table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sets forth certain information concerning the compensation for the fiscal years ended December 31, 2022 and 2021, for certain executive officers, including our Chief Executive Officer (“CEO”) (collectively, the “Named Executive Officers” or “NEOs”):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Non-Equity</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Stock</w:t>
            </w:r>
          </w:p>
        </w:tc>
        <w:tc>
          <w:tcPr>
            <w:tcW w:w="10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Option</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Incentive Plan</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1060" w:type="dxa"/>
            <w:vAlign w:val="bottom"/>
          </w:tcPr>
          <w:p>
            <w:pPr>
              <w:spacing w:after="0"/>
              <w:rPr>
                <w:sz w:val="18"/>
                <w:szCs w:val="18"/>
                <w:color w:val="auto"/>
              </w:rPr>
            </w:pPr>
          </w:p>
        </w:tc>
      </w:tr>
      <w:tr>
        <w:trPr>
          <w:trHeight w:val="241"/>
        </w:trPr>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Name and Principal Position</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Year</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Salary</w:t>
            </w:r>
          </w:p>
        </w:tc>
        <w:tc>
          <w:tcPr>
            <w:tcW w:w="9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Bonus</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Awards(1)</w:t>
            </w:r>
          </w:p>
        </w:tc>
        <w:tc>
          <w:tcPr>
            <w:tcW w:w="10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Awards(1)</w:t>
            </w: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Compensation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340" w:type="dxa"/>
            <w:vAlign w:val="bottom"/>
            <w:shd w:val="clear" w:color="auto" w:fill="CCECFF"/>
          </w:tcPr>
          <w:p>
            <w:pPr>
              <w:spacing w:after="0"/>
              <w:rPr>
                <w:sz w:val="20"/>
                <w:szCs w:val="20"/>
                <w:color w:val="auto"/>
              </w:rPr>
            </w:pPr>
            <w:r>
              <w:rPr>
                <w:rFonts w:ascii="Arial" w:cs="Arial" w:eastAsia="Arial" w:hAnsi="Arial"/>
                <w:sz w:val="18"/>
                <w:szCs w:val="18"/>
                <w:color w:val="auto"/>
              </w:rPr>
              <w:t>Barry B. Goldstein</w:t>
            </w:r>
          </w:p>
        </w:tc>
        <w:tc>
          <w:tcPr>
            <w:tcW w:w="6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$500,000</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$136,500(2)</w:t>
            </w:r>
          </w:p>
        </w:tc>
        <w:tc>
          <w:tcPr>
            <w:tcW w:w="4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$24,200(7)</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$660,700</w:t>
            </w:r>
          </w:p>
        </w:tc>
      </w:tr>
      <w:tr>
        <w:trPr>
          <w:trHeight w:val="202"/>
        </w:trPr>
        <w:tc>
          <w:tcPr>
            <w:tcW w:w="2340" w:type="dxa"/>
            <w:vAlign w:val="bottom"/>
            <w:shd w:val="clear" w:color="auto" w:fill="CCECFF"/>
          </w:tcPr>
          <w:p>
            <w:pPr>
              <w:ind w:left="140"/>
              <w:spacing w:after="0" w:line="201" w:lineRule="exact"/>
              <w:rPr>
                <w:sz w:val="20"/>
                <w:szCs w:val="20"/>
                <w:color w:val="auto"/>
              </w:rPr>
            </w:pPr>
            <w:r>
              <w:rPr>
                <w:rFonts w:ascii="Arial" w:cs="Arial" w:eastAsia="Arial" w:hAnsi="Arial"/>
                <w:sz w:val="18"/>
                <w:szCs w:val="18"/>
                <w:color w:val="auto"/>
              </w:rPr>
              <w:t>Chief Executive Officer;</w:t>
            </w:r>
          </w:p>
        </w:tc>
        <w:tc>
          <w:tcPr>
            <w:tcW w:w="64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500" w:type="dxa"/>
            <w:vAlign w:val="bottom"/>
            <w:shd w:val="clear" w:color="auto" w:fill="CCECFF"/>
          </w:tcPr>
          <w:p>
            <w:pPr>
              <w:spacing w:after="0"/>
              <w:rPr>
                <w:sz w:val="17"/>
                <w:szCs w:val="17"/>
                <w:color w:val="auto"/>
              </w:rPr>
            </w:pPr>
          </w:p>
        </w:tc>
        <w:tc>
          <w:tcPr>
            <w:tcW w:w="136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r>
      <w:tr>
        <w:trPr>
          <w:trHeight w:val="216"/>
        </w:trPr>
        <w:tc>
          <w:tcPr>
            <w:tcW w:w="23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Executive Chairman of</w:t>
            </w:r>
          </w:p>
        </w:tc>
        <w:tc>
          <w:tcPr>
            <w:tcW w:w="6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$500,000</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$1,386,500(3)</w:t>
            </w:r>
          </w:p>
        </w:tc>
        <w:tc>
          <w:tcPr>
            <w:tcW w:w="4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$34,935(8)</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$1,921,435</w:t>
            </w:r>
          </w:p>
        </w:tc>
      </w:tr>
      <w:tr>
        <w:trPr>
          <w:trHeight w:val="230"/>
        </w:trPr>
        <w:tc>
          <w:tcPr>
            <w:tcW w:w="23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the Board</w:t>
            </w:r>
          </w:p>
        </w:tc>
        <w:tc>
          <w:tcPr>
            <w:tcW w:w="640" w:type="dxa"/>
            <w:vAlign w:val="bottom"/>
            <w:shd w:val="clear" w:color="auto" w:fill="CCECFF"/>
          </w:tcPr>
          <w:p>
            <w:pPr>
              <w:spacing w:after="0"/>
              <w:rPr>
                <w:sz w:val="20"/>
                <w:szCs w:val="20"/>
                <w:color w:val="auto"/>
              </w:rPr>
            </w:pPr>
          </w:p>
        </w:tc>
        <w:tc>
          <w:tcPr>
            <w:tcW w:w="940" w:type="dxa"/>
            <w:vAlign w:val="bottom"/>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500" w:type="dxa"/>
            <w:vAlign w:val="bottom"/>
            <w:shd w:val="clear" w:color="auto" w:fill="CCECFF"/>
          </w:tcPr>
          <w:p>
            <w:pPr>
              <w:spacing w:after="0"/>
              <w:rPr>
                <w:sz w:val="20"/>
                <w:szCs w:val="20"/>
                <w:color w:val="auto"/>
              </w:rPr>
            </w:pPr>
          </w:p>
        </w:tc>
        <w:tc>
          <w:tcPr>
            <w:tcW w:w="136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700" w:type="dxa"/>
            <w:vAlign w:val="bottom"/>
            <w:shd w:val="clear" w:color="auto" w:fill="CCECFF"/>
          </w:tcPr>
          <w:p>
            <w:pPr>
              <w:spacing w:after="0"/>
              <w:rPr>
                <w:sz w:val="20"/>
                <w:szCs w:val="20"/>
                <w:color w:val="auto"/>
              </w:rPr>
            </w:pPr>
          </w:p>
        </w:tc>
        <w:tc>
          <w:tcPr>
            <w:tcW w:w="15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r>
      <w:tr>
        <w:trPr>
          <w:trHeight w:val="216"/>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340" w:type="dxa"/>
            <w:vAlign w:val="bottom"/>
            <w:shd w:val="clear" w:color="auto" w:fill="CCECFF"/>
          </w:tcPr>
          <w:p>
            <w:pPr>
              <w:spacing w:after="0"/>
              <w:rPr>
                <w:sz w:val="20"/>
                <w:szCs w:val="20"/>
                <w:color w:val="auto"/>
              </w:rPr>
            </w:pPr>
            <w:r>
              <w:rPr>
                <w:rFonts w:ascii="Arial" w:cs="Arial" w:eastAsia="Arial" w:hAnsi="Arial"/>
                <w:sz w:val="18"/>
                <w:szCs w:val="18"/>
                <w:color w:val="auto"/>
              </w:rPr>
              <w:t>Meryl S. Golden</w:t>
            </w:r>
          </w:p>
        </w:tc>
        <w:tc>
          <w:tcPr>
            <w:tcW w:w="6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$500,000</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$150,000(4)</w:t>
            </w:r>
          </w:p>
        </w:tc>
        <w:tc>
          <w:tcPr>
            <w:tcW w:w="4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$24,200(9)</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$674,200</w:t>
            </w:r>
          </w:p>
        </w:tc>
      </w:tr>
      <w:tr>
        <w:trPr>
          <w:trHeight w:val="202"/>
        </w:trPr>
        <w:tc>
          <w:tcPr>
            <w:tcW w:w="2340" w:type="dxa"/>
            <w:vAlign w:val="bottom"/>
            <w:shd w:val="clear" w:color="auto" w:fill="CCECFF"/>
          </w:tcPr>
          <w:p>
            <w:pPr>
              <w:ind w:left="140"/>
              <w:spacing w:after="0" w:line="201" w:lineRule="exact"/>
              <w:rPr>
                <w:sz w:val="20"/>
                <w:szCs w:val="20"/>
                <w:color w:val="auto"/>
              </w:rPr>
            </w:pPr>
            <w:r>
              <w:rPr>
                <w:rFonts w:ascii="Arial" w:cs="Arial" w:eastAsia="Arial" w:hAnsi="Arial"/>
                <w:sz w:val="18"/>
                <w:szCs w:val="18"/>
                <w:color w:val="auto"/>
              </w:rPr>
              <w:t>Chief Operating Officer;</w:t>
            </w:r>
          </w:p>
        </w:tc>
        <w:tc>
          <w:tcPr>
            <w:tcW w:w="64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500" w:type="dxa"/>
            <w:vAlign w:val="bottom"/>
            <w:shd w:val="clear" w:color="auto" w:fill="CCECFF"/>
          </w:tcPr>
          <w:p>
            <w:pPr>
              <w:spacing w:after="0"/>
              <w:rPr>
                <w:sz w:val="17"/>
                <w:szCs w:val="17"/>
                <w:color w:val="auto"/>
              </w:rPr>
            </w:pPr>
          </w:p>
        </w:tc>
        <w:tc>
          <w:tcPr>
            <w:tcW w:w="136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r>
      <w:tr>
        <w:trPr>
          <w:trHeight w:val="216"/>
        </w:trPr>
        <w:tc>
          <w:tcPr>
            <w:tcW w:w="23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President, Kingstone</w:t>
            </w:r>
          </w:p>
        </w:tc>
        <w:tc>
          <w:tcPr>
            <w:tcW w:w="6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$500,000</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$211,020(5)</w:t>
            </w:r>
          </w:p>
        </w:tc>
        <w:tc>
          <w:tcPr>
            <w:tcW w:w="4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$23,600(10)</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$734,620</w:t>
            </w:r>
          </w:p>
        </w:tc>
      </w:tr>
      <w:tr>
        <w:trPr>
          <w:trHeight w:val="230"/>
        </w:trPr>
        <w:tc>
          <w:tcPr>
            <w:tcW w:w="23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Insurance Company</w:t>
            </w:r>
          </w:p>
        </w:tc>
        <w:tc>
          <w:tcPr>
            <w:tcW w:w="640" w:type="dxa"/>
            <w:vAlign w:val="bottom"/>
            <w:shd w:val="clear" w:color="auto" w:fill="CCECFF"/>
          </w:tcPr>
          <w:p>
            <w:pPr>
              <w:spacing w:after="0"/>
              <w:rPr>
                <w:sz w:val="20"/>
                <w:szCs w:val="20"/>
                <w:color w:val="auto"/>
              </w:rPr>
            </w:pPr>
          </w:p>
        </w:tc>
        <w:tc>
          <w:tcPr>
            <w:tcW w:w="940" w:type="dxa"/>
            <w:vAlign w:val="bottom"/>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500" w:type="dxa"/>
            <w:vAlign w:val="bottom"/>
            <w:shd w:val="clear" w:color="auto" w:fill="CCECFF"/>
          </w:tcPr>
          <w:p>
            <w:pPr>
              <w:spacing w:after="0"/>
              <w:rPr>
                <w:sz w:val="20"/>
                <w:szCs w:val="20"/>
                <w:color w:val="auto"/>
              </w:rPr>
            </w:pPr>
          </w:p>
        </w:tc>
        <w:tc>
          <w:tcPr>
            <w:tcW w:w="136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700" w:type="dxa"/>
            <w:vAlign w:val="bottom"/>
            <w:shd w:val="clear" w:color="auto" w:fill="CCECFF"/>
          </w:tcPr>
          <w:p>
            <w:pPr>
              <w:spacing w:after="0"/>
              <w:rPr>
                <w:sz w:val="20"/>
                <w:szCs w:val="20"/>
                <w:color w:val="auto"/>
              </w:rPr>
            </w:pPr>
          </w:p>
        </w:tc>
        <w:tc>
          <w:tcPr>
            <w:tcW w:w="15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r>
      <w:tr>
        <w:trPr>
          <w:trHeight w:val="216"/>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340" w:type="dxa"/>
            <w:vAlign w:val="bottom"/>
            <w:shd w:val="clear" w:color="auto" w:fill="CCECFF"/>
          </w:tcPr>
          <w:p>
            <w:pPr>
              <w:spacing w:after="0"/>
              <w:rPr>
                <w:sz w:val="20"/>
                <w:szCs w:val="20"/>
                <w:color w:val="auto"/>
              </w:rPr>
            </w:pPr>
            <w:r>
              <w:rPr>
                <w:rFonts w:ascii="Arial" w:cs="Arial" w:eastAsia="Arial" w:hAnsi="Arial"/>
                <w:sz w:val="18"/>
                <w:szCs w:val="18"/>
                <w:color w:val="auto"/>
              </w:rPr>
              <w:t>Sarah (Minlei) Chen</w:t>
            </w:r>
          </w:p>
        </w:tc>
        <w:tc>
          <w:tcPr>
            <w:tcW w:w="6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$306,620</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$6,994(11)</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$313,614</w:t>
            </w:r>
          </w:p>
        </w:tc>
      </w:tr>
      <w:tr>
        <w:trPr>
          <w:trHeight w:val="202"/>
        </w:trPr>
        <w:tc>
          <w:tcPr>
            <w:tcW w:w="2340" w:type="dxa"/>
            <w:vAlign w:val="bottom"/>
          </w:tcPr>
          <w:p>
            <w:pPr>
              <w:ind w:left="140"/>
              <w:spacing w:after="0" w:line="201" w:lineRule="exact"/>
              <w:rPr>
                <w:sz w:val="20"/>
                <w:szCs w:val="20"/>
                <w:color w:val="auto"/>
              </w:rPr>
            </w:pPr>
            <w:r>
              <w:rPr>
                <w:rFonts w:ascii="Arial" w:cs="Arial" w:eastAsia="Arial" w:hAnsi="Arial"/>
                <w:sz w:val="18"/>
                <w:szCs w:val="18"/>
                <w:color w:val="auto"/>
              </w:rPr>
              <w:t>Chief Actuary,</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340" w:type="dxa"/>
            <w:vAlign w:val="bottom"/>
          </w:tcPr>
          <w:p>
            <w:pPr>
              <w:ind w:left="180"/>
              <w:spacing w:after="0"/>
              <w:rPr>
                <w:sz w:val="20"/>
                <w:szCs w:val="20"/>
                <w:color w:val="auto"/>
              </w:rPr>
            </w:pPr>
            <w:r>
              <w:rPr>
                <w:rFonts w:ascii="Arial" w:cs="Arial" w:eastAsia="Arial" w:hAnsi="Arial"/>
                <w:sz w:val="18"/>
                <w:szCs w:val="18"/>
                <w:color w:val="auto"/>
              </w:rPr>
              <w:t>Senior Vice President,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340" w:type="dxa"/>
            <w:vAlign w:val="bottom"/>
          </w:tcPr>
          <w:p>
            <w:pPr>
              <w:ind w:left="180"/>
              <w:spacing w:after="0"/>
              <w:rPr>
                <w:sz w:val="20"/>
                <w:szCs w:val="20"/>
                <w:color w:val="auto"/>
              </w:rPr>
            </w:pPr>
            <w:r>
              <w:rPr>
                <w:rFonts w:ascii="Arial" w:cs="Arial" w:eastAsia="Arial" w:hAnsi="Arial"/>
                <w:sz w:val="18"/>
                <w:szCs w:val="18"/>
                <w:color w:val="auto"/>
              </w:rPr>
              <w:t>Kingstone Insurance</w:t>
            </w:r>
          </w:p>
        </w:tc>
        <w:tc>
          <w:tcPr>
            <w:tcW w:w="640" w:type="dxa"/>
            <w:vAlign w:val="bottom"/>
          </w:tcPr>
          <w:p>
            <w:pPr>
              <w:ind w:left="140"/>
              <w:spacing w:after="0"/>
              <w:rPr>
                <w:sz w:val="20"/>
                <w:szCs w:val="20"/>
                <w:color w:val="auto"/>
              </w:rPr>
            </w:pPr>
            <w:r>
              <w:rPr>
                <w:rFonts w:ascii="Arial" w:cs="Arial" w:eastAsia="Arial" w:hAnsi="Arial"/>
                <w:sz w:val="18"/>
                <w:szCs w:val="18"/>
                <w:color w:val="auto"/>
              </w:rPr>
              <w:t>2021</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$267,515</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$40,000</w:t>
            </w:r>
          </w:p>
        </w:tc>
        <w:tc>
          <w:tcPr>
            <w:tcW w:w="1360" w:type="dxa"/>
            <w:vAlign w:val="bottom"/>
          </w:tcPr>
          <w:p>
            <w:pPr>
              <w:jc w:val="right"/>
              <w:spacing w:after="0"/>
              <w:rPr>
                <w:sz w:val="20"/>
                <w:szCs w:val="20"/>
                <w:color w:val="auto"/>
              </w:rPr>
            </w:pPr>
            <w:r>
              <w:rPr>
                <w:rFonts w:ascii="Arial" w:cs="Arial" w:eastAsia="Arial" w:hAnsi="Arial"/>
                <w:sz w:val="18"/>
                <w:szCs w:val="18"/>
                <w:color w:val="auto"/>
              </w:rPr>
              <w:t>$36,520(6)</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$6,588(11)</w:t>
            </w:r>
          </w:p>
        </w:tc>
        <w:tc>
          <w:tcPr>
            <w:tcW w:w="1060" w:type="dxa"/>
            <w:vAlign w:val="bottom"/>
          </w:tcPr>
          <w:p>
            <w:pPr>
              <w:jc w:val="right"/>
              <w:spacing w:after="0"/>
              <w:rPr>
                <w:sz w:val="20"/>
                <w:szCs w:val="20"/>
                <w:color w:val="auto"/>
              </w:rPr>
            </w:pPr>
            <w:r>
              <w:rPr>
                <w:rFonts w:ascii="Arial" w:cs="Arial" w:eastAsia="Arial" w:hAnsi="Arial"/>
                <w:sz w:val="18"/>
                <w:szCs w:val="18"/>
                <w:color w:val="auto"/>
              </w:rPr>
              <w:t>$350,623</w:t>
            </w:r>
          </w:p>
        </w:tc>
      </w:tr>
      <w:tr>
        <w:trPr>
          <w:trHeight w:val="230"/>
        </w:trPr>
        <w:tc>
          <w:tcPr>
            <w:tcW w:w="2340" w:type="dxa"/>
            <w:vAlign w:val="bottom"/>
          </w:tcPr>
          <w:p>
            <w:pPr>
              <w:ind w:left="180"/>
              <w:spacing w:after="0"/>
              <w:rPr>
                <w:sz w:val="20"/>
                <w:szCs w:val="20"/>
                <w:color w:val="auto"/>
              </w:rPr>
            </w:pPr>
            <w:r>
              <w:rPr>
                <w:rFonts w:ascii="Arial" w:cs="Arial" w:eastAsia="Arial" w:hAnsi="Arial"/>
                <w:sz w:val="18"/>
                <w:szCs w:val="18"/>
                <w:color w:val="auto"/>
              </w:rPr>
              <w:t>Company</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702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w:t>
      </w:r>
    </w:p>
    <w:p>
      <w:pPr>
        <w:spacing w:after="0" w:line="213" w:lineRule="exact"/>
        <w:rPr>
          <w:sz w:val="20"/>
          <w:szCs w:val="20"/>
          <w:color w:val="auto"/>
        </w:rPr>
      </w:pPr>
    </w:p>
    <w:p>
      <w:pPr>
        <w:jc w:val="both"/>
        <w:ind w:left="860" w:hanging="527"/>
        <w:spacing w:after="0" w:line="25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2022, available electronically to our stockholders.</w:t>
      </w:r>
    </w:p>
    <w:p>
      <w:pPr>
        <w:spacing w:after="0" w:line="186" w:lineRule="exact"/>
        <w:rPr>
          <w:rFonts w:ascii="Arial" w:cs="Arial" w:eastAsia="Arial" w:hAnsi="Arial"/>
          <w:sz w:val="18"/>
          <w:szCs w:val="18"/>
          <w:color w:val="auto"/>
        </w:rPr>
      </w:pPr>
    </w:p>
    <w:p>
      <w:pPr>
        <w:jc w:val="both"/>
        <w:ind w:left="860" w:hanging="527"/>
        <w:spacing w:after="0" w:line="311"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January 2022, Mr. Goldstein was granted 27,300 shares of restricted common stock under the 2014 Plan. Such grant vests to the extent of 13,650 shares as of December 29, 2023, and 13,650 shares as of December 30, 2024. See “Termination of Employment and Change-in-Control Arrangements – Barry B. Goldstein” below for a discussion of certain provisions relating to the restricted stock granted to Mr. Goldstein.</w:t>
      </w:r>
    </w:p>
    <w:p>
      <w:pPr>
        <w:spacing w:after="0" w:line="148" w:lineRule="exact"/>
        <w:rPr>
          <w:rFonts w:ascii="Arial" w:cs="Arial" w:eastAsia="Arial" w:hAnsi="Arial"/>
          <w:sz w:val="16"/>
          <w:szCs w:val="16"/>
          <w:color w:val="auto"/>
        </w:rPr>
      </w:pPr>
    </w:p>
    <w:p>
      <w:pPr>
        <w:jc w:val="both"/>
        <w:ind w:left="860" w:hanging="527"/>
        <w:spacing w:after="0" w:line="279"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January 2021, Mr. Goldstein was granted an aggregate of 251,769 shares of restricted common stock under the 2014 Plan. Such grant vested to the extent of 125,885 shares as of the first anniversary of the date of grant and vests to the extent of 62,942 shares as of December 29, 2023, and 62,942 shares as of December 30, 2024. See “Termination of Employment and Change-in-Control Arrangements – Barry B. Goldstein” below for a discussion of certain provisions relating to the restricted stock granted to Mr. Goldstein.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both"/>
        <w:ind w:left="860" w:hanging="527"/>
        <w:spacing w:after="0" w:line="259"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January 2022, Ms. Golden was granted 30,000 shares of restricted common stock under the 2014 Plan. Such grant vested to the extent of 10,000 shares as of the first anniversary of the date of grant and vests to the extent of 10,000 shares as of each of the second and third anniversaries of the date of grant. See “Termination of Employment and Change-in-Control Arrangements – Meryl Golden” below for a discussion of certain provisions relating to the restricted stock granted to Ms. Golden.</w:t>
      </w:r>
    </w:p>
    <w:p>
      <w:pPr>
        <w:spacing w:after="0" w:line="186" w:lineRule="exact"/>
        <w:rPr>
          <w:rFonts w:ascii="Arial" w:cs="Arial" w:eastAsia="Arial" w:hAnsi="Arial"/>
          <w:sz w:val="18"/>
          <w:szCs w:val="18"/>
          <w:color w:val="auto"/>
        </w:rPr>
      </w:pPr>
    </w:p>
    <w:p>
      <w:pPr>
        <w:jc w:val="both"/>
        <w:ind w:left="860" w:hanging="527"/>
        <w:spacing w:after="0" w:line="273"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January 2021, Ms. Golden was granted 30,000 shares of restricted common stock under the 2014 Plan. Such grant vested to the extent of 10,000 shares as of each of the first and second anniversaries of the date of grant and vests to the extent of 10,000 shares as of the third anniversary of the date of grant. In addition, in December 2021, Ms. Golden was granted 2,400 shares of restricted stock under the 2014 Plan. Such grant vested to the extent of 800 shares as of the first anniversary of the date of grant and vests to the extent of 800 shares as of each of the second and third anniversaries of the date of grant. See “Termination of Employment and Change-in-Control Arrangements – Meryl Golden” below for a discussion of certain provisions relating to the restricted stock granted to Ms. Golden.</w:t>
      </w:r>
    </w:p>
    <w:p>
      <w:pPr>
        <w:spacing w:after="0" w:line="177" w:lineRule="exact"/>
        <w:rPr>
          <w:rFonts w:ascii="Arial" w:cs="Arial" w:eastAsia="Arial" w:hAnsi="Arial"/>
          <w:sz w:val="17"/>
          <w:szCs w:val="17"/>
          <w:color w:val="auto"/>
        </w:rPr>
      </w:pPr>
    </w:p>
    <w:p>
      <w:pPr>
        <w:jc w:val="both"/>
        <w:ind w:left="860" w:hanging="527"/>
        <w:spacing w:after="0" w:line="273"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January 2021, Ms. Chen was granted 3,572 shares of restricted common stock under the 2014 Plan. Such grant vested to the extent of 1,191 shares as of each of the first and second anniversaries of the date of grant and vests to the extent of 1,190 shares as of the third anniversary of the date of grant. In addition, in December 2021, Ms. Chen was granted 2,400 shares of restricted stock under the 2014 Plan. Such grant vested to the extent of 800 shares as of the first anniversary of the date of grant and vests to the extent of 800 shares as of each of the second and third anniversaries of the date of grant. See “Termination of Employment and Change-in-Control Arrangements – Sarah (Minlei) Chen” below for a discussion of certain provisions relating to the restricted stock granted to Ms. Chen.</w:t>
      </w:r>
    </w:p>
    <w:p>
      <w:pPr>
        <w:spacing w:after="0" w:line="177" w:lineRule="exact"/>
        <w:rPr>
          <w:rFonts w:ascii="Arial" w:cs="Arial" w:eastAsia="Arial" w:hAnsi="Arial"/>
          <w:sz w:val="17"/>
          <w:szCs w:val="17"/>
          <w:color w:val="auto"/>
        </w:rPr>
      </w:pPr>
    </w:p>
    <w:p>
      <w:pPr>
        <w:ind w:left="860" w:hanging="5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defined contribution plan of $12,200 and a car allowance of $12,000.</w:t>
      </w:r>
    </w:p>
    <w:p>
      <w:pPr>
        <w:spacing w:after="0" w:line="225" w:lineRule="exact"/>
        <w:rPr>
          <w:rFonts w:ascii="Arial" w:cs="Arial" w:eastAsia="Arial" w:hAnsi="Arial"/>
          <w:sz w:val="18"/>
          <w:szCs w:val="18"/>
          <w:color w:val="auto"/>
        </w:rPr>
      </w:pPr>
    </w:p>
    <w:p>
      <w:pPr>
        <w:ind w:left="860" w:hanging="527"/>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deferred compensation plan (which was terminated in December 2022) of $11,335, employer matching contributions under our defined contribution plan of $11,600 and a car allowance of $12,000.</w:t>
      </w:r>
    </w:p>
    <w:p>
      <w:pPr>
        <w:spacing w:after="0" w:line="170" w:lineRule="exact"/>
        <w:rPr>
          <w:rFonts w:ascii="Arial" w:cs="Arial" w:eastAsia="Arial" w:hAnsi="Arial"/>
          <w:sz w:val="18"/>
          <w:szCs w:val="18"/>
          <w:color w:val="auto"/>
        </w:rPr>
      </w:pPr>
    </w:p>
    <w:p>
      <w:pPr>
        <w:ind w:left="860" w:hanging="5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defined contribution plan of $12,200 and a car allowance of $12,000.</w:t>
      </w:r>
    </w:p>
    <w:p>
      <w:pPr>
        <w:spacing w:after="0" w:line="225" w:lineRule="exact"/>
        <w:rPr>
          <w:sz w:val="20"/>
          <w:szCs w:val="20"/>
          <w:color w:val="auto"/>
        </w:rPr>
      </w:pPr>
    </w:p>
    <w:p>
      <w:pPr>
        <w:ind w:left="860" w:hanging="573"/>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defined contribution plan of $11,600 and a car allowance of $12,000.</w:t>
      </w:r>
    </w:p>
    <w:p>
      <w:pPr>
        <w:spacing w:after="0" w:line="225" w:lineRule="exact"/>
        <w:rPr>
          <w:rFonts w:ascii="Arial" w:cs="Arial" w:eastAsia="Arial" w:hAnsi="Arial"/>
          <w:sz w:val="18"/>
          <w:szCs w:val="18"/>
          <w:color w:val="auto"/>
        </w:rPr>
      </w:pPr>
    </w:p>
    <w:p>
      <w:pPr>
        <w:ind w:left="860" w:hanging="569"/>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defined contribution plan.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Pay Versus Performance (PvP) Table</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table below is provided in accordance with Item 402(v) of Regulation S-K. We are providing the following information about the relationship between executive compensation actually paid to our CEO and our other Named Executive Officers and certain financial performance of the Company for each of the fiscal years ended December 31, 2022 and 2021: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3"/>
              </w:rPr>
              <w:t>Value of Initial</w:t>
            </w:r>
          </w:p>
        </w:tc>
        <w:tc>
          <w:tcPr>
            <w:tcW w:w="14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Fixed $100 Investment</w:t>
            </w:r>
          </w:p>
        </w:tc>
        <w:tc>
          <w:tcPr>
            <w:tcW w:w="14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50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Summary</w:t>
            </w:r>
          </w:p>
        </w:tc>
        <w:tc>
          <w:tcPr>
            <w:tcW w:w="15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Average Summary</w:t>
            </w:r>
          </w:p>
        </w:tc>
        <w:tc>
          <w:tcPr>
            <w:tcW w:w="184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Based On</w:t>
            </w:r>
          </w:p>
        </w:tc>
        <w:tc>
          <w:tcPr>
            <w:tcW w:w="14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5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Compensation</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84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Compensation</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1420" w:type="dxa"/>
            <w:vAlign w:val="bottom"/>
          </w:tcPr>
          <w:p>
            <w:pPr>
              <w:spacing w:after="0"/>
              <w:rPr>
                <w:sz w:val="18"/>
                <w:szCs w:val="18"/>
                <w:color w:val="auto"/>
              </w:rPr>
            </w:pPr>
          </w:p>
        </w:tc>
      </w:tr>
      <w:tr>
        <w:trPr>
          <w:trHeight w:val="216"/>
        </w:trPr>
        <w:tc>
          <w:tcPr>
            <w:tcW w:w="10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Fiscal</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Table Total</w:t>
            </w: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Actually Paid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Table for</w:t>
            </w:r>
          </w:p>
        </w:tc>
        <w:tc>
          <w:tcPr>
            <w:tcW w:w="184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Actually Paid to</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Stockholder</w:t>
            </w:r>
          </w:p>
        </w:tc>
        <w:tc>
          <w:tcPr>
            <w:tcW w:w="1420" w:type="dxa"/>
            <w:vAlign w:val="bottom"/>
          </w:tcPr>
          <w:p>
            <w:pPr>
              <w:spacing w:after="0"/>
              <w:rPr>
                <w:sz w:val="18"/>
                <w:szCs w:val="18"/>
                <w:color w:val="auto"/>
              </w:rPr>
            </w:pPr>
          </w:p>
        </w:tc>
      </w:tr>
      <w:tr>
        <w:trPr>
          <w:trHeight w:val="24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for CEO(1)</w:t>
            </w:r>
          </w:p>
        </w:tc>
        <w:tc>
          <w:tcPr>
            <w:tcW w:w="1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to CEO(2)</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Non-CEO NEOs(3)</w:t>
            </w:r>
          </w:p>
        </w:tc>
        <w:tc>
          <w:tcPr>
            <w:tcW w:w="18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4"/>
              </w:rPr>
              <w:t>Non-CEO NEOs(4)</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Return(5)</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Net Loss(6)</w:t>
            </w:r>
          </w:p>
        </w:tc>
      </w:tr>
      <w:tr>
        <w:trPr>
          <w:trHeight w:val="216"/>
        </w:trPr>
        <w:tc>
          <w:tcPr>
            <w:tcW w:w="10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2022</w:t>
            </w:r>
          </w:p>
        </w:tc>
        <w:tc>
          <w:tcPr>
            <w:tcW w:w="1500" w:type="dxa"/>
            <w:vAlign w:val="bottom"/>
            <w:shd w:val="clear" w:color="auto" w:fill="CCECFF"/>
          </w:tcPr>
          <w:p>
            <w:pPr>
              <w:jc w:val="right"/>
              <w:ind w:right="290"/>
              <w:spacing w:after="0"/>
              <w:rPr>
                <w:sz w:val="20"/>
                <w:szCs w:val="20"/>
                <w:color w:val="auto"/>
              </w:rPr>
            </w:pPr>
            <w:r>
              <w:rPr>
                <w:rFonts w:ascii="Arial" w:cs="Arial" w:eastAsia="Arial" w:hAnsi="Arial"/>
                <w:sz w:val="18"/>
                <w:szCs w:val="18"/>
                <w:color w:val="auto"/>
              </w:rPr>
              <w:t>$660,700</w:t>
            </w:r>
          </w:p>
        </w:tc>
        <w:tc>
          <w:tcPr>
            <w:tcW w:w="150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rPr>
              <w:t>$(64,300)</w:t>
            </w:r>
          </w:p>
        </w:tc>
        <w:tc>
          <w:tcPr>
            <w:tcW w:w="19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$493,907</w:t>
            </w:r>
          </w:p>
        </w:tc>
        <w:tc>
          <w:tcPr>
            <w:tcW w:w="1840" w:type="dxa"/>
            <w:vAlign w:val="bottom"/>
            <w:shd w:val="clear" w:color="auto" w:fill="CCECFF"/>
          </w:tcPr>
          <w:p>
            <w:pPr>
              <w:jc w:val="center"/>
              <w:ind w:left="70"/>
              <w:spacing w:after="0"/>
              <w:rPr>
                <w:sz w:val="20"/>
                <w:szCs w:val="20"/>
                <w:color w:val="auto"/>
              </w:rPr>
            </w:pPr>
            <w:r>
              <w:rPr>
                <w:rFonts w:ascii="Arial" w:cs="Arial" w:eastAsia="Arial" w:hAnsi="Arial"/>
                <w:sz w:val="18"/>
                <w:szCs w:val="18"/>
                <w:color w:val="auto"/>
                <w:w w:val="90"/>
              </w:rPr>
              <w:t>$387,280</w:t>
            </w:r>
          </w:p>
        </w:tc>
        <w:tc>
          <w:tcPr>
            <w:tcW w:w="20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$111.66</w:t>
            </w:r>
          </w:p>
        </w:tc>
        <w:tc>
          <w:tcPr>
            <w:tcW w:w="142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rPr>
              <w:t>$(22,524,794)</w:t>
            </w:r>
          </w:p>
        </w:tc>
      </w:tr>
      <w:tr>
        <w:trPr>
          <w:trHeight w:val="429"/>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$1,921,435</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$1,601,697</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$542,622</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87"/>
              </w:rPr>
              <w:t>$511,682</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$67.48</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$(7,378,301)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w:t>
      </w:r>
    </w:p>
    <w:p>
      <w:pPr>
        <w:spacing w:after="0" w:line="222" w:lineRule="exact"/>
        <w:rPr>
          <w:sz w:val="20"/>
          <w:szCs w:val="20"/>
          <w:color w:val="auto"/>
        </w:rPr>
      </w:pPr>
    </w:p>
    <w:p>
      <w:pPr>
        <w:ind w:left="860" w:hanging="527"/>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dollar amounts reported are the amounts of total compensation reported in the “Total” column of our Summary Compensation Table for Mr. Goldstein.</w:t>
      </w:r>
    </w:p>
    <w:p>
      <w:pPr>
        <w:spacing w:after="0" w:line="170" w:lineRule="exact"/>
        <w:rPr>
          <w:rFonts w:ascii="Arial" w:cs="Arial" w:eastAsia="Arial" w:hAnsi="Arial"/>
          <w:sz w:val="18"/>
          <w:szCs w:val="18"/>
          <w:color w:val="auto"/>
        </w:rPr>
      </w:pPr>
    </w:p>
    <w:p>
      <w:pPr>
        <w:jc w:val="both"/>
        <w:ind w:left="860" w:hanging="527"/>
        <w:spacing w:after="0" w:line="263"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“compensation actually paid,” as computed in accordance with SEC rules.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Less:</w:t>
            </w:r>
          </w:p>
        </w:tc>
        <w:tc>
          <w:tcPr>
            <w:tcW w:w="192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Plus:</w:t>
            </w:r>
          </w:p>
        </w:tc>
        <w:tc>
          <w:tcPr>
            <w:tcW w:w="24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Reported</w:t>
            </w:r>
          </w:p>
        </w:tc>
        <w:tc>
          <w:tcPr>
            <w:tcW w:w="2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Reported</w:t>
            </w:r>
          </w:p>
        </w:tc>
        <w:tc>
          <w:tcPr>
            <w:tcW w:w="192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Equity</w:t>
            </w:r>
          </w:p>
        </w:tc>
        <w:tc>
          <w:tcPr>
            <w:tcW w:w="246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Equals:</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2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Summary Compensation</w:t>
            </w:r>
          </w:p>
        </w:tc>
        <w:tc>
          <w:tcPr>
            <w:tcW w:w="20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Value of Equity</w:t>
            </w:r>
          </w:p>
        </w:tc>
        <w:tc>
          <w:tcPr>
            <w:tcW w:w="192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Award</w:t>
            </w:r>
          </w:p>
        </w:tc>
        <w:tc>
          <w:tcPr>
            <w:tcW w:w="246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Compensation Actually Paid</w:t>
            </w:r>
          </w:p>
        </w:tc>
      </w:tr>
      <w:tr>
        <w:trPr>
          <w:trHeight w:val="241"/>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Table Total for CEO</w:t>
            </w:r>
          </w:p>
        </w:tc>
        <w:tc>
          <w:tcPr>
            <w:tcW w:w="2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Awards(a)</w:t>
            </w:r>
          </w:p>
        </w:tc>
        <w:tc>
          <w:tcPr>
            <w:tcW w:w="19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0"/>
              </w:rPr>
              <w:t>Adjustments(b)</w:t>
            </w:r>
          </w:p>
        </w:tc>
        <w:tc>
          <w:tcPr>
            <w:tcW w:w="24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4"/>
              </w:rPr>
              <w:t>to CEO</w:t>
            </w:r>
          </w:p>
        </w:tc>
      </w:tr>
      <w:tr>
        <w:trPr>
          <w:trHeight w:val="216"/>
        </w:trPr>
        <w:tc>
          <w:tcPr>
            <w:tcW w:w="14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2022</w:t>
            </w:r>
          </w:p>
        </w:tc>
        <w:tc>
          <w:tcPr>
            <w:tcW w:w="2480" w:type="dxa"/>
            <w:vAlign w:val="bottom"/>
            <w:shd w:val="clear" w:color="auto" w:fill="CCECFF"/>
          </w:tcPr>
          <w:p>
            <w:pPr>
              <w:jc w:val="right"/>
              <w:ind w:right="890"/>
              <w:spacing w:after="0"/>
              <w:rPr>
                <w:sz w:val="20"/>
                <w:szCs w:val="20"/>
                <w:color w:val="auto"/>
              </w:rPr>
            </w:pPr>
            <w:r>
              <w:rPr>
                <w:rFonts w:ascii="Arial" w:cs="Arial" w:eastAsia="Arial" w:hAnsi="Arial"/>
                <w:sz w:val="18"/>
                <w:szCs w:val="18"/>
                <w:color w:val="auto"/>
              </w:rPr>
              <w:t>$660,700</w:t>
            </w:r>
          </w:p>
        </w:tc>
        <w:tc>
          <w:tcPr>
            <w:tcW w:w="2060" w:type="dxa"/>
            <w:vAlign w:val="bottom"/>
            <w:shd w:val="clear" w:color="auto" w:fill="CCECFF"/>
          </w:tcPr>
          <w:p>
            <w:pPr>
              <w:jc w:val="right"/>
              <w:ind w:right="670"/>
              <w:spacing w:after="0"/>
              <w:rPr>
                <w:sz w:val="20"/>
                <w:szCs w:val="20"/>
                <w:color w:val="auto"/>
              </w:rPr>
            </w:pPr>
            <w:r>
              <w:rPr>
                <w:rFonts w:ascii="Arial" w:cs="Arial" w:eastAsia="Arial" w:hAnsi="Arial"/>
                <w:sz w:val="18"/>
                <w:szCs w:val="18"/>
                <w:color w:val="auto"/>
              </w:rPr>
              <w:t>$136,500</w:t>
            </w:r>
          </w:p>
        </w:tc>
        <w:tc>
          <w:tcPr>
            <w:tcW w:w="1920" w:type="dxa"/>
            <w:vAlign w:val="bottom"/>
            <w:shd w:val="clear" w:color="auto" w:fill="CCECFF"/>
          </w:tcPr>
          <w:p>
            <w:pPr>
              <w:jc w:val="right"/>
              <w:ind w:right="330"/>
              <w:spacing w:after="0"/>
              <w:rPr>
                <w:sz w:val="20"/>
                <w:szCs w:val="20"/>
                <w:color w:val="auto"/>
              </w:rPr>
            </w:pPr>
            <w:r>
              <w:rPr>
                <w:rFonts w:ascii="Arial" w:cs="Arial" w:eastAsia="Arial" w:hAnsi="Arial"/>
                <w:sz w:val="18"/>
                <w:szCs w:val="18"/>
                <w:color w:val="auto"/>
              </w:rPr>
              <w:t>$(588,500)</w:t>
            </w:r>
          </w:p>
        </w:tc>
        <w:tc>
          <w:tcPr>
            <w:tcW w:w="2460" w:type="dxa"/>
            <w:vAlign w:val="bottom"/>
            <w:shd w:val="clear" w:color="auto" w:fill="CCECFF"/>
          </w:tcPr>
          <w:p>
            <w:pPr>
              <w:jc w:val="right"/>
              <w:ind w:right="690"/>
              <w:spacing w:after="0"/>
              <w:rPr>
                <w:sz w:val="20"/>
                <w:szCs w:val="20"/>
                <w:color w:val="auto"/>
              </w:rPr>
            </w:pPr>
            <w:r>
              <w:rPr>
                <w:rFonts w:ascii="Arial" w:cs="Arial" w:eastAsia="Arial" w:hAnsi="Arial"/>
                <w:sz w:val="18"/>
                <w:szCs w:val="18"/>
                <w:color w:val="auto"/>
              </w:rPr>
              <w:t>$(64,300)</w:t>
            </w:r>
          </w:p>
        </w:tc>
      </w:tr>
      <w:tr>
        <w:trPr>
          <w:trHeight w:val="216"/>
        </w:trPr>
        <w:tc>
          <w:tcPr>
            <w:tcW w:w="1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4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2021</w:t>
            </w:r>
          </w:p>
        </w:tc>
        <w:tc>
          <w:tcPr>
            <w:tcW w:w="2480" w:type="dxa"/>
            <w:vAlign w:val="bottom"/>
            <w:shd w:val="clear" w:color="auto" w:fill="CCECFF"/>
          </w:tcPr>
          <w:p>
            <w:pPr>
              <w:jc w:val="right"/>
              <w:ind w:right="810"/>
              <w:spacing w:after="0"/>
              <w:rPr>
                <w:sz w:val="20"/>
                <w:szCs w:val="20"/>
                <w:color w:val="auto"/>
              </w:rPr>
            </w:pPr>
            <w:r>
              <w:rPr>
                <w:rFonts w:ascii="Arial" w:cs="Arial" w:eastAsia="Arial" w:hAnsi="Arial"/>
                <w:sz w:val="18"/>
                <w:szCs w:val="18"/>
                <w:color w:val="auto"/>
              </w:rPr>
              <w:t>$1,921,435</w:t>
            </w:r>
          </w:p>
        </w:tc>
        <w:tc>
          <w:tcPr>
            <w:tcW w:w="2060" w:type="dxa"/>
            <w:vAlign w:val="bottom"/>
            <w:shd w:val="clear" w:color="auto" w:fill="CCECFF"/>
          </w:tcPr>
          <w:p>
            <w:pPr>
              <w:jc w:val="right"/>
              <w:ind w:right="610"/>
              <w:spacing w:after="0"/>
              <w:rPr>
                <w:sz w:val="20"/>
                <w:szCs w:val="20"/>
                <w:color w:val="auto"/>
              </w:rPr>
            </w:pPr>
            <w:r>
              <w:rPr>
                <w:rFonts w:ascii="Arial" w:cs="Arial" w:eastAsia="Arial" w:hAnsi="Arial"/>
                <w:sz w:val="18"/>
                <w:szCs w:val="18"/>
                <w:color w:val="auto"/>
              </w:rPr>
              <w:t>$1,386,500</w:t>
            </w:r>
          </w:p>
        </w:tc>
        <w:tc>
          <w:tcPr>
            <w:tcW w:w="1920" w:type="dxa"/>
            <w:vAlign w:val="bottom"/>
            <w:shd w:val="clear" w:color="auto" w:fill="CCECFF"/>
          </w:tcPr>
          <w:p>
            <w:pPr>
              <w:jc w:val="right"/>
              <w:ind w:right="330"/>
              <w:spacing w:after="0"/>
              <w:rPr>
                <w:sz w:val="20"/>
                <w:szCs w:val="20"/>
                <w:color w:val="auto"/>
              </w:rPr>
            </w:pPr>
            <w:r>
              <w:rPr>
                <w:rFonts w:ascii="Arial" w:cs="Arial" w:eastAsia="Arial" w:hAnsi="Arial"/>
                <w:sz w:val="18"/>
                <w:szCs w:val="18"/>
                <w:color w:val="auto"/>
              </w:rPr>
              <w:t>$1,066,762</w:t>
            </w:r>
          </w:p>
        </w:tc>
        <w:tc>
          <w:tcPr>
            <w:tcW w:w="2460" w:type="dxa"/>
            <w:vAlign w:val="bottom"/>
            <w:shd w:val="clear" w:color="auto" w:fill="CCECFF"/>
          </w:tcPr>
          <w:p>
            <w:pPr>
              <w:jc w:val="right"/>
              <w:ind w:right="630"/>
              <w:spacing w:after="0"/>
              <w:rPr>
                <w:sz w:val="20"/>
                <w:szCs w:val="20"/>
                <w:color w:val="auto"/>
              </w:rPr>
            </w:pPr>
            <w:r>
              <w:rPr>
                <w:rFonts w:ascii="Arial" w:cs="Arial" w:eastAsia="Arial" w:hAnsi="Arial"/>
                <w:sz w:val="18"/>
                <w:szCs w:val="18"/>
                <w:color w:val="auto"/>
              </w:rPr>
              <w:t>$1,601,697</w:t>
            </w:r>
          </w:p>
        </w:tc>
      </w:tr>
      <w:tr>
        <w:trPr>
          <w:trHeight w:val="230"/>
        </w:trPr>
        <w:tc>
          <w:tcPr>
            <w:tcW w:w="1400" w:type="dxa"/>
            <w:vAlign w:val="bottom"/>
          </w:tcPr>
          <w:p>
            <w:pPr>
              <w:jc w:val="right"/>
              <w:ind w:right="110"/>
              <w:spacing w:after="0"/>
              <w:rPr>
                <w:sz w:val="20"/>
                <w:szCs w:val="20"/>
                <w:color w:val="auto"/>
              </w:rPr>
            </w:pPr>
            <w:r>
              <w:rPr>
                <w:rFonts w:ascii="Arial" w:cs="Arial" w:eastAsia="Arial" w:hAnsi="Arial"/>
                <w:sz w:val="18"/>
                <w:szCs w:val="18"/>
                <w:color w:val="auto"/>
              </w:rPr>
              <w:t>_________</w:t>
            </w:r>
          </w:p>
        </w:tc>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214" w:lineRule="exact"/>
        <w:rPr>
          <w:sz w:val="20"/>
          <w:szCs w:val="20"/>
          <w:color w:val="auto"/>
        </w:rPr>
      </w:pPr>
    </w:p>
    <w:p>
      <w:pPr>
        <w:ind w:left="1640" w:hanging="661"/>
        <w:spacing w:after="0" w:line="277"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grant date fair value of equity awards represents the total of the amounts reported in the “Stock Awards” column in our Summary Compensation Table for the applicable year.</w:t>
      </w:r>
    </w:p>
    <w:p>
      <w:pPr>
        <w:spacing w:after="0" w:line="170" w:lineRule="exact"/>
        <w:rPr>
          <w:rFonts w:ascii="Arial" w:cs="Arial" w:eastAsia="Arial" w:hAnsi="Arial"/>
          <w:sz w:val="18"/>
          <w:szCs w:val="18"/>
          <w:color w:val="auto"/>
        </w:rPr>
      </w:pPr>
    </w:p>
    <w:p>
      <w:pPr>
        <w:jc w:val="both"/>
        <w:ind w:left="1640" w:hanging="661"/>
        <w:spacing w:after="0" w:line="291"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w:t>
      </w:r>
    </w:p>
    <w:p>
      <w:pPr>
        <w:jc w:val="both"/>
        <w:ind w:left="1640" w:hanging="8"/>
        <w:spacing w:after="0" w:line="253" w:lineRule="auto"/>
        <w:tabs>
          <w:tab w:leader="none" w:pos="192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There were no awards vested in the year they were granted. The amounts deducted or added in calculating the equity award adjustments are as follows:</w:t>
      </w:r>
    </w:p>
    <w:p>
      <w:pPr>
        <w:spacing w:after="0" w:line="214" w:lineRule="exact"/>
        <w:rPr>
          <w:sz w:val="20"/>
          <w:szCs w:val="20"/>
          <w:color w:val="auto"/>
        </w:rPr>
      </w:pPr>
    </w:p>
    <w:tbl>
      <w:tblPr>
        <w:tblLayout w:type="fixed"/>
        <w:tblInd w:w="1580" w:type="dxa"/>
        <w:tblCellMar>
          <w:top w:w="0" w:type="dxa"/>
          <w:left w:w="0" w:type="dxa"/>
          <w:bottom w:w="0" w:type="dxa"/>
          <w:right w:w="0" w:type="dxa"/>
        </w:tblCellMar>
      </w:tblPr>
      <w:tr>
        <w:trPr>
          <w:trHeight w:val="241"/>
        </w:trPr>
        <w:tc>
          <w:tcPr>
            <w:tcW w:w="686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Fair Value of Equity Awards for CEO</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3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2021</w:t>
            </w:r>
          </w:p>
        </w:tc>
      </w:tr>
      <w:tr>
        <w:trPr>
          <w:trHeight w:val="216"/>
        </w:trPr>
        <w:tc>
          <w:tcPr>
            <w:tcW w:w="6860" w:type="dxa"/>
            <w:vAlign w:val="bottom"/>
            <w:shd w:val="clear" w:color="auto" w:fill="CCECFF"/>
          </w:tcPr>
          <w:p>
            <w:pPr>
              <w:spacing w:after="0"/>
              <w:rPr>
                <w:sz w:val="20"/>
                <w:szCs w:val="20"/>
                <w:color w:val="auto"/>
              </w:rPr>
            </w:pPr>
            <w:r>
              <w:rPr>
                <w:rFonts w:ascii="Arial" w:cs="Arial" w:eastAsia="Arial" w:hAnsi="Arial"/>
                <w:sz w:val="18"/>
                <w:szCs w:val="18"/>
                <w:color w:val="auto"/>
              </w:rPr>
              <w:t>As of year-end for unvested awards granted during the year</w:t>
            </w:r>
          </w:p>
        </w:tc>
        <w:tc>
          <w:tcPr>
            <w:tcW w:w="1440" w:type="dxa"/>
            <w:vAlign w:val="bottom"/>
            <w:shd w:val="clear" w:color="auto" w:fill="CCECFF"/>
          </w:tcPr>
          <w:p>
            <w:pPr>
              <w:jc w:val="center"/>
              <w:ind w:right="10"/>
              <w:spacing w:after="0"/>
              <w:rPr>
                <w:sz w:val="20"/>
                <w:szCs w:val="20"/>
                <w:color w:val="auto"/>
              </w:rPr>
            </w:pPr>
            <w:r>
              <w:rPr>
                <w:rFonts w:ascii="Arial" w:cs="Arial" w:eastAsia="Arial" w:hAnsi="Arial"/>
                <w:sz w:val="18"/>
                <w:szCs w:val="18"/>
                <w:color w:val="auto"/>
                <w:w w:val="89"/>
              </w:rPr>
              <w:t>$36,855</w:t>
            </w:r>
          </w:p>
        </w:tc>
        <w:tc>
          <w:tcPr>
            <w:tcW w:w="1360" w:type="dxa"/>
            <w:vAlign w:val="bottom"/>
            <w:shd w:val="clear" w:color="auto" w:fill="CCECFF"/>
          </w:tcPr>
          <w:p>
            <w:pPr>
              <w:jc w:val="center"/>
              <w:ind w:left="110"/>
              <w:spacing w:after="0"/>
              <w:rPr>
                <w:sz w:val="20"/>
                <w:szCs w:val="20"/>
                <w:color w:val="auto"/>
              </w:rPr>
            </w:pPr>
            <w:r>
              <w:rPr>
                <w:rFonts w:ascii="Arial" w:cs="Arial" w:eastAsia="Arial" w:hAnsi="Arial"/>
                <w:sz w:val="18"/>
                <w:szCs w:val="18"/>
                <w:color w:val="auto"/>
                <w:w w:val="88"/>
              </w:rPr>
              <w:t>$1,258,845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Year-over-year increase (decrease) of unvested awards granted in prior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$(671,932)</w:t>
            </w:r>
          </w:p>
        </w:tc>
        <w:tc>
          <w:tcPr>
            <w:tcW w:w="1360" w:type="dxa"/>
            <w:vAlign w:val="bottom"/>
          </w:tcPr>
          <w:p>
            <w:pPr>
              <w:jc w:val="center"/>
              <w:ind w:left="110"/>
              <w:spacing w:after="0"/>
              <w:rPr>
                <w:sz w:val="20"/>
                <w:szCs w:val="20"/>
                <w:color w:val="auto"/>
              </w:rPr>
            </w:pPr>
            <w:r>
              <w:rPr>
                <w:rFonts w:ascii="Arial" w:cs="Arial" w:eastAsia="Arial" w:hAnsi="Arial"/>
                <w:sz w:val="18"/>
                <w:szCs w:val="18"/>
                <w:color w:val="auto"/>
                <w:w w:val="91"/>
              </w:rPr>
              <w:t>$(192,083)</w:t>
            </w:r>
          </w:p>
        </w:tc>
      </w:tr>
      <w:tr>
        <w:trPr>
          <w:trHeight w:val="202"/>
        </w:trPr>
        <w:tc>
          <w:tcPr>
            <w:tcW w:w="686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w w:val="94"/>
              </w:rPr>
              <w:t>Increase (decrease) from prior fiscal year-end for awards granted in prior years that vested</w:t>
            </w:r>
          </w:p>
        </w:tc>
        <w:tc>
          <w:tcPr>
            <w:tcW w:w="1440" w:type="dxa"/>
            <w:vAlign w:val="bottom"/>
            <w:shd w:val="clear" w:color="auto" w:fill="CCECFF"/>
          </w:tcPr>
          <w:p>
            <w:pPr>
              <w:spacing w:after="0"/>
              <w:rPr>
                <w:sz w:val="17"/>
                <w:szCs w:val="17"/>
                <w:color w:val="auto"/>
              </w:rPr>
            </w:pPr>
          </w:p>
        </w:tc>
        <w:tc>
          <w:tcPr>
            <w:tcW w:w="1360" w:type="dxa"/>
            <w:vAlign w:val="bottom"/>
            <w:shd w:val="clear" w:color="auto" w:fill="CCECFF"/>
          </w:tcPr>
          <w:p>
            <w:pPr>
              <w:spacing w:after="0"/>
              <w:rPr>
                <w:sz w:val="17"/>
                <w:szCs w:val="17"/>
                <w:color w:val="auto"/>
              </w:rPr>
            </w:pPr>
          </w:p>
        </w:tc>
      </w:tr>
      <w:tr>
        <w:trPr>
          <w:trHeight w:val="237"/>
        </w:trPr>
        <w:tc>
          <w:tcPr>
            <w:tcW w:w="6860" w:type="dxa"/>
            <w:vAlign w:val="bottom"/>
            <w:tcBorders>
              <w:bottom w:val="single" w:sz="8" w:color="auto"/>
            </w:tcBorders>
            <w:shd w:val="clear" w:color="auto" w:fill="CCECFF"/>
          </w:tcPr>
          <w:p>
            <w:pPr>
              <w:spacing w:after="0"/>
              <w:rPr>
                <w:sz w:val="20"/>
                <w:szCs w:val="20"/>
                <w:color w:val="auto"/>
              </w:rPr>
            </w:pPr>
            <w:r>
              <w:rPr>
                <w:rFonts w:ascii="Arial" w:cs="Arial" w:eastAsia="Arial" w:hAnsi="Arial"/>
                <w:sz w:val="18"/>
                <w:szCs w:val="18"/>
                <w:color w:val="auto"/>
              </w:rPr>
              <w:t>during the year</w:t>
            </w:r>
          </w:p>
        </w:tc>
        <w:tc>
          <w:tcPr>
            <w:tcW w:w="1440" w:type="dxa"/>
            <w:vAlign w:val="bottom"/>
            <w:tcBorders>
              <w:bottom w:val="single" w:sz="8" w:color="auto"/>
            </w:tcBorders>
            <w:shd w:val="clear" w:color="auto" w:fill="CCECFF"/>
          </w:tcPr>
          <w:p>
            <w:pPr>
              <w:jc w:val="center"/>
              <w:ind w:right="10"/>
              <w:spacing w:after="0"/>
              <w:rPr>
                <w:sz w:val="20"/>
                <w:szCs w:val="20"/>
                <w:color w:val="auto"/>
              </w:rPr>
            </w:pPr>
            <w:r>
              <w:rPr>
                <w:rFonts w:ascii="Arial" w:cs="Arial" w:eastAsia="Arial" w:hAnsi="Arial"/>
                <w:sz w:val="18"/>
                <w:szCs w:val="18"/>
                <w:color w:val="auto"/>
                <w:w w:val="89"/>
              </w:rPr>
              <w:t>$46,577</w:t>
            </w:r>
          </w:p>
        </w:tc>
        <w:tc>
          <w:tcPr>
            <w:tcW w:w="1360" w:type="dxa"/>
            <w:vAlign w:val="bottom"/>
            <w:tcBorders>
              <w:bottom w:val="single" w:sz="8" w:color="auto"/>
            </w:tcBorders>
            <w:shd w:val="clear" w:color="auto" w:fill="CCECFF"/>
          </w:tcPr>
          <w:p>
            <w:pPr>
              <w:jc w:val="center"/>
              <w:ind w:left="90"/>
              <w:spacing w:after="0"/>
              <w:rPr>
                <w:sz w:val="20"/>
                <w:szCs w:val="20"/>
                <w:color w:val="auto"/>
              </w:rPr>
            </w:pPr>
            <w:r>
              <w:rPr>
                <w:rFonts w:ascii="Arial" w:cs="Arial" w:eastAsia="Arial" w:hAnsi="Arial"/>
                <w:sz w:val="18"/>
                <w:szCs w:val="18"/>
                <w:color w:val="auto"/>
                <w:w w:val="93"/>
              </w:rPr>
              <w:t>$-0-</w:t>
            </w: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Equity Award Adjustments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$(588,500)</w:t>
            </w:r>
          </w:p>
        </w:tc>
        <w:tc>
          <w:tcPr>
            <w:tcW w:w="1360" w:type="dxa"/>
            <w:vAlign w:val="bottom"/>
          </w:tcPr>
          <w:p>
            <w:pPr>
              <w:jc w:val="center"/>
              <w:ind w:left="110"/>
              <w:spacing w:after="0"/>
              <w:rPr>
                <w:sz w:val="20"/>
                <w:szCs w:val="20"/>
                <w:color w:val="auto"/>
              </w:rPr>
            </w:pPr>
            <w:r>
              <w:rPr>
                <w:rFonts w:ascii="Arial" w:cs="Arial" w:eastAsia="Arial" w:hAnsi="Arial"/>
                <w:sz w:val="18"/>
                <w:szCs w:val="18"/>
                <w:color w:val="auto"/>
                <w:w w:val="88"/>
              </w:rPr>
              <w:t>$1,066,762</w:t>
            </w:r>
          </w:p>
        </w:tc>
      </w:tr>
    </w:tbl>
    <w:p>
      <w:pPr>
        <w:spacing w:after="0" w:line="210" w:lineRule="exact"/>
        <w:rPr>
          <w:sz w:val="20"/>
          <w:szCs w:val="20"/>
          <w:color w:val="auto"/>
        </w:rPr>
      </w:pPr>
    </w:p>
    <w:p>
      <w:pPr>
        <w:jc w:val="both"/>
        <w:ind w:left="840" w:hanging="518"/>
        <w:spacing w:after="0" w:line="263"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dollar amounts reported represent the average of the amounts reported for our NEOs as a group (excluding our CEO) in the “Total” column of our Summary Compensation Table in each applicable year. The names of each of the NEOs (excluding our CEO) included for purposes of calculating the average amounts for each applicable year are Mses. Golden and Chen.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left="840" w:hanging="518"/>
        <w:spacing w:after="0" w:line="25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dollar amounts reported represent the average amount of “compensation actually paid” to the NEOs as a group (excluding our CEO), as computed in accordance with SEC rules. The dollar amounts do not reflect the actual average amount of compensation earned by or paid to the NEOs as a group (excluding our CEO) during the applicable year. In accordance with the SEC rules, the following adjustments were made to average total compensation for the NEOs as a group (excluding our CEO) for each year to determine the compensation actually paid, using the same methodology described above in Note 2:</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Average Reported</w:t>
            </w: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Less:</w:t>
            </w:r>
          </w:p>
        </w:tc>
        <w:tc>
          <w:tcPr>
            <w:tcW w:w="19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Plus:</w:t>
            </w:r>
          </w:p>
        </w:tc>
        <w:tc>
          <w:tcPr>
            <w:tcW w:w="2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Equals:</w:t>
            </w:r>
          </w:p>
        </w:tc>
      </w:tr>
      <w:tr>
        <w:trPr>
          <w:trHeight w:val="216"/>
        </w:trPr>
        <w:tc>
          <w:tcPr>
            <w:tcW w:w="1400" w:type="dxa"/>
            <w:vAlign w:val="bottom"/>
          </w:tcPr>
          <w:p>
            <w:pPr>
              <w:spacing w:after="0"/>
              <w:rPr>
                <w:sz w:val="18"/>
                <w:szCs w:val="18"/>
                <w:color w:val="auto"/>
              </w:rPr>
            </w:pPr>
          </w:p>
        </w:tc>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Summary Compensation</w:t>
            </w:r>
          </w:p>
        </w:tc>
        <w:tc>
          <w:tcPr>
            <w:tcW w:w="21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Average Reported</w:t>
            </w:r>
          </w:p>
        </w:tc>
        <w:tc>
          <w:tcPr>
            <w:tcW w:w="198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Average Equity</w:t>
            </w:r>
          </w:p>
        </w:tc>
        <w:tc>
          <w:tcPr>
            <w:tcW w:w="236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Average Compensation</w:t>
            </w: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Table Total for</w:t>
            </w:r>
          </w:p>
        </w:tc>
        <w:tc>
          <w:tcPr>
            <w:tcW w:w="21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Value of</w:t>
            </w:r>
          </w:p>
        </w:tc>
        <w:tc>
          <w:tcPr>
            <w:tcW w:w="198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Award</w:t>
            </w:r>
          </w:p>
        </w:tc>
        <w:tc>
          <w:tcPr>
            <w:tcW w:w="236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Actually Paid to</w:t>
            </w:r>
          </w:p>
        </w:tc>
      </w:tr>
      <w:tr>
        <w:trPr>
          <w:trHeight w:val="241"/>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4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Non-CEO NEOs</w:t>
            </w:r>
          </w:p>
        </w:tc>
        <w:tc>
          <w:tcPr>
            <w:tcW w:w="21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Equity Awards</w:t>
            </w:r>
          </w:p>
        </w:tc>
        <w:tc>
          <w:tcPr>
            <w:tcW w:w="1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Adjustments(a)</w:t>
            </w:r>
          </w:p>
        </w:tc>
        <w:tc>
          <w:tcPr>
            <w:tcW w:w="23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Non-CEO NEOs</w:t>
            </w:r>
          </w:p>
        </w:tc>
      </w:tr>
      <w:tr>
        <w:trPr>
          <w:trHeight w:val="216"/>
        </w:trPr>
        <w:tc>
          <w:tcPr>
            <w:tcW w:w="14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2022</w:t>
            </w:r>
          </w:p>
        </w:tc>
        <w:tc>
          <w:tcPr>
            <w:tcW w:w="2440" w:type="dxa"/>
            <w:vAlign w:val="bottom"/>
            <w:shd w:val="clear" w:color="auto" w:fill="CCECFF"/>
          </w:tcPr>
          <w:p>
            <w:pPr>
              <w:jc w:val="center"/>
              <w:ind w:right="10"/>
              <w:spacing w:after="0"/>
              <w:rPr>
                <w:sz w:val="20"/>
                <w:szCs w:val="20"/>
                <w:color w:val="auto"/>
              </w:rPr>
            </w:pPr>
            <w:r>
              <w:rPr>
                <w:rFonts w:ascii="Arial" w:cs="Arial" w:eastAsia="Arial" w:hAnsi="Arial"/>
                <w:sz w:val="18"/>
                <w:szCs w:val="18"/>
                <w:color w:val="auto"/>
                <w:w w:val="87"/>
              </w:rPr>
              <w:t>$493,907</w:t>
            </w:r>
          </w:p>
        </w:tc>
        <w:tc>
          <w:tcPr>
            <w:tcW w:w="2140" w:type="dxa"/>
            <w:vAlign w:val="bottom"/>
            <w:shd w:val="clear" w:color="auto" w:fill="CCECFF"/>
          </w:tcPr>
          <w:p>
            <w:pPr>
              <w:jc w:val="right"/>
              <w:ind w:right="770"/>
              <w:spacing w:after="0"/>
              <w:rPr>
                <w:sz w:val="20"/>
                <w:szCs w:val="20"/>
                <w:color w:val="auto"/>
              </w:rPr>
            </w:pPr>
            <w:r>
              <w:rPr>
                <w:rFonts w:ascii="Arial" w:cs="Arial" w:eastAsia="Arial" w:hAnsi="Arial"/>
                <w:sz w:val="18"/>
                <w:szCs w:val="18"/>
                <w:color w:val="auto"/>
              </w:rPr>
              <w:t>$75,000</w:t>
            </w:r>
          </w:p>
        </w:tc>
        <w:tc>
          <w:tcPr>
            <w:tcW w:w="1980" w:type="dxa"/>
            <w:vAlign w:val="bottom"/>
            <w:shd w:val="clear" w:color="auto" w:fill="CCECFF"/>
          </w:tcPr>
          <w:p>
            <w:pPr>
              <w:jc w:val="right"/>
              <w:ind w:right="470"/>
              <w:spacing w:after="0"/>
              <w:rPr>
                <w:sz w:val="20"/>
                <w:szCs w:val="20"/>
                <w:color w:val="auto"/>
              </w:rPr>
            </w:pPr>
            <w:r>
              <w:rPr>
                <w:rFonts w:ascii="Arial" w:cs="Arial" w:eastAsia="Arial" w:hAnsi="Arial"/>
                <w:sz w:val="18"/>
                <w:szCs w:val="18"/>
                <w:color w:val="auto"/>
              </w:rPr>
              <w:t>$(31,627)</w:t>
            </w:r>
          </w:p>
        </w:tc>
        <w:tc>
          <w:tcPr>
            <w:tcW w:w="2360" w:type="dxa"/>
            <w:vAlign w:val="bottom"/>
            <w:shd w:val="clear" w:color="auto" w:fill="CCECFF"/>
          </w:tcPr>
          <w:p>
            <w:pPr>
              <w:jc w:val="center"/>
              <w:ind w:left="10"/>
              <w:spacing w:after="0"/>
              <w:rPr>
                <w:sz w:val="20"/>
                <w:szCs w:val="20"/>
                <w:color w:val="auto"/>
              </w:rPr>
            </w:pPr>
            <w:r>
              <w:rPr>
                <w:rFonts w:ascii="Arial" w:cs="Arial" w:eastAsia="Arial" w:hAnsi="Arial"/>
                <w:sz w:val="18"/>
                <w:szCs w:val="18"/>
                <w:color w:val="auto"/>
                <w:w w:val="87"/>
              </w:rPr>
              <w:t>$387,280</w:t>
            </w:r>
          </w:p>
        </w:tc>
      </w:tr>
      <w:tr>
        <w:trPr>
          <w:trHeight w:val="216"/>
        </w:trPr>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4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2021</w:t>
            </w:r>
          </w:p>
        </w:tc>
        <w:tc>
          <w:tcPr>
            <w:tcW w:w="2440" w:type="dxa"/>
            <w:vAlign w:val="bottom"/>
            <w:shd w:val="clear" w:color="auto" w:fill="CCECFF"/>
          </w:tcPr>
          <w:p>
            <w:pPr>
              <w:jc w:val="center"/>
              <w:ind w:right="10"/>
              <w:spacing w:after="0"/>
              <w:rPr>
                <w:sz w:val="20"/>
                <w:szCs w:val="20"/>
                <w:color w:val="auto"/>
              </w:rPr>
            </w:pPr>
            <w:r>
              <w:rPr>
                <w:rFonts w:ascii="Arial" w:cs="Arial" w:eastAsia="Arial" w:hAnsi="Arial"/>
                <w:sz w:val="18"/>
                <w:szCs w:val="18"/>
                <w:color w:val="auto"/>
                <w:w w:val="87"/>
              </w:rPr>
              <w:t>$542,622</w:t>
            </w:r>
          </w:p>
        </w:tc>
        <w:tc>
          <w:tcPr>
            <w:tcW w:w="2140" w:type="dxa"/>
            <w:vAlign w:val="bottom"/>
            <w:shd w:val="clear" w:color="auto" w:fill="CCECFF"/>
          </w:tcPr>
          <w:p>
            <w:pPr>
              <w:jc w:val="right"/>
              <w:ind w:right="710"/>
              <w:spacing w:after="0"/>
              <w:rPr>
                <w:sz w:val="20"/>
                <w:szCs w:val="20"/>
                <w:color w:val="auto"/>
              </w:rPr>
            </w:pPr>
            <w:r>
              <w:rPr>
                <w:rFonts w:ascii="Arial" w:cs="Arial" w:eastAsia="Arial" w:hAnsi="Arial"/>
                <w:sz w:val="18"/>
                <w:szCs w:val="18"/>
                <w:color w:val="auto"/>
              </w:rPr>
              <w:t>$123,770</w:t>
            </w:r>
          </w:p>
        </w:tc>
        <w:tc>
          <w:tcPr>
            <w:tcW w:w="1980" w:type="dxa"/>
            <w:vAlign w:val="bottom"/>
            <w:shd w:val="clear" w:color="auto" w:fill="CCECFF"/>
          </w:tcPr>
          <w:p>
            <w:pPr>
              <w:jc w:val="right"/>
              <w:ind w:right="530"/>
              <w:spacing w:after="0"/>
              <w:rPr>
                <w:sz w:val="20"/>
                <w:szCs w:val="20"/>
                <w:color w:val="auto"/>
              </w:rPr>
            </w:pPr>
            <w:r>
              <w:rPr>
                <w:rFonts w:ascii="Arial" w:cs="Arial" w:eastAsia="Arial" w:hAnsi="Arial"/>
                <w:sz w:val="18"/>
                <w:szCs w:val="18"/>
                <w:color w:val="auto"/>
              </w:rPr>
              <w:t>$92,830</w:t>
            </w:r>
          </w:p>
        </w:tc>
        <w:tc>
          <w:tcPr>
            <w:tcW w:w="2360" w:type="dxa"/>
            <w:vAlign w:val="bottom"/>
            <w:shd w:val="clear" w:color="auto" w:fill="CCECFF"/>
          </w:tcPr>
          <w:p>
            <w:pPr>
              <w:jc w:val="center"/>
              <w:ind w:left="10"/>
              <w:spacing w:after="0"/>
              <w:rPr>
                <w:sz w:val="20"/>
                <w:szCs w:val="20"/>
                <w:color w:val="auto"/>
              </w:rPr>
            </w:pPr>
            <w:r>
              <w:rPr>
                <w:rFonts w:ascii="Arial" w:cs="Arial" w:eastAsia="Arial" w:hAnsi="Arial"/>
                <w:sz w:val="18"/>
                <w:szCs w:val="18"/>
                <w:color w:val="auto"/>
                <w:w w:val="87"/>
              </w:rPr>
              <w:t>$511,682</w:t>
            </w:r>
          </w:p>
        </w:tc>
      </w:tr>
      <w:tr>
        <w:trPr>
          <w:trHeight w:val="230"/>
        </w:trPr>
        <w:tc>
          <w:tcPr>
            <w:tcW w:w="1400" w:type="dxa"/>
            <w:vAlign w:val="bottom"/>
          </w:tcPr>
          <w:p>
            <w:pPr>
              <w:jc w:val="right"/>
              <w:ind w:right="110"/>
              <w:spacing w:after="0"/>
              <w:rPr>
                <w:sz w:val="20"/>
                <w:szCs w:val="20"/>
                <w:color w:val="auto"/>
              </w:rPr>
            </w:pPr>
            <w:r>
              <w:rPr>
                <w:rFonts w:ascii="Arial" w:cs="Arial" w:eastAsia="Arial" w:hAnsi="Arial"/>
                <w:sz w:val="18"/>
                <w:szCs w:val="18"/>
                <w:color w:val="auto"/>
              </w:rPr>
              <w:t>_________</w:t>
            </w:r>
          </w:p>
        </w:tc>
        <w:tc>
          <w:tcPr>
            <w:tcW w:w="2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214" w:lineRule="exact"/>
        <w:rPr>
          <w:sz w:val="20"/>
          <w:szCs w:val="20"/>
          <w:color w:val="auto"/>
        </w:rPr>
      </w:pPr>
    </w:p>
    <w:p>
      <w:pPr>
        <w:ind w:left="1640" w:hanging="661"/>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deducted or added in calculating the total average equity award adjustments are as follows:</w:t>
      </w:r>
    </w:p>
    <w:p>
      <w:pPr>
        <w:spacing w:after="0" w:line="248" w:lineRule="exact"/>
        <w:rPr>
          <w:sz w:val="20"/>
          <w:szCs w:val="20"/>
          <w:color w:val="auto"/>
        </w:rPr>
      </w:pPr>
    </w:p>
    <w:tbl>
      <w:tblPr>
        <w:tblLayout w:type="fixed"/>
        <w:tblInd w:w="1580" w:type="dxa"/>
        <w:tblCellMar>
          <w:top w:w="0" w:type="dxa"/>
          <w:left w:w="0" w:type="dxa"/>
          <w:bottom w:w="0" w:type="dxa"/>
          <w:right w:w="0" w:type="dxa"/>
        </w:tblCellMar>
      </w:tblPr>
      <w:tr>
        <w:trPr>
          <w:trHeight w:val="241"/>
        </w:trPr>
        <w:tc>
          <w:tcPr>
            <w:tcW w:w="68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Average Fair Value of Equity Awards for Non-CEO NEOs</w:t>
            </w: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3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2021</w:t>
            </w:r>
          </w:p>
        </w:tc>
      </w:tr>
      <w:tr>
        <w:trPr>
          <w:trHeight w:val="216"/>
        </w:trPr>
        <w:tc>
          <w:tcPr>
            <w:tcW w:w="6880" w:type="dxa"/>
            <w:vAlign w:val="bottom"/>
            <w:shd w:val="clear" w:color="auto" w:fill="CCECFF"/>
          </w:tcPr>
          <w:p>
            <w:pPr>
              <w:spacing w:after="0"/>
              <w:rPr>
                <w:sz w:val="20"/>
                <w:szCs w:val="20"/>
                <w:color w:val="auto"/>
              </w:rPr>
            </w:pPr>
            <w:r>
              <w:rPr>
                <w:rFonts w:ascii="Arial" w:cs="Arial" w:eastAsia="Arial" w:hAnsi="Arial"/>
                <w:sz w:val="18"/>
                <w:szCs w:val="18"/>
                <w:color w:val="auto"/>
              </w:rPr>
              <w:t>As of year-end for unvested awards granted during the year</w:t>
            </w:r>
          </w:p>
        </w:tc>
        <w:tc>
          <w:tcPr>
            <w:tcW w:w="1440" w:type="dxa"/>
            <w:vAlign w:val="bottom"/>
            <w:shd w:val="clear" w:color="auto" w:fill="CCECFF"/>
          </w:tcPr>
          <w:p>
            <w:pPr>
              <w:jc w:val="center"/>
              <w:ind w:right="50"/>
              <w:spacing w:after="0"/>
              <w:rPr>
                <w:sz w:val="20"/>
                <w:szCs w:val="20"/>
                <w:color w:val="auto"/>
              </w:rPr>
            </w:pPr>
            <w:r>
              <w:rPr>
                <w:rFonts w:ascii="Arial" w:cs="Arial" w:eastAsia="Arial" w:hAnsi="Arial"/>
                <w:sz w:val="18"/>
                <w:szCs w:val="18"/>
                <w:color w:val="auto"/>
                <w:w w:val="89"/>
              </w:rPr>
              <w:t>$20,250</w:t>
            </w:r>
          </w:p>
        </w:tc>
        <w:tc>
          <w:tcPr>
            <w:tcW w:w="1340" w:type="dxa"/>
            <w:vAlign w:val="bottom"/>
            <w:shd w:val="clear" w:color="auto" w:fill="CCECFF"/>
          </w:tcPr>
          <w:p>
            <w:pPr>
              <w:jc w:val="center"/>
              <w:ind w:left="70"/>
              <w:spacing w:after="0"/>
              <w:rPr>
                <w:sz w:val="20"/>
                <w:szCs w:val="20"/>
                <w:color w:val="auto"/>
              </w:rPr>
            </w:pPr>
            <w:r>
              <w:rPr>
                <w:rFonts w:ascii="Arial" w:cs="Arial" w:eastAsia="Arial" w:hAnsi="Arial"/>
                <w:sz w:val="18"/>
                <w:szCs w:val="18"/>
                <w:color w:val="auto"/>
                <w:w w:val="89"/>
              </w:rPr>
              <w:t>$95,930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Year-over-year increase (decrease) of unvested awards granted in prior years</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0"/>
              </w:rPr>
              <w:t>$(49,299)</w:t>
            </w: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92"/>
              </w:rPr>
              <w:t>$(2,363)</w:t>
            </w:r>
          </w:p>
        </w:tc>
      </w:tr>
      <w:tr>
        <w:trPr>
          <w:trHeight w:val="202"/>
        </w:trPr>
        <w:tc>
          <w:tcPr>
            <w:tcW w:w="688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w w:val="95"/>
              </w:rPr>
              <w:t>Increase (decrease) from prior fiscal year-end for awards granted in prior years that vested</w:t>
            </w:r>
          </w:p>
        </w:tc>
        <w:tc>
          <w:tcPr>
            <w:tcW w:w="1440" w:type="dxa"/>
            <w:vAlign w:val="bottom"/>
            <w:shd w:val="clear" w:color="auto" w:fill="CCECFF"/>
          </w:tcPr>
          <w:p>
            <w:pPr>
              <w:spacing w:after="0"/>
              <w:rPr>
                <w:sz w:val="17"/>
                <w:szCs w:val="17"/>
                <w:color w:val="auto"/>
              </w:rPr>
            </w:pPr>
          </w:p>
        </w:tc>
        <w:tc>
          <w:tcPr>
            <w:tcW w:w="1340" w:type="dxa"/>
            <w:vAlign w:val="bottom"/>
            <w:shd w:val="clear" w:color="auto" w:fill="CCECFF"/>
          </w:tcPr>
          <w:p>
            <w:pPr>
              <w:spacing w:after="0"/>
              <w:rPr>
                <w:sz w:val="17"/>
                <w:szCs w:val="17"/>
                <w:color w:val="auto"/>
              </w:rPr>
            </w:pPr>
          </w:p>
        </w:tc>
      </w:tr>
      <w:tr>
        <w:trPr>
          <w:trHeight w:val="237"/>
        </w:trPr>
        <w:tc>
          <w:tcPr>
            <w:tcW w:w="6880" w:type="dxa"/>
            <w:vAlign w:val="bottom"/>
            <w:tcBorders>
              <w:bottom w:val="single" w:sz="8" w:color="auto"/>
            </w:tcBorders>
            <w:shd w:val="clear" w:color="auto" w:fill="CCECFF"/>
          </w:tcPr>
          <w:p>
            <w:pPr>
              <w:spacing w:after="0"/>
              <w:rPr>
                <w:sz w:val="20"/>
                <w:szCs w:val="20"/>
                <w:color w:val="auto"/>
              </w:rPr>
            </w:pPr>
            <w:r>
              <w:rPr>
                <w:rFonts w:ascii="Arial" w:cs="Arial" w:eastAsia="Arial" w:hAnsi="Arial"/>
                <w:sz w:val="18"/>
                <w:szCs w:val="18"/>
                <w:color w:val="auto"/>
              </w:rPr>
              <w:t>during the year</w:t>
            </w:r>
          </w:p>
        </w:tc>
        <w:tc>
          <w:tcPr>
            <w:tcW w:w="1440" w:type="dxa"/>
            <w:vAlign w:val="bottom"/>
            <w:tcBorders>
              <w:bottom w:val="single" w:sz="8" w:color="auto"/>
            </w:tcBorders>
            <w:shd w:val="clear" w:color="auto" w:fill="CCECFF"/>
          </w:tcPr>
          <w:p>
            <w:pPr>
              <w:jc w:val="center"/>
              <w:ind w:right="50"/>
              <w:spacing w:after="0"/>
              <w:rPr>
                <w:sz w:val="20"/>
                <w:szCs w:val="20"/>
                <w:color w:val="auto"/>
              </w:rPr>
            </w:pPr>
            <w:r>
              <w:rPr>
                <w:rFonts w:ascii="Arial" w:cs="Arial" w:eastAsia="Arial" w:hAnsi="Arial"/>
                <w:sz w:val="18"/>
                <w:szCs w:val="18"/>
                <w:color w:val="auto"/>
                <w:w w:val="92"/>
              </w:rPr>
              <w:t>$(2.578)</w:t>
            </w:r>
          </w:p>
        </w:tc>
        <w:tc>
          <w:tcPr>
            <w:tcW w:w="1340" w:type="dxa"/>
            <w:vAlign w:val="bottom"/>
            <w:tcBorders>
              <w:bottom w:val="single" w:sz="8" w:color="auto"/>
            </w:tcBorders>
            <w:shd w:val="clear" w:color="auto" w:fill="CCECFF"/>
          </w:tcPr>
          <w:p>
            <w:pPr>
              <w:jc w:val="center"/>
              <w:ind w:left="90"/>
              <w:spacing w:after="0"/>
              <w:rPr>
                <w:sz w:val="20"/>
                <w:szCs w:val="20"/>
                <w:color w:val="auto"/>
              </w:rPr>
            </w:pPr>
            <w:r>
              <w:rPr>
                <w:rFonts w:ascii="Arial" w:cs="Arial" w:eastAsia="Arial" w:hAnsi="Arial"/>
                <w:sz w:val="18"/>
                <w:szCs w:val="18"/>
                <w:color w:val="auto"/>
                <w:w w:val="92"/>
              </w:rPr>
              <w:t>$(737)</w:t>
            </w:r>
          </w:p>
        </w:tc>
      </w:tr>
      <w:tr>
        <w:trPr>
          <w:trHeight w:val="234"/>
        </w:trPr>
        <w:tc>
          <w:tcPr>
            <w:tcW w:w="6880" w:type="dxa"/>
            <w:vAlign w:val="bottom"/>
          </w:tcPr>
          <w:p>
            <w:pPr>
              <w:spacing w:after="0"/>
              <w:rPr>
                <w:sz w:val="20"/>
                <w:szCs w:val="20"/>
                <w:color w:val="auto"/>
              </w:rPr>
            </w:pPr>
            <w:r>
              <w:rPr>
                <w:rFonts w:ascii="Arial" w:cs="Arial" w:eastAsia="Arial" w:hAnsi="Arial"/>
                <w:sz w:val="18"/>
                <w:szCs w:val="18"/>
                <w:b w:val="1"/>
                <w:bCs w:val="1"/>
                <w:color w:val="auto"/>
              </w:rPr>
              <w:t>Total Average Equity Award Adjustments</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0"/>
              </w:rPr>
              <w:t>$(31,627)</w:t>
            </w: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89"/>
              </w:rPr>
              <w:t>$92,830</w:t>
            </w:r>
          </w:p>
        </w:tc>
      </w:tr>
    </w:tbl>
    <w:p>
      <w:pPr>
        <w:spacing w:after="0" w:line="210" w:lineRule="exact"/>
        <w:rPr>
          <w:sz w:val="20"/>
          <w:szCs w:val="20"/>
          <w:color w:val="auto"/>
        </w:rPr>
      </w:pPr>
    </w:p>
    <w:p>
      <w:pPr>
        <w:jc w:val="both"/>
        <w:ind w:left="840" w:hanging="518"/>
        <w:spacing w:after="0" w:line="279" w:lineRule="auto"/>
        <w:tabs>
          <w:tab w:leader="none" w:pos="8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amounts shown in the table represent the Company’s Total Stockholder Return (“TSR”) on an assumed investment of $100 in our common stock over the indicated measurement period. Cumulative TSR is calculated by dividing (i) the sum of the cumulative amount of dividends for the measurement period, assuming dividend reinvestment, and the difference between our common stock price at the end and the beginning of the measurement period by (ii) our common stock price at the beginning of the measurement period.</w:t>
      </w:r>
    </w:p>
    <w:p>
      <w:pPr>
        <w:spacing w:after="0" w:line="171" w:lineRule="exact"/>
        <w:rPr>
          <w:rFonts w:ascii="Arial" w:cs="Arial" w:eastAsia="Arial" w:hAnsi="Arial"/>
          <w:sz w:val="17"/>
          <w:szCs w:val="17"/>
          <w:color w:val="auto"/>
        </w:rPr>
      </w:pPr>
    </w:p>
    <w:p>
      <w:pPr>
        <w:ind w:left="840" w:hanging="518"/>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net loss attributable to the Company as reflected in our audited financial statements for the applicable year.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Employment Contracts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Barry B. Goldstein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Employment Agreement effective as of January 1, 2020</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October 14, 2019, we entered into a second amended and restated employment agreement with Mr. Goldstein which took effect as of January 1, 2020, and expired on December 31, 2022 (the “Second Amended Goldstein Employment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9"/>
          <w:szCs w:val="19"/>
          <w:color w:val="auto"/>
        </w:rPr>
        <w:t>Pursuant to the Second Amended Goldstein Employment Agreement, Mr. Goldstein was entitled to receive an annual base salary of $500,000 and an annual bonus equal to 6% of our consolidated income from operations before taxes, exclusive of our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payment of between $945,000 and $2,835,000 based on a specified minimum increase in our adjusted book value per share (as defined in the Second Amended Goldstein Employment Agreement) as of December 31, 2022, as compared to December 31, 2019 (with the maximum LTC payment being due if the average per annum increase is at least 14%). Pursuant to the Third Amended Goldstein Employment Agreement (discussed below), Mr. Goldstein relinquished the right to receive the LTC. Pursuant to the Second Amended Goldstein Employment Agreement, Mr. Goldstein received a grant, under the terms of the 2014 Plan, during January 2020, of a number of shares of restricted stock determined by dividing $1,250,000 by the fair market value of our common stock on the date of grant. The January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Also pursuant to the Second Amended Goldstein Employment Agreement, Mr. Goldstein received a grant, under the terms of the 2014 Plan, during January 2021, of a number of shares of restricted stock determined by dividing $1,500,000 by the fair market value of our common stock on the date of grant. The January 2021 grant vested with respect to one-half of the award on the first anniversary of the grant date and will vest with respect to one-fourth of the award on each of December 29, 2023 and December 30, 2024, based on the continued provision of services through such dates. Further, pursuant to the Second Amended Goldstein Employment Agreement, Mr. Goldstein received in 2020, 2021 and 2022 a grant, under the terms of the 2014 Plan, of a number of shares of restricted stock determined by dividing $136,500 by the fair market value of our common stock on the date of grant. The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The 2021 grant vested with respect to one-half of the award on the first anniversary of the grant date and will vest with respect to one-fourth of the award on each of December 29, 2023 and December 30, 2024, based on the continued provision of services through such dates. The 2022 grant will vest with respect to one-half of the award on each of December 29, 2023 and December 30, 2024, based on the continued provision of services through such dates.</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See “Termination of Employment and Change-in-Control Arrangements – Barry B. Goldstein” below for a discussion of the provisions of the Second Amended Goldstein Employment Agreement and the Third Amended Goldstein Employment Agreement with regard to payments due and the acceleration of stock grants in the event of the termination of Mr. Goldstein’s employment under certain circumstances and/or in the event of a change in control.</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Employment Agreement effective as of January 1, 2023</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On June 27, 2022, we entered into a third amended and restated employment agreement with Mr. Goldstein which took effect as of January 1, 2023, and expires on December 31, 2024 (the “Third Amended Goldstein Employment Agreement”).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both"/>
        <w:ind w:firstLine="648"/>
        <w:spacing w:after="0" w:line="238" w:lineRule="auto"/>
        <w:rPr>
          <w:sz w:val="20"/>
          <w:szCs w:val="20"/>
          <w:color w:val="auto"/>
        </w:rPr>
      </w:pPr>
      <w:r>
        <w:rPr>
          <w:rFonts w:ascii="Arial" w:cs="Arial" w:eastAsia="Arial" w:hAnsi="Arial"/>
          <w:sz w:val="22"/>
          <w:szCs w:val="22"/>
          <w:color w:val="auto"/>
        </w:rPr>
        <w:t>Pursuant to the Third Amended Goldstein Employment Agreement, Mr. Goldstein is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his base salary.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Meryl S. Golden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Employment Agreement effective as of January 1, 2021</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We and Ms. Golden were parties to an amended and restated employment agreement dated as of December 24, 2020 (the “Amended Golden Employment Agreement”). Pursuant to the Amended Golden Employment Agreement, which expired on December 31, 2022, Ms. Golden was entitled to receive an annual base salary of $500,000. In addition, pursuant to the Amended Golden Employment Agreement and the 2014 Plan, in September 2019, Ms. Golden was granted an option to purchase 50,000 shares of common stock which has vested to the extent of 12,500 shares on each of the date of grant and each of the first, second and third anniversaries of the date of grant. Further, pursuant to the Amended Golden Employment Agreement and the 2014 Plan, in each of January 2021 and January 2022, Ms. Golden was granted 30,000 shares of restricted stock. The 2021 grant vested to the extent of 10,000 on each of the first and second anniversaries of the date of grant and will vest to the extent of 10,000 shares on the third anniversary of the date of grant. The 2022 grant vested to the extent of 10,000 shares on the first anniversary of the date of grant and will vest to the extent of 10,000 shares on each of the second and third anniversaries of the date of grant.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Employment Agreement effective as of January 1, 2023</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On June 27, 2022, we entered into a second amended and restated employment agreement with Ms. Golden which took effect as of January 1, 2023, and expires on December 31, 2024 (the “Second Amended Golden Employment Agreement”).</w:t>
      </w:r>
    </w:p>
    <w:p>
      <w:pPr>
        <w:spacing w:after="0" w:line="1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Pursuant to the Second Amended Golden Employment Agreement, Ms. Golden is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received, under the terms of the 2014 Plan, a grant in January 2023, and is entitled to receive a grant, under the terms of the 2014 Plan, during January 2024, under certain circumstances, of a number of shares of restricted stock determined by dividing $136,500 by the fair market value of our common stock on the date of grant. The 2023 grant will vest with respect to one-half of the award on the first anniversary of the grant date and one-half of the award on December 31, 2024, based on the continued provision of services through such dates. The 2024 grant will vest on December 31, 2024, based on the continued provision of services through such date. In the event that we are precluded from making a grant in 2024, then instead Ms. Golden shall be entitled to receive a cash bonus of $136,500 for such year.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both"/>
        <w:ind w:firstLine="648"/>
        <w:spacing w:after="0" w:line="238" w:lineRule="auto"/>
        <w:rPr>
          <w:sz w:val="20"/>
          <w:szCs w:val="20"/>
          <w:color w:val="auto"/>
        </w:rPr>
      </w:pPr>
      <w:r>
        <w:rPr>
          <w:rFonts w:ascii="Arial" w:cs="Arial" w:eastAsia="Arial" w:hAnsi="Arial"/>
          <w:sz w:val="22"/>
          <w:szCs w:val="22"/>
          <w:color w:val="auto"/>
        </w:rPr>
        <w:t>See “Termination of Employment and Change-in-Control Arrangements – Meryl S. Golden” below for a discussion of the provisions of the Amended Golden Employment Agreement and the Second Amended Golden Employment Agreement with regard to payments due and the acceleration of stock awards in the event of the termination of Ms. Golden’s employment under certain circumstances and/or in the event of a change in control.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Outstanding Equity Awards At Fiscal Year-End</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sets forth certain information concerning exercisable and unexercisable stock options and unvested stock grants held by the Named Executive Officers as of December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b w:val="1"/>
                <w:bCs w:val="1"/>
                <w:color w:val="auto"/>
                <w:w w:val="95"/>
              </w:rPr>
              <w:t>Option Awards</w:t>
            </w:r>
          </w:p>
        </w:tc>
        <w:tc>
          <w:tcPr>
            <w:tcW w:w="1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Stock Awards</w:t>
            </w:r>
          </w:p>
        </w:tc>
        <w:tc>
          <w:tcPr>
            <w:tcW w:w="1060" w:type="dxa"/>
            <w:vAlign w:val="bottom"/>
            <w:tcBorders>
              <w:bottom w:val="single" w:sz="8" w:color="auto"/>
            </w:tcBorders>
          </w:tcPr>
          <w:p>
            <w:pPr>
              <w:spacing w:after="0"/>
              <w:rPr>
                <w:sz w:val="20"/>
                <w:szCs w:val="20"/>
                <w:color w:val="auto"/>
              </w:rPr>
            </w:pPr>
          </w:p>
        </w:tc>
      </w:tr>
      <w:tr>
        <w:trPr>
          <w:trHeight w:val="198"/>
        </w:trPr>
        <w:tc>
          <w:tcPr>
            <w:tcW w:w="2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r>
      <w:tr>
        <w:trPr>
          <w:trHeight w:val="216"/>
        </w:trPr>
        <w:tc>
          <w:tcPr>
            <w:tcW w:w="2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2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Plan Awards:</w:t>
            </w:r>
          </w:p>
        </w:tc>
      </w:tr>
      <w:tr>
        <w:trPr>
          <w:trHeight w:val="216"/>
        </w:trPr>
        <w:tc>
          <w:tcPr>
            <w:tcW w:w="2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Plan Awards: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Market or</w:t>
            </w:r>
          </w:p>
        </w:tc>
      </w:tr>
      <w:tr>
        <w:trPr>
          <w:trHeight w:val="216"/>
        </w:trPr>
        <w:tc>
          <w:tcPr>
            <w:tcW w:w="2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Number of</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Value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Payout Value</w:t>
            </w:r>
          </w:p>
        </w:tc>
      </w:tr>
      <w:tr>
        <w:trPr>
          <w:trHeight w:val="216"/>
        </w:trPr>
        <w:tc>
          <w:tcPr>
            <w:tcW w:w="2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Shares of</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of Unearned</w:t>
            </w:r>
          </w:p>
        </w:tc>
      </w:tr>
      <w:tr>
        <w:trPr>
          <w:trHeight w:val="216"/>
        </w:trPr>
        <w:tc>
          <w:tcPr>
            <w:tcW w:w="2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Stock That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w:t>
            </w:r>
          </w:p>
        </w:tc>
      </w:tr>
      <w:tr>
        <w:trPr>
          <w:trHeight w:val="216"/>
        </w:trPr>
        <w:tc>
          <w:tcPr>
            <w:tcW w:w="2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That Have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Have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Have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Have</w:t>
            </w:r>
          </w:p>
        </w:tc>
      </w:tr>
      <w:tr>
        <w:trPr>
          <w:trHeight w:val="241"/>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Not Vested</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Vested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 Vested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 Vested</w:t>
            </w:r>
          </w:p>
        </w:tc>
      </w:tr>
      <w:tr>
        <w:trPr>
          <w:trHeight w:val="216"/>
        </w:trPr>
        <w:tc>
          <w:tcPr>
            <w:tcW w:w="2440" w:type="dxa"/>
            <w:vAlign w:val="bottom"/>
            <w:shd w:val="clear" w:color="auto" w:fill="CCECFF"/>
          </w:tcPr>
          <w:p>
            <w:pPr>
              <w:spacing w:after="0"/>
              <w:rPr>
                <w:sz w:val="20"/>
                <w:szCs w:val="20"/>
                <w:color w:val="auto"/>
              </w:rPr>
            </w:pPr>
            <w:r>
              <w:rPr>
                <w:rFonts w:ascii="Arial" w:cs="Arial" w:eastAsia="Arial" w:hAnsi="Arial"/>
                <w:sz w:val="18"/>
                <w:szCs w:val="18"/>
                <w:color w:val="auto"/>
              </w:rPr>
              <w:t>Barry B. Goldstein</w:t>
            </w:r>
          </w:p>
        </w:tc>
        <w:tc>
          <w:tcPr>
            <w:tcW w:w="11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211,391(1)</w:t>
            </w:r>
          </w:p>
        </w:tc>
        <w:tc>
          <w:tcPr>
            <w:tcW w:w="960" w:type="dxa"/>
            <w:vAlign w:val="bottom"/>
            <w:shd w:val="clear" w:color="auto" w:fill="CCECFF"/>
          </w:tcPr>
          <w:p>
            <w:pPr>
              <w:spacing w:after="0"/>
              <w:rPr>
                <w:sz w:val="18"/>
                <w:szCs w:val="18"/>
                <w:color w:val="auto"/>
              </w:rPr>
            </w:pPr>
          </w:p>
        </w:tc>
        <w:tc>
          <w:tcPr>
            <w:tcW w:w="11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7"/>
              </w:rPr>
              <w:t>$-</w:t>
            </w:r>
          </w:p>
        </w:tc>
      </w:tr>
      <w:tr>
        <w:trPr>
          <w:trHeight w:val="216"/>
        </w:trPr>
        <w:tc>
          <w:tcPr>
            <w:tcW w:w="2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440" w:type="dxa"/>
            <w:vAlign w:val="bottom"/>
            <w:shd w:val="clear" w:color="auto" w:fill="CCECFF"/>
          </w:tcPr>
          <w:p>
            <w:pPr>
              <w:spacing w:after="0"/>
              <w:rPr>
                <w:sz w:val="20"/>
                <w:szCs w:val="20"/>
                <w:color w:val="auto"/>
              </w:rPr>
            </w:pPr>
            <w:r>
              <w:rPr>
                <w:rFonts w:ascii="Arial" w:cs="Arial" w:eastAsia="Arial" w:hAnsi="Arial"/>
                <w:sz w:val="18"/>
                <w:szCs w:val="18"/>
                <w:color w:val="auto"/>
              </w:rPr>
              <w:t>Meryl S. Golden</w:t>
            </w:r>
          </w:p>
        </w:tc>
        <w:tc>
          <w:tcPr>
            <w:tcW w:w="11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50,000</w:t>
            </w:r>
          </w:p>
        </w:tc>
        <w:tc>
          <w:tcPr>
            <w:tcW w:w="13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3"/>
              </w:rPr>
              <w:t>$8.72</w:t>
            </w:r>
          </w:p>
        </w:tc>
        <w:tc>
          <w:tcPr>
            <w:tcW w:w="10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3"/>
              </w:rPr>
              <w:t>9/25/24</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51,600(2)</w:t>
            </w:r>
          </w:p>
        </w:tc>
        <w:tc>
          <w:tcPr>
            <w:tcW w:w="960" w:type="dxa"/>
            <w:vAlign w:val="bottom"/>
            <w:shd w:val="clear" w:color="auto" w:fill="CCECFF"/>
          </w:tcPr>
          <w:p>
            <w:pPr>
              <w:spacing w:after="0"/>
              <w:rPr>
                <w:sz w:val="18"/>
                <w:szCs w:val="18"/>
                <w:color w:val="auto"/>
              </w:rPr>
            </w:pPr>
          </w:p>
        </w:tc>
        <w:tc>
          <w:tcPr>
            <w:tcW w:w="11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7"/>
              </w:rPr>
              <w:t>$-</w:t>
            </w:r>
          </w:p>
        </w:tc>
      </w:tr>
      <w:tr>
        <w:trPr>
          <w:trHeight w:val="216"/>
        </w:trPr>
        <w:tc>
          <w:tcPr>
            <w:tcW w:w="2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440" w:type="dxa"/>
            <w:vAlign w:val="bottom"/>
            <w:shd w:val="clear" w:color="auto" w:fill="CCECFF"/>
          </w:tcPr>
          <w:p>
            <w:pPr>
              <w:spacing w:after="0"/>
              <w:rPr>
                <w:sz w:val="20"/>
                <w:szCs w:val="20"/>
                <w:color w:val="auto"/>
              </w:rPr>
            </w:pPr>
            <w:r>
              <w:rPr>
                <w:rFonts w:ascii="Arial" w:cs="Arial" w:eastAsia="Arial" w:hAnsi="Arial"/>
                <w:sz w:val="18"/>
                <w:szCs w:val="18"/>
                <w:color w:val="auto"/>
              </w:rPr>
              <w:t>Sarah (Minlei) Chen</w:t>
            </w:r>
          </w:p>
        </w:tc>
        <w:tc>
          <w:tcPr>
            <w:tcW w:w="11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5,413(3)</w:t>
            </w:r>
          </w:p>
        </w:tc>
        <w:tc>
          <w:tcPr>
            <w:tcW w:w="960" w:type="dxa"/>
            <w:vAlign w:val="bottom"/>
            <w:shd w:val="clear" w:color="auto" w:fill="CCECFF"/>
          </w:tcPr>
          <w:p>
            <w:pPr>
              <w:spacing w:after="0"/>
              <w:rPr>
                <w:sz w:val="18"/>
                <w:szCs w:val="18"/>
                <w:color w:val="auto"/>
              </w:rPr>
            </w:pPr>
          </w:p>
        </w:tc>
        <w:tc>
          <w:tcPr>
            <w:tcW w:w="11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7"/>
              </w:rPr>
              <w:t>$-</w:t>
            </w:r>
          </w:p>
        </w:tc>
      </w:tr>
      <w:tr>
        <w:trPr>
          <w:trHeight w:val="274"/>
        </w:trPr>
        <w:tc>
          <w:tcPr>
            <w:tcW w:w="2440" w:type="dxa"/>
            <w:vAlign w:val="bottom"/>
          </w:tcPr>
          <w:p>
            <w:pPr>
              <w:spacing w:after="0"/>
              <w:rPr>
                <w:sz w:val="20"/>
                <w:szCs w:val="20"/>
                <w:color w:val="auto"/>
              </w:rPr>
            </w:pPr>
            <w:r>
              <w:rPr>
                <w:rFonts w:ascii="Arial" w:cs="Arial" w:eastAsia="Arial" w:hAnsi="Arial"/>
                <w:sz w:val="22"/>
                <w:szCs w:val="22"/>
                <w:color w:val="auto"/>
                <w:w w:val="98"/>
              </w:rPr>
              <w:t>____________________</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197" w:lineRule="exact"/>
        <w:rPr>
          <w:sz w:val="20"/>
          <w:szCs w:val="20"/>
          <w:color w:val="auto"/>
        </w:rPr>
      </w:pPr>
    </w:p>
    <w:p>
      <w:pPr>
        <w:ind w:left="860" w:hanging="532"/>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shares will vest to the extent of 105,696 shares on December 29, 2023, and 105,695 shares on December 30, 2024.</w:t>
      </w:r>
    </w:p>
    <w:p>
      <w:pPr>
        <w:spacing w:after="0" w:line="225" w:lineRule="exact"/>
        <w:rPr>
          <w:rFonts w:ascii="Arial" w:cs="Arial" w:eastAsia="Arial" w:hAnsi="Arial"/>
          <w:sz w:val="18"/>
          <w:szCs w:val="18"/>
          <w:color w:val="auto"/>
        </w:rPr>
      </w:pPr>
    </w:p>
    <w:p>
      <w:pPr>
        <w:ind w:left="860" w:hanging="532"/>
        <w:spacing w:after="0" w:line="308" w:lineRule="auto"/>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Such shares vested to the extent of 10,000 shares on each of January 3, 2023 and January 4, 2023, and will vest to the extent of 10,000 shares on each of January 3, 2024, January 4, 2024 and January 3, 2025 and 800 shares on each of December 13, 2023 and 2024.</w:t>
      </w:r>
    </w:p>
    <w:p>
      <w:pPr>
        <w:spacing w:after="0" w:line="146" w:lineRule="exact"/>
        <w:rPr>
          <w:rFonts w:ascii="Arial" w:cs="Arial" w:eastAsia="Arial" w:hAnsi="Arial"/>
          <w:sz w:val="17"/>
          <w:szCs w:val="17"/>
          <w:color w:val="auto"/>
        </w:rPr>
      </w:pPr>
    </w:p>
    <w:p>
      <w:pPr>
        <w:ind w:left="860" w:hanging="532"/>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shares vested to the extent of 1,191 shares on January 28, 2023, and will vest to the extent of 1,432 shares on November 2, 2023, 1,190 shares on January 28, 2024, and 800 shares on each of December 13, 2023 and 2024.</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 of Employment and Change-in-Control Arrangements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Barry B. Goldstein</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Pursuant to the Third Amended Goldstein Employment Agreement, in the event that Mr. Goldstein’s employment is terminated by us without cause, or he resigns for good reason (each as defined in each such employment agreement), Mr. Goldstein would be entitled to receive his annual base salary and bonus for the remainder of the term. In addition, in the event that Mr. Goldstein’s employment is terminated by us for any reason, or he resigns for any reason, or, in the event of the termination of Mr. Goldstein’s employment due to disability or death, Mr. Goldstein’s granted but unvested restricted stock awards will vest.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 In addition, pursuant to the 2014 Plan, Mr. Goldstein’s unvested restricted stock awards will vest in the event of a change of control of the Company.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Meryl S. Golden</w:t>
      </w:r>
    </w:p>
    <w:p>
      <w:pPr>
        <w:spacing w:after="0" w:line="2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Second Amended Golden Employment Agreement, in the event that Ms. Golden’s employment is terminated by us without cause, or she resigns for good reason (each as defined in the Second Amended Golden Employment Agreement), Ms. Golden would be entitled to receive her annual base salary for the remainder of the term or for twelve months, whichever is later. In addition, pursuant to the 2014 Plan, in the event of a termination of employment due to the death or disability of Ms. Golden, the stock grants scheduled to vest on the next vesting date following such event shall vest under certain circumstances notwithstanding such event. Further, in the event that Ms. Golden’s employment is terminated by us without cause, or she resigns for good reason, Ms. Golden’s granted but unvested restricted stock awards will vest.</w:t>
      </w:r>
    </w:p>
    <w:p>
      <w:pPr>
        <w:spacing w:after="0" w:line="205" w:lineRule="exact"/>
        <w:rPr>
          <w:sz w:val="20"/>
          <w:szCs w:val="20"/>
          <w:color w:val="auto"/>
        </w:rPr>
      </w:pPr>
    </w:p>
    <w:p>
      <w:pPr>
        <w:jc w:val="both"/>
        <w:ind w:firstLine="702"/>
        <w:spacing w:after="0" w:line="286" w:lineRule="auto"/>
        <w:rPr>
          <w:sz w:val="20"/>
          <w:szCs w:val="20"/>
          <w:color w:val="auto"/>
        </w:rPr>
      </w:pPr>
      <w:r>
        <w:rPr>
          <w:rFonts w:ascii="Arial" w:cs="Arial" w:eastAsia="Arial" w:hAnsi="Arial"/>
          <w:sz w:val="17"/>
          <w:szCs w:val="17"/>
          <w:color w:val="auto"/>
        </w:rPr>
        <w:t>Ms. Golden would be entitled to receive, under certain circumstances, a payment equal to 1.5 times her then annual base salary and her accrued bonus in the event of the termination of her employment within eighteen months following a change in control of the Company. In addition, pursuant to the 2014 Plan, Ms. Golden’s outstanding restricted stock awards will vest in the event of a change of control of the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Sarah (Minlei) Chen</w:t>
      </w:r>
    </w:p>
    <w:p>
      <w:pPr>
        <w:spacing w:after="0" w:line="2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the 2014 Plan, in the event of a termination of employment due to the death or disability of Ms. Chen, the stock grants scheduled to vest on the next vesting date following such event shall vest under certain circumstances notwithstanding such event. In addition, pursuant to the 2014 Plan, Ms. Chen’s outstanding restricted stock awards will vest in the event of a change of control of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sets forth certain information concerning the compensation of our non-employee directors for the fiscal year ended December 31, 2022:</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Fees Earned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or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Paid in Cash</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Awards(1)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Awards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394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2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133,000</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Floyd R. Tupper</w:t>
            </w:r>
          </w:p>
        </w:tc>
        <w:tc>
          <w:tcPr>
            <w:tcW w:w="2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88,000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2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100" w:type="dxa"/>
            <w:vAlign w:val="bottom"/>
            <w:shd w:val="clear" w:color="auto" w:fill="CCEEFF"/>
          </w:tcPr>
          <w:p>
            <w:pPr>
              <w:spacing w:after="0"/>
              <w:rPr>
                <w:sz w:val="18"/>
                <w:szCs w:val="18"/>
                <w:color w:val="auto"/>
              </w:rPr>
            </w:pPr>
          </w:p>
        </w:tc>
      </w:tr>
      <w:tr>
        <w:trPr>
          <w:trHeight w:val="195"/>
        </w:trPr>
        <w:tc>
          <w:tcPr>
            <w:tcW w:w="3940" w:type="dxa"/>
            <w:vAlign w:val="bottom"/>
          </w:tcPr>
          <w:p>
            <w:pPr>
              <w:spacing w:after="0" w:line="195" w:lineRule="exact"/>
              <w:rPr>
                <w:sz w:val="20"/>
                <w:szCs w:val="20"/>
                <w:color w:val="auto"/>
              </w:rPr>
            </w:pPr>
            <w:r>
              <w:rPr>
                <w:rFonts w:ascii="Arial" w:cs="Arial" w:eastAsia="Arial" w:hAnsi="Arial"/>
                <w:sz w:val="18"/>
                <w:szCs w:val="18"/>
                <w:color w:val="auto"/>
              </w:rPr>
              <w:t>Timothy P. McFadden</w:t>
            </w:r>
          </w:p>
        </w:tc>
        <w:tc>
          <w:tcPr>
            <w:tcW w:w="228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78,000</w:t>
            </w:r>
          </w:p>
        </w:tc>
        <w:tc>
          <w:tcPr>
            <w:tcW w:w="3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40,000</w:t>
            </w:r>
          </w:p>
        </w:tc>
        <w:tc>
          <w:tcPr>
            <w:tcW w:w="4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118,000</w:t>
            </w:r>
          </w:p>
        </w:tc>
        <w:tc>
          <w:tcPr>
            <w:tcW w:w="100" w:type="dxa"/>
            <w:vAlign w:val="bottom"/>
          </w:tcPr>
          <w:p>
            <w:pPr>
              <w:spacing w:after="0"/>
              <w:rPr>
                <w:sz w:val="16"/>
                <w:szCs w:val="16"/>
                <w:color w:val="auto"/>
              </w:rPr>
            </w:pPr>
          </w:p>
        </w:tc>
      </w:tr>
      <w:tr>
        <w:trPr>
          <w:trHeight w:val="274"/>
        </w:trPr>
        <w:tc>
          <w:tcPr>
            <w:tcW w:w="3940" w:type="dxa"/>
            <w:vAlign w:val="bottom"/>
          </w:tcPr>
          <w:p>
            <w:pPr>
              <w:spacing w:after="0"/>
              <w:rPr>
                <w:sz w:val="20"/>
                <w:szCs w:val="20"/>
                <w:color w:val="auto"/>
              </w:rPr>
            </w:pPr>
            <w:r>
              <w:rPr>
                <w:rFonts w:ascii="Arial" w:cs="Arial" w:eastAsia="Arial" w:hAnsi="Arial"/>
                <w:sz w:val="22"/>
                <w:szCs w:val="22"/>
                <w:color w:val="auto"/>
              </w:rPr>
              <w:t>__________________</w:t>
            </w:r>
          </w:p>
        </w:tc>
        <w:tc>
          <w:tcPr>
            <w:tcW w:w="2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19" w:lineRule="exact"/>
        <w:rPr>
          <w:sz w:val="20"/>
          <w:szCs w:val="20"/>
          <w:color w:val="auto"/>
        </w:rPr>
      </w:pPr>
    </w:p>
    <w:p>
      <w:pPr>
        <w:jc w:val="both"/>
        <w:ind w:left="860" w:hanging="527"/>
        <w:spacing w:after="0" w:line="259"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2022, available electronically to our stockholders.</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aggregate number of unvested restricted stock awards outstanding as of fiscal year end for each non-employee director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574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Unvested Restricted</w:t>
            </w:r>
          </w:p>
        </w:tc>
      </w:tr>
      <w:tr>
        <w:trPr>
          <w:trHeight w:val="241"/>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5740" w:type="dxa"/>
            <w:vAlign w:val="bottom"/>
            <w:tcBorders>
              <w:bottom w:val="single" w:sz="8" w:color="auto"/>
            </w:tcBorders>
          </w:tcPr>
          <w:p>
            <w:pPr>
              <w:jc w:val="center"/>
              <w:ind w:left="3490"/>
              <w:spacing w:after="0"/>
              <w:rPr>
                <w:sz w:val="20"/>
                <w:szCs w:val="20"/>
                <w:color w:val="auto"/>
              </w:rPr>
            </w:pPr>
            <w:r>
              <w:rPr>
                <w:rFonts w:ascii="Arial" w:cs="Arial" w:eastAsia="Arial" w:hAnsi="Arial"/>
                <w:sz w:val="18"/>
                <w:szCs w:val="18"/>
                <w:b w:val="1"/>
                <w:bCs w:val="1"/>
                <w:color w:val="auto"/>
                <w:w w:val="90"/>
              </w:rPr>
              <w:t>Stock Awards (#)</w:t>
            </w:r>
          </w:p>
        </w:tc>
      </w:tr>
      <w:tr>
        <w:trPr>
          <w:trHeight w:val="216"/>
        </w:trPr>
        <w:tc>
          <w:tcPr>
            <w:tcW w:w="550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5500" w:type="dxa"/>
            <w:vAlign w:val="bottom"/>
            <w:shd w:val="clear" w:color="auto" w:fill="CCECFF"/>
          </w:tcPr>
          <w:p>
            <w:pPr>
              <w:spacing w:after="0"/>
              <w:rPr>
                <w:sz w:val="20"/>
                <w:szCs w:val="20"/>
                <w:color w:val="auto"/>
              </w:rPr>
            </w:pPr>
            <w:r>
              <w:rPr>
                <w:rFonts w:ascii="Arial" w:cs="Arial" w:eastAsia="Arial" w:hAnsi="Arial"/>
                <w:sz w:val="18"/>
                <w:szCs w:val="18"/>
                <w:color w:val="auto"/>
              </w:rPr>
              <w:t>Floyd R. Tupper</w:t>
            </w:r>
          </w:p>
        </w:tc>
        <w:tc>
          <w:tcPr>
            <w:tcW w:w="5740" w:type="dxa"/>
            <w:vAlign w:val="bottom"/>
            <w:shd w:val="clear" w:color="auto" w:fill="CCECFF"/>
          </w:tcPr>
          <w:p>
            <w:pPr>
              <w:jc w:val="center"/>
              <w:ind w:left="3490"/>
              <w:spacing w:after="0"/>
              <w:rPr>
                <w:sz w:val="20"/>
                <w:szCs w:val="20"/>
                <w:color w:val="auto"/>
              </w:rPr>
            </w:pPr>
            <w:r>
              <w:rPr>
                <w:rFonts w:ascii="Arial" w:cs="Arial" w:eastAsia="Arial" w:hAnsi="Arial"/>
                <w:sz w:val="18"/>
                <w:szCs w:val="18"/>
                <w:color w:val="auto"/>
                <w:w w:val="88"/>
              </w:rPr>
              <w:t>8,000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William L. Yankus</w:t>
            </w:r>
          </w:p>
        </w:tc>
        <w:tc>
          <w:tcPr>
            <w:tcW w:w="5740" w:type="dxa"/>
            <w:vAlign w:val="bottom"/>
          </w:tcPr>
          <w:p>
            <w:pPr>
              <w:jc w:val="center"/>
              <w:ind w:left="3490"/>
              <w:spacing w:after="0"/>
              <w:rPr>
                <w:sz w:val="20"/>
                <w:szCs w:val="20"/>
                <w:color w:val="auto"/>
              </w:rPr>
            </w:pPr>
            <w:r>
              <w:rPr>
                <w:rFonts w:ascii="Arial" w:cs="Arial" w:eastAsia="Arial" w:hAnsi="Arial"/>
                <w:sz w:val="18"/>
                <w:szCs w:val="18"/>
                <w:color w:val="auto"/>
                <w:w w:val="88"/>
              </w:rPr>
              <w:t>8,000</w:t>
            </w:r>
          </w:p>
        </w:tc>
      </w:tr>
      <w:tr>
        <w:trPr>
          <w:trHeight w:val="216"/>
        </w:trPr>
        <w:tc>
          <w:tcPr>
            <w:tcW w:w="5500" w:type="dxa"/>
            <w:vAlign w:val="bottom"/>
            <w:shd w:val="clear" w:color="auto" w:fill="CCECFF"/>
          </w:tcPr>
          <w:p>
            <w:pPr>
              <w:spacing w:after="0"/>
              <w:rPr>
                <w:sz w:val="20"/>
                <w:szCs w:val="20"/>
                <w:color w:val="auto"/>
              </w:rPr>
            </w:pPr>
            <w:r>
              <w:rPr>
                <w:rFonts w:ascii="Arial" w:cs="Arial" w:eastAsia="Arial" w:hAnsi="Arial"/>
                <w:sz w:val="18"/>
                <w:szCs w:val="18"/>
                <w:color w:val="auto"/>
              </w:rPr>
              <w:t>Carla A. D’Andre</w:t>
            </w:r>
          </w:p>
        </w:tc>
        <w:tc>
          <w:tcPr>
            <w:tcW w:w="5740" w:type="dxa"/>
            <w:vAlign w:val="bottom"/>
            <w:shd w:val="clear" w:color="auto" w:fill="CCECFF"/>
          </w:tcPr>
          <w:p>
            <w:pPr>
              <w:jc w:val="center"/>
              <w:ind w:left="3490"/>
              <w:spacing w:after="0"/>
              <w:rPr>
                <w:sz w:val="20"/>
                <w:szCs w:val="20"/>
                <w:color w:val="auto"/>
              </w:rPr>
            </w:pPr>
            <w:r>
              <w:rPr>
                <w:rFonts w:ascii="Arial" w:cs="Arial" w:eastAsia="Arial" w:hAnsi="Arial"/>
                <w:sz w:val="18"/>
                <w:szCs w:val="18"/>
                <w:color w:val="auto"/>
                <w:w w:val="88"/>
              </w:rPr>
              <w:t>8,000</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Timothy P. McFadden</w:t>
            </w:r>
          </w:p>
        </w:tc>
        <w:tc>
          <w:tcPr>
            <w:tcW w:w="5740" w:type="dxa"/>
            <w:vAlign w:val="bottom"/>
          </w:tcPr>
          <w:p>
            <w:pPr>
              <w:jc w:val="center"/>
              <w:ind w:left="3490"/>
              <w:spacing w:after="0"/>
              <w:rPr>
                <w:sz w:val="20"/>
                <w:szCs w:val="20"/>
                <w:color w:val="auto"/>
              </w:rPr>
            </w:pPr>
            <w:r>
              <w:rPr>
                <w:rFonts w:ascii="Arial" w:cs="Arial" w:eastAsia="Arial" w:hAnsi="Arial"/>
                <w:sz w:val="18"/>
                <w:szCs w:val="18"/>
                <w:color w:val="auto"/>
                <w:w w:val="88"/>
              </w:rPr>
              <w:t>8,000</w:t>
            </w: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Our non-employee directors are entitled to receive annual compensation for their services as directors as follows:</w:t>
      </w:r>
    </w:p>
    <w:p>
      <w:pPr>
        <w:spacing w:after="0" w:line="252" w:lineRule="exact"/>
        <w:rPr>
          <w:sz w:val="20"/>
          <w:szCs w:val="20"/>
          <w:color w:val="auto"/>
        </w:rPr>
      </w:pPr>
    </w:p>
    <w:p>
      <w:pPr>
        <w:ind w:left="860" w:hanging="47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$50,000;</w:t>
      </w:r>
    </w:p>
    <w:p>
      <w:pPr>
        <w:spacing w:after="0" w:line="225" w:lineRule="exact"/>
        <w:rPr>
          <w:rFonts w:ascii="Arial" w:cs="Arial" w:eastAsia="Arial" w:hAnsi="Arial"/>
          <w:sz w:val="18"/>
          <w:szCs w:val="18"/>
          <w:color w:val="auto"/>
        </w:rPr>
      </w:pPr>
    </w:p>
    <w:p>
      <w:pPr>
        <w:ind w:left="860" w:hanging="478"/>
        <w:spacing w:after="0" w:line="342"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additional $25,000 for service as audit committee chair, an additional $20,000 for service as compensation and finance committee chair, an additional $10,000 for service as investment committee chair, and an additional $15,000 for service as chair of other committees; and</w:t>
      </w:r>
    </w:p>
    <w:p>
      <w:pPr>
        <w:spacing w:after="0" w:line="123" w:lineRule="exact"/>
        <w:rPr>
          <w:rFonts w:ascii="Arial" w:cs="Arial" w:eastAsia="Arial" w:hAnsi="Arial"/>
          <w:sz w:val="16"/>
          <w:szCs w:val="16"/>
          <w:color w:val="auto"/>
        </w:rPr>
      </w:pPr>
    </w:p>
    <w:p>
      <w:pPr>
        <w:ind w:left="860" w:hanging="478"/>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$53,000 of our common stock determined by the closing stock price on the first business day of the year, which vest on the first anniversary of the grant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OWNERSHIP OF CERTAIN BENEFICIAL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OWNERS AND MANAGEMENT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table sets forth certain information as of June 15, 2023,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Name and Address</w:t>
            </w:r>
          </w:p>
        </w:tc>
        <w:tc>
          <w:tcPr>
            <w:tcW w:w="406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Number of Shares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4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 Beneficial Owner</w:t>
            </w:r>
          </w:p>
        </w:tc>
        <w:tc>
          <w:tcPr>
            <w:tcW w:w="406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b w:val="1"/>
                <w:bCs w:val="1"/>
                <w:color w:val="auto"/>
                <w:w w:val="90"/>
              </w:rPr>
              <w:t>Beneficially Owned</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 of Class</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2"/>
        </w:trPr>
        <w:tc>
          <w:tcPr>
            <w:tcW w:w="452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Barry B. Goldstein</w:t>
            </w:r>
          </w:p>
        </w:tc>
        <w:tc>
          <w:tcPr>
            <w:tcW w:w="4060" w:type="dxa"/>
            <w:vAlign w:val="bottom"/>
            <w:shd w:val="clear" w:color="auto" w:fill="CCECFF"/>
          </w:tcPr>
          <w:p>
            <w:pPr>
              <w:spacing w:after="0"/>
              <w:rPr>
                <w:sz w:val="17"/>
                <w:szCs w:val="17"/>
                <w:color w:val="auto"/>
              </w:rPr>
            </w:pPr>
          </w:p>
        </w:tc>
        <w:tc>
          <w:tcPr>
            <w:tcW w:w="2660" w:type="dxa"/>
            <w:vAlign w:val="bottom"/>
            <w:shd w:val="clear" w:color="auto" w:fill="CCECFF"/>
          </w:tcPr>
          <w:p>
            <w:pPr>
              <w:spacing w:after="0"/>
              <w:rPr>
                <w:sz w:val="17"/>
                <w:szCs w:val="17"/>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15 Joys Lane</w:t>
            </w:r>
          </w:p>
        </w:tc>
        <w:tc>
          <w:tcPr>
            <w:tcW w:w="4060" w:type="dxa"/>
            <w:vAlign w:val="bottom"/>
            <w:shd w:val="clear" w:color="auto" w:fill="CCECFF"/>
          </w:tcPr>
          <w:p>
            <w:pPr>
              <w:spacing w:after="0"/>
              <w:rPr>
                <w:sz w:val="18"/>
                <w:szCs w:val="18"/>
                <w:color w:val="auto"/>
              </w:rPr>
            </w:pPr>
          </w:p>
        </w:tc>
        <w:tc>
          <w:tcPr>
            <w:tcW w:w="2660" w:type="dxa"/>
            <w:vAlign w:val="bottom"/>
            <w:shd w:val="clear" w:color="auto" w:fill="CCECFF"/>
          </w:tcPr>
          <w:p>
            <w:pPr>
              <w:spacing w:after="0"/>
              <w:rPr>
                <w:sz w:val="18"/>
                <w:szCs w:val="18"/>
                <w:color w:val="auto"/>
              </w:rPr>
            </w:pPr>
          </w:p>
        </w:tc>
      </w:tr>
      <w:tr>
        <w:trPr>
          <w:trHeight w:val="230"/>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Kingston, New York</w:t>
            </w:r>
          </w:p>
        </w:tc>
        <w:tc>
          <w:tcPr>
            <w:tcW w:w="4060" w:type="dxa"/>
            <w:vAlign w:val="bottom"/>
            <w:shd w:val="clear" w:color="auto" w:fill="CCECFF"/>
          </w:tcPr>
          <w:p>
            <w:pPr>
              <w:jc w:val="center"/>
              <w:ind w:left="850"/>
              <w:spacing w:after="0"/>
              <w:rPr>
                <w:sz w:val="20"/>
                <w:szCs w:val="20"/>
                <w:color w:val="auto"/>
              </w:rPr>
            </w:pPr>
            <w:r>
              <w:rPr>
                <w:rFonts w:ascii="Arial" w:cs="Arial" w:eastAsia="Arial" w:hAnsi="Arial"/>
                <w:sz w:val="18"/>
                <w:szCs w:val="18"/>
                <w:color w:val="auto"/>
                <w:w w:val="91"/>
              </w:rPr>
              <w:t>832,076 (1)</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7.7%</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Floyd R. Tupper</w:t>
            </w:r>
          </w:p>
        </w:tc>
        <w:tc>
          <w:tcPr>
            <w:tcW w:w="4060" w:type="dxa"/>
            <w:vAlign w:val="bottom"/>
            <w:shd w:val="clear" w:color="auto" w:fill="CCECFF"/>
          </w:tcPr>
          <w:p>
            <w:pPr>
              <w:jc w:val="center"/>
              <w:ind w:left="870"/>
              <w:spacing w:after="0"/>
              <w:rPr>
                <w:sz w:val="20"/>
                <w:szCs w:val="20"/>
                <w:color w:val="auto"/>
              </w:rPr>
            </w:pPr>
            <w:r>
              <w:rPr>
                <w:rFonts w:ascii="Arial" w:cs="Arial" w:eastAsia="Arial" w:hAnsi="Arial"/>
                <w:sz w:val="18"/>
                <w:szCs w:val="18"/>
                <w:color w:val="auto"/>
                <w:w w:val="90"/>
              </w:rPr>
              <w:t>87,576 (2)</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Meryl S. Golden</w:t>
            </w:r>
          </w:p>
        </w:tc>
        <w:tc>
          <w:tcPr>
            <w:tcW w:w="4060" w:type="dxa"/>
            <w:vAlign w:val="bottom"/>
            <w:shd w:val="clear" w:color="auto" w:fill="CCECFF"/>
          </w:tcPr>
          <w:p>
            <w:pPr>
              <w:jc w:val="center"/>
              <w:ind w:left="870"/>
              <w:spacing w:after="0"/>
              <w:rPr>
                <w:sz w:val="20"/>
                <w:szCs w:val="20"/>
                <w:color w:val="auto"/>
              </w:rPr>
            </w:pPr>
            <w:r>
              <w:rPr>
                <w:rFonts w:ascii="Arial" w:cs="Arial" w:eastAsia="Arial" w:hAnsi="Arial"/>
                <w:sz w:val="18"/>
                <w:szCs w:val="18"/>
                <w:color w:val="auto"/>
                <w:w w:val="90"/>
              </w:rPr>
              <w:t>85,248 (3)</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William L. Yankus</w:t>
            </w:r>
          </w:p>
        </w:tc>
        <w:tc>
          <w:tcPr>
            <w:tcW w:w="4060" w:type="dxa"/>
            <w:vAlign w:val="bottom"/>
            <w:shd w:val="clear" w:color="auto" w:fill="CCECFF"/>
          </w:tcPr>
          <w:p>
            <w:pPr>
              <w:jc w:val="center"/>
              <w:ind w:left="870"/>
              <w:spacing w:after="0"/>
              <w:rPr>
                <w:sz w:val="20"/>
                <w:szCs w:val="20"/>
                <w:color w:val="auto"/>
              </w:rPr>
            </w:pPr>
            <w:r>
              <w:rPr>
                <w:rFonts w:ascii="Arial" w:cs="Arial" w:eastAsia="Arial" w:hAnsi="Arial"/>
                <w:sz w:val="18"/>
                <w:szCs w:val="18"/>
                <w:color w:val="auto"/>
                <w:w w:val="90"/>
              </w:rPr>
              <w:t>37,945</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Carla A. D’Andre</w:t>
            </w:r>
          </w:p>
        </w:tc>
        <w:tc>
          <w:tcPr>
            <w:tcW w:w="4060" w:type="dxa"/>
            <w:vAlign w:val="bottom"/>
            <w:shd w:val="clear" w:color="auto" w:fill="CCECFF"/>
          </w:tcPr>
          <w:p>
            <w:pPr>
              <w:jc w:val="center"/>
              <w:ind w:left="870"/>
              <w:spacing w:after="0"/>
              <w:rPr>
                <w:sz w:val="20"/>
                <w:szCs w:val="20"/>
                <w:color w:val="auto"/>
              </w:rPr>
            </w:pPr>
            <w:r>
              <w:rPr>
                <w:rFonts w:ascii="Arial" w:cs="Arial" w:eastAsia="Arial" w:hAnsi="Arial"/>
                <w:sz w:val="18"/>
                <w:szCs w:val="18"/>
                <w:color w:val="auto"/>
                <w:w w:val="90"/>
              </w:rPr>
              <w:t>36,095 (4)</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Timothy P. McFadden</w:t>
            </w:r>
          </w:p>
        </w:tc>
        <w:tc>
          <w:tcPr>
            <w:tcW w:w="4060" w:type="dxa"/>
            <w:vAlign w:val="bottom"/>
            <w:shd w:val="clear" w:color="auto" w:fill="CCECFF"/>
          </w:tcPr>
          <w:p>
            <w:pPr>
              <w:jc w:val="center"/>
              <w:ind w:left="870"/>
              <w:spacing w:after="0"/>
              <w:rPr>
                <w:sz w:val="20"/>
                <w:szCs w:val="20"/>
                <w:color w:val="auto"/>
              </w:rPr>
            </w:pPr>
            <w:r>
              <w:rPr>
                <w:rFonts w:ascii="Arial" w:cs="Arial" w:eastAsia="Arial" w:hAnsi="Arial"/>
                <w:sz w:val="18"/>
                <w:szCs w:val="18"/>
                <w:color w:val="auto"/>
                <w:w w:val="90"/>
              </w:rPr>
              <w:t>35,740</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Sarah (Minlei) Chen</w:t>
            </w:r>
          </w:p>
        </w:tc>
        <w:tc>
          <w:tcPr>
            <w:tcW w:w="4060" w:type="dxa"/>
            <w:vAlign w:val="bottom"/>
            <w:shd w:val="clear" w:color="auto" w:fill="CCECFF"/>
          </w:tcPr>
          <w:p>
            <w:pPr>
              <w:jc w:val="center"/>
              <w:ind w:left="870"/>
              <w:spacing w:after="0"/>
              <w:rPr>
                <w:sz w:val="20"/>
                <w:szCs w:val="20"/>
                <w:color w:val="auto"/>
              </w:rPr>
            </w:pPr>
            <w:r>
              <w:rPr>
                <w:rFonts w:ascii="Arial" w:cs="Arial" w:eastAsia="Arial" w:hAnsi="Arial"/>
                <w:sz w:val="18"/>
                <w:szCs w:val="18"/>
                <w:color w:val="auto"/>
                <w:w w:val="93"/>
              </w:rPr>
              <w:t>3,987</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2"/>
        </w:trPr>
        <w:tc>
          <w:tcPr>
            <w:tcW w:w="452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Gregory Fortunoff</w:t>
            </w:r>
          </w:p>
        </w:tc>
        <w:tc>
          <w:tcPr>
            <w:tcW w:w="4060" w:type="dxa"/>
            <w:vAlign w:val="bottom"/>
            <w:shd w:val="clear" w:color="auto" w:fill="CCECFF"/>
          </w:tcPr>
          <w:p>
            <w:pPr>
              <w:spacing w:after="0"/>
              <w:rPr>
                <w:sz w:val="17"/>
                <w:szCs w:val="17"/>
                <w:color w:val="auto"/>
              </w:rPr>
            </w:pPr>
          </w:p>
        </w:tc>
        <w:tc>
          <w:tcPr>
            <w:tcW w:w="2660" w:type="dxa"/>
            <w:vAlign w:val="bottom"/>
            <w:shd w:val="clear" w:color="auto" w:fill="CCECFF"/>
          </w:tcPr>
          <w:p>
            <w:pPr>
              <w:spacing w:after="0"/>
              <w:rPr>
                <w:sz w:val="17"/>
                <w:szCs w:val="17"/>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49 West 37th Street</w:t>
            </w:r>
          </w:p>
        </w:tc>
        <w:tc>
          <w:tcPr>
            <w:tcW w:w="4060" w:type="dxa"/>
            <w:vAlign w:val="bottom"/>
            <w:shd w:val="clear" w:color="auto" w:fill="CCECFF"/>
          </w:tcPr>
          <w:p>
            <w:pPr>
              <w:spacing w:after="0"/>
              <w:rPr>
                <w:sz w:val="18"/>
                <w:szCs w:val="18"/>
                <w:color w:val="auto"/>
              </w:rPr>
            </w:pPr>
          </w:p>
        </w:tc>
        <w:tc>
          <w:tcPr>
            <w:tcW w:w="2660" w:type="dxa"/>
            <w:vAlign w:val="bottom"/>
            <w:shd w:val="clear" w:color="auto" w:fill="CCECFF"/>
          </w:tcPr>
          <w:p>
            <w:pPr>
              <w:spacing w:after="0"/>
              <w:rPr>
                <w:sz w:val="18"/>
                <w:szCs w:val="18"/>
                <w:color w:val="auto"/>
              </w:rPr>
            </w:pPr>
          </w:p>
        </w:tc>
      </w:tr>
      <w:tr>
        <w:trPr>
          <w:trHeight w:val="230"/>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New York, New York 10018</w:t>
            </w:r>
          </w:p>
        </w:tc>
        <w:tc>
          <w:tcPr>
            <w:tcW w:w="4060" w:type="dxa"/>
            <w:vAlign w:val="bottom"/>
            <w:shd w:val="clear" w:color="auto" w:fill="CCECFF"/>
          </w:tcPr>
          <w:p>
            <w:pPr>
              <w:jc w:val="center"/>
              <w:ind w:left="850"/>
              <w:spacing w:after="0"/>
              <w:rPr>
                <w:sz w:val="20"/>
                <w:szCs w:val="20"/>
                <w:color w:val="auto"/>
              </w:rPr>
            </w:pPr>
            <w:r>
              <w:rPr>
                <w:rFonts w:ascii="Arial" w:cs="Arial" w:eastAsia="Arial" w:hAnsi="Arial"/>
                <w:sz w:val="18"/>
                <w:szCs w:val="18"/>
                <w:color w:val="auto"/>
                <w:w w:val="91"/>
              </w:rPr>
              <w:t>813,905 (5)</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7.6%</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2"/>
        </w:trPr>
        <w:tc>
          <w:tcPr>
            <w:tcW w:w="452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The TCW Group, Inc.</w:t>
            </w:r>
          </w:p>
        </w:tc>
        <w:tc>
          <w:tcPr>
            <w:tcW w:w="4060" w:type="dxa"/>
            <w:vAlign w:val="bottom"/>
            <w:shd w:val="clear" w:color="auto" w:fill="CCECFF"/>
          </w:tcPr>
          <w:p>
            <w:pPr>
              <w:spacing w:after="0"/>
              <w:rPr>
                <w:sz w:val="17"/>
                <w:szCs w:val="17"/>
                <w:color w:val="auto"/>
              </w:rPr>
            </w:pPr>
          </w:p>
        </w:tc>
        <w:tc>
          <w:tcPr>
            <w:tcW w:w="2660" w:type="dxa"/>
            <w:vAlign w:val="bottom"/>
            <w:shd w:val="clear" w:color="auto" w:fill="CCECFF"/>
          </w:tcPr>
          <w:p>
            <w:pPr>
              <w:spacing w:after="0"/>
              <w:rPr>
                <w:sz w:val="17"/>
                <w:szCs w:val="17"/>
                <w:color w:val="auto"/>
              </w:rPr>
            </w:pPr>
          </w:p>
        </w:tc>
      </w:tr>
      <w:tr>
        <w:trPr>
          <w:trHeight w:val="216"/>
        </w:trPr>
        <w:tc>
          <w:tcPr>
            <w:tcW w:w="4520" w:type="dxa"/>
            <w:vAlign w:val="bottom"/>
            <w:shd w:val="clear" w:color="auto" w:fill="CCECFF"/>
          </w:tcPr>
          <w:p>
            <w:pPr>
              <w:ind w:left="180"/>
              <w:spacing w:after="0"/>
              <w:rPr>
                <w:sz w:val="20"/>
                <w:szCs w:val="20"/>
                <w:color w:val="auto"/>
              </w:rPr>
            </w:pPr>
            <w:r>
              <w:rPr>
                <w:rFonts w:ascii="Arial" w:cs="Arial" w:eastAsia="Arial" w:hAnsi="Arial"/>
                <w:sz w:val="18"/>
                <w:szCs w:val="18"/>
                <w:color w:val="auto"/>
              </w:rPr>
              <w:t>on behalf of the TCW Business Unit</w:t>
            </w:r>
          </w:p>
        </w:tc>
        <w:tc>
          <w:tcPr>
            <w:tcW w:w="4060" w:type="dxa"/>
            <w:vAlign w:val="bottom"/>
            <w:shd w:val="clear" w:color="auto" w:fill="CCECFF"/>
          </w:tcPr>
          <w:p>
            <w:pPr>
              <w:spacing w:after="0"/>
              <w:rPr>
                <w:sz w:val="18"/>
                <w:szCs w:val="18"/>
                <w:color w:val="auto"/>
              </w:rPr>
            </w:pPr>
          </w:p>
        </w:tc>
        <w:tc>
          <w:tcPr>
            <w:tcW w:w="2660" w:type="dxa"/>
            <w:vAlign w:val="bottom"/>
            <w:shd w:val="clear" w:color="auto" w:fill="CCECFF"/>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865 South Figueroa Street</w:t>
            </w:r>
          </w:p>
        </w:tc>
        <w:tc>
          <w:tcPr>
            <w:tcW w:w="4060" w:type="dxa"/>
            <w:vAlign w:val="bottom"/>
            <w:shd w:val="clear" w:color="auto" w:fill="CCECFF"/>
          </w:tcPr>
          <w:p>
            <w:pPr>
              <w:spacing w:after="0"/>
              <w:rPr>
                <w:sz w:val="18"/>
                <w:szCs w:val="18"/>
                <w:color w:val="auto"/>
              </w:rPr>
            </w:pPr>
          </w:p>
        </w:tc>
        <w:tc>
          <w:tcPr>
            <w:tcW w:w="2660" w:type="dxa"/>
            <w:vAlign w:val="bottom"/>
            <w:shd w:val="clear" w:color="auto" w:fill="CCECFF"/>
          </w:tcPr>
          <w:p>
            <w:pPr>
              <w:spacing w:after="0"/>
              <w:rPr>
                <w:sz w:val="18"/>
                <w:szCs w:val="18"/>
                <w:color w:val="auto"/>
              </w:rPr>
            </w:pPr>
          </w:p>
        </w:tc>
      </w:tr>
      <w:tr>
        <w:trPr>
          <w:trHeight w:val="230"/>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Los Angeles, California</w:t>
            </w:r>
          </w:p>
        </w:tc>
        <w:tc>
          <w:tcPr>
            <w:tcW w:w="4060" w:type="dxa"/>
            <w:vAlign w:val="bottom"/>
            <w:shd w:val="clear" w:color="auto" w:fill="CCECFF"/>
          </w:tcPr>
          <w:p>
            <w:pPr>
              <w:jc w:val="center"/>
              <w:ind w:left="850"/>
              <w:spacing w:after="0"/>
              <w:rPr>
                <w:sz w:val="20"/>
                <w:szCs w:val="20"/>
                <w:color w:val="auto"/>
              </w:rPr>
            </w:pPr>
            <w:r>
              <w:rPr>
                <w:rFonts w:ascii="Arial" w:cs="Arial" w:eastAsia="Arial" w:hAnsi="Arial"/>
                <w:sz w:val="18"/>
                <w:szCs w:val="18"/>
                <w:color w:val="auto"/>
                <w:w w:val="91"/>
              </w:rPr>
              <w:t>597,740 (6)</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5.6%</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2"/>
        </w:trPr>
        <w:tc>
          <w:tcPr>
            <w:tcW w:w="452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Michael Doak</w:t>
            </w:r>
          </w:p>
        </w:tc>
        <w:tc>
          <w:tcPr>
            <w:tcW w:w="4060" w:type="dxa"/>
            <w:vAlign w:val="bottom"/>
            <w:shd w:val="clear" w:color="auto" w:fill="CCECFF"/>
          </w:tcPr>
          <w:p>
            <w:pPr>
              <w:spacing w:after="0"/>
              <w:rPr>
                <w:sz w:val="17"/>
                <w:szCs w:val="17"/>
                <w:color w:val="auto"/>
              </w:rPr>
            </w:pPr>
          </w:p>
        </w:tc>
        <w:tc>
          <w:tcPr>
            <w:tcW w:w="2660" w:type="dxa"/>
            <w:vAlign w:val="bottom"/>
            <w:shd w:val="clear" w:color="auto" w:fill="CCECFF"/>
          </w:tcPr>
          <w:p>
            <w:pPr>
              <w:spacing w:after="0"/>
              <w:rPr>
                <w:sz w:val="17"/>
                <w:szCs w:val="17"/>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Griffin Highline Capital LLC</w:t>
            </w:r>
          </w:p>
        </w:tc>
        <w:tc>
          <w:tcPr>
            <w:tcW w:w="4060" w:type="dxa"/>
            <w:vAlign w:val="bottom"/>
            <w:shd w:val="clear" w:color="auto" w:fill="CCECFF"/>
          </w:tcPr>
          <w:p>
            <w:pPr>
              <w:spacing w:after="0"/>
              <w:rPr>
                <w:sz w:val="18"/>
                <w:szCs w:val="18"/>
                <w:color w:val="auto"/>
              </w:rPr>
            </w:pPr>
          </w:p>
        </w:tc>
        <w:tc>
          <w:tcPr>
            <w:tcW w:w="2660" w:type="dxa"/>
            <w:vAlign w:val="bottom"/>
            <w:shd w:val="clear" w:color="auto" w:fill="CCECFF"/>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4514 Cole Avenue</w:t>
            </w:r>
          </w:p>
        </w:tc>
        <w:tc>
          <w:tcPr>
            <w:tcW w:w="4060" w:type="dxa"/>
            <w:vAlign w:val="bottom"/>
            <w:shd w:val="clear" w:color="auto" w:fill="CCECFF"/>
          </w:tcPr>
          <w:p>
            <w:pPr>
              <w:spacing w:after="0"/>
              <w:rPr>
                <w:sz w:val="18"/>
                <w:szCs w:val="18"/>
                <w:color w:val="auto"/>
              </w:rPr>
            </w:pPr>
          </w:p>
        </w:tc>
        <w:tc>
          <w:tcPr>
            <w:tcW w:w="2660" w:type="dxa"/>
            <w:vAlign w:val="bottom"/>
            <w:shd w:val="clear" w:color="auto" w:fill="CCECFF"/>
          </w:tcPr>
          <w:p>
            <w:pPr>
              <w:spacing w:after="0"/>
              <w:rPr>
                <w:sz w:val="18"/>
                <w:szCs w:val="18"/>
                <w:color w:val="auto"/>
              </w:rPr>
            </w:pPr>
          </w:p>
        </w:tc>
      </w:tr>
      <w:tr>
        <w:trPr>
          <w:trHeight w:val="230"/>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Dallas, Texas</w:t>
            </w:r>
          </w:p>
        </w:tc>
        <w:tc>
          <w:tcPr>
            <w:tcW w:w="4060" w:type="dxa"/>
            <w:vAlign w:val="bottom"/>
            <w:shd w:val="clear" w:color="auto" w:fill="CCECFF"/>
          </w:tcPr>
          <w:p>
            <w:pPr>
              <w:jc w:val="center"/>
              <w:ind w:left="850"/>
              <w:spacing w:after="0"/>
              <w:rPr>
                <w:sz w:val="20"/>
                <w:szCs w:val="20"/>
                <w:color w:val="auto"/>
              </w:rPr>
            </w:pPr>
            <w:r>
              <w:rPr>
                <w:rFonts w:ascii="Arial" w:cs="Arial" w:eastAsia="Arial" w:hAnsi="Arial"/>
                <w:sz w:val="18"/>
                <w:szCs w:val="18"/>
                <w:color w:val="auto"/>
                <w:w w:val="91"/>
              </w:rPr>
              <w:t>595,238 (7)</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5.5%</w:t>
            </w:r>
          </w:p>
        </w:tc>
      </w:tr>
      <w:tr>
        <w:trPr>
          <w:trHeight w:val="216"/>
        </w:trPr>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2"/>
        </w:trPr>
        <w:tc>
          <w:tcPr>
            <w:tcW w:w="452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All executive officers</w:t>
            </w:r>
          </w:p>
        </w:tc>
        <w:tc>
          <w:tcPr>
            <w:tcW w:w="4060" w:type="dxa"/>
            <w:vAlign w:val="bottom"/>
            <w:shd w:val="clear" w:color="auto" w:fill="CCECFF"/>
          </w:tcPr>
          <w:p>
            <w:pPr>
              <w:spacing w:after="0"/>
              <w:rPr>
                <w:sz w:val="17"/>
                <w:szCs w:val="17"/>
                <w:color w:val="auto"/>
              </w:rPr>
            </w:pPr>
          </w:p>
        </w:tc>
        <w:tc>
          <w:tcPr>
            <w:tcW w:w="2660" w:type="dxa"/>
            <w:vAlign w:val="bottom"/>
            <w:shd w:val="clear" w:color="auto" w:fill="CCECFF"/>
          </w:tcPr>
          <w:p>
            <w:pPr>
              <w:spacing w:after="0"/>
              <w:rPr>
                <w:sz w:val="17"/>
                <w:szCs w:val="17"/>
                <w:color w:val="auto"/>
              </w:rPr>
            </w:pPr>
          </w:p>
        </w:tc>
      </w:tr>
      <w:tr>
        <w:trPr>
          <w:trHeight w:val="216"/>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and directors as a group</w:t>
            </w:r>
          </w:p>
        </w:tc>
        <w:tc>
          <w:tcPr>
            <w:tcW w:w="4060" w:type="dxa"/>
            <w:vAlign w:val="bottom"/>
            <w:shd w:val="clear" w:color="auto" w:fill="CCECFF"/>
          </w:tcPr>
          <w:p>
            <w:pPr>
              <w:spacing w:after="0"/>
              <w:rPr>
                <w:sz w:val="18"/>
                <w:szCs w:val="18"/>
                <w:color w:val="auto"/>
              </w:rPr>
            </w:pPr>
          </w:p>
        </w:tc>
        <w:tc>
          <w:tcPr>
            <w:tcW w:w="2660" w:type="dxa"/>
            <w:vAlign w:val="bottom"/>
            <w:shd w:val="clear" w:color="auto" w:fill="CCECFF"/>
          </w:tcPr>
          <w:p>
            <w:pPr>
              <w:spacing w:after="0"/>
              <w:rPr>
                <w:sz w:val="18"/>
                <w:szCs w:val="18"/>
                <w:color w:val="auto"/>
              </w:rPr>
            </w:pPr>
          </w:p>
        </w:tc>
      </w:tr>
      <w:tr>
        <w:trPr>
          <w:trHeight w:val="230"/>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(8 persons)</w:t>
            </w:r>
          </w:p>
        </w:tc>
        <w:tc>
          <w:tcPr>
            <w:tcW w:w="4060" w:type="dxa"/>
            <w:vAlign w:val="bottom"/>
            <w:shd w:val="clear" w:color="auto" w:fill="CCECFF"/>
          </w:tcPr>
          <w:p>
            <w:pPr>
              <w:jc w:val="center"/>
              <w:ind w:left="870"/>
              <w:spacing w:after="0"/>
              <w:rPr>
                <w:sz w:val="20"/>
                <w:szCs w:val="20"/>
                <w:color w:val="auto"/>
              </w:rPr>
            </w:pPr>
            <w:r>
              <w:rPr>
                <w:rFonts w:ascii="Arial" w:cs="Arial" w:eastAsia="Arial" w:hAnsi="Arial"/>
                <w:sz w:val="18"/>
                <w:szCs w:val="18"/>
                <w:color w:val="auto"/>
                <w:w w:val="91"/>
              </w:rPr>
              <w:t>1,118,667 (1)(2)(3)(4)</w:t>
            </w:r>
          </w:p>
        </w:tc>
        <w:tc>
          <w:tcPr>
            <w:tcW w:w="26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10.4%</w:t>
            </w:r>
          </w:p>
        </w:tc>
      </w:tr>
      <w:tr>
        <w:trPr>
          <w:trHeight w:val="223"/>
        </w:trPr>
        <w:tc>
          <w:tcPr>
            <w:tcW w:w="45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r>
    </w:tbl>
    <w:p>
      <w:pPr>
        <w:spacing w:after="0" w:line="222"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Less than 1%.</w:t>
      </w:r>
    </w:p>
    <w:p>
      <w:pPr>
        <w:spacing w:after="0" w:line="240" w:lineRule="exact"/>
        <w:rPr>
          <w:rFonts w:ascii="Arial" w:cs="Arial" w:eastAsia="Arial" w:hAnsi="Arial"/>
          <w:sz w:val="22"/>
          <w:szCs w:val="22"/>
          <w:color w:val="auto"/>
        </w:rPr>
      </w:pPr>
    </w:p>
    <w:p>
      <w:pPr>
        <w:jc w:val="both"/>
        <w:ind w:left="860" w:hanging="532"/>
        <w:spacing w:after="0" w:line="275" w:lineRule="auto"/>
        <w:tabs>
          <w:tab w:leader="none" w:pos="8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758,908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176" w:lineRule="exact"/>
        <w:rPr>
          <w:rFonts w:ascii="Arial" w:cs="Arial" w:eastAsia="Arial" w:hAnsi="Arial"/>
          <w:sz w:val="17"/>
          <w:szCs w:val="17"/>
          <w:color w:val="auto"/>
        </w:rPr>
      </w:pPr>
    </w:p>
    <w:p>
      <w:pPr>
        <w:jc w:val="both"/>
        <w:ind w:left="860" w:hanging="532"/>
        <w:spacing w:after="0" w:line="275" w:lineRule="auto"/>
        <w:tabs>
          <w:tab w:leader="none" w:pos="8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Includes (i) 32,395 shares owned by Mr. Tupper’s wife, (ii) 6,675 shares held in a retirement trust for the benefit of Mr. Tupper and (iii) 810 shares held in a retirement trust for the benefit of Mr. Tupper’s wife. Mr. Tupper has sole voting and dispositive power over 54,371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ind w:left="860" w:hanging="532"/>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50,000 shares issuable upon the exercise of options that are exercisable currently.</w:t>
      </w:r>
    </w:p>
    <w:p>
      <w:pPr>
        <w:spacing w:after="0" w:line="225" w:lineRule="exact"/>
        <w:rPr>
          <w:rFonts w:ascii="Arial" w:cs="Arial" w:eastAsia="Arial" w:hAnsi="Arial"/>
          <w:sz w:val="18"/>
          <w:szCs w:val="18"/>
          <w:color w:val="auto"/>
        </w:rPr>
      </w:pPr>
    </w:p>
    <w:p>
      <w:pPr>
        <w:jc w:val="both"/>
        <w:ind w:left="860" w:hanging="532"/>
        <w:spacing w:after="0" w:line="25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(i) 1,400 shares held in a retirement trust for the benefit of Ms. D’Andre and (ii) 10,000 shares held in a retirement trust for the benefit of Ms. D’Andre’s husband. Ms. D’Andre has sole voting and dispositive power over 26,095 shares of common stock and shared voting and dispositive power over 10,000 shares of common stock. The inclusion of the shares owned by the retirement trust for the benefit of Ms. D’Andre’s husband shall not be construed as an admission that Ms. D’Andre is, for purposes of Section 13(d) or 13(g) of the Exchange Act, the beneficial owner of such shares.</w:t>
      </w:r>
    </w:p>
    <w:p>
      <w:pPr>
        <w:spacing w:after="0" w:line="187" w:lineRule="exact"/>
        <w:rPr>
          <w:rFonts w:ascii="Arial" w:cs="Arial" w:eastAsia="Arial" w:hAnsi="Arial"/>
          <w:sz w:val="18"/>
          <w:szCs w:val="18"/>
          <w:color w:val="auto"/>
        </w:rPr>
      </w:pPr>
    </w:p>
    <w:p>
      <w:pPr>
        <w:jc w:val="both"/>
        <w:ind w:left="860" w:hanging="532"/>
        <w:spacing w:after="0" w:line="25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regarding Gregory Fortunoff is based solely on Amendment No. 2 to Schedule 13G filed by such reporting person with the SEC on May 22, 2023 (the “Fortunoff 13G/A”). According to the Fortunoff 13G/A, such reporting person has sole voting and dispositive power over 618,905 shares of common stock and shared voting and dispositive power over 195,000 shares of common stock. The Fortunoff 13G/A also indicates that Scott Fortunoff has sole voting and dispositive power over 244,500 shares of common stock and shared voting and dispositive power over 195,000 shares of common stock.</w:t>
      </w:r>
    </w:p>
    <w:p>
      <w:pPr>
        <w:spacing w:after="0" w:line="187" w:lineRule="exact"/>
        <w:rPr>
          <w:rFonts w:ascii="Arial" w:cs="Arial" w:eastAsia="Arial" w:hAnsi="Arial"/>
          <w:sz w:val="18"/>
          <w:szCs w:val="18"/>
          <w:color w:val="auto"/>
        </w:rPr>
      </w:pPr>
    </w:p>
    <w:p>
      <w:pPr>
        <w:jc w:val="both"/>
        <w:ind w:left="860" w:hanging="532"/>
        <w:spacing w:after="0" w:line="263"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regarding The TCW Group, Inc. on behalf of the TCW Business Unit is based solely on Amendment No. 3 to Schedule 13G filed by such reporting person with the SEC on January 25, 2023 (the “TCW 13G/A”). According to the TCW 13G/A, such reporting person has shared voting and dispositive power over the 597,740 shares of common stock.</w:t>
      </w:r>
    </w:p>
    <w:p>
      <w:pPr>
        <w:spacing w:after="0" w:line="183" w:lineRule="exact"/>
        <w:rPr>
          <w:rFonts w:ascii="Arial" w:cs="Arial" w:eastAsia="Arial" w:hAnsi="Arial"/>
          <w:sz w:val="18"/>
          <w:szCs w:val="18"/>
          <w:color w:val="auto"/>
        </w:rPr>
      </w:pPr>
    </w:p>
    <w:p>
      <w:pPr>
        <w:jc w:val="both"/>
        <w:ind w:left="860" w:hanging="532"/>
        <w:spacing w:after="0" w:line="263"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regarding Michael Doak (“Doak”) and Griffin Highline Capital LLC (“Griffin”) is based solely on Amendment No. 4 to Schedule 13D filed by such reporting persons with the SEC on November 15, 2022 (the “Doak/Griffin 13D/A”). According to the Doak/Griffin 13D/A, each of Doak and Griffin has shared voting and dispositive power over the 595,238 shares of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12"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The following table sets forth information as of December 31, 2022, with respect to compensation plans (including individual compensation arrangements) under which our common stock is authorized for issuance, aggregated as follows:</w:t>
      </w:r>
    </w:p>
    <w:p>
      <w:pPr>
        <w:spacing w:after="0" w:line="139" w:lineRule="exact"/>
        <w:rPr>
          <w:sz w:val="20"/>
          <w:szCs w:val="20"/>
          <w:color w:val="auto"/>
        </w:rPr>
      </w:pPr>
    </w:p>
    <w:p>
      <w:pPr>
        <w:ind w:left="860" w:hanging="47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compensation plans previously approved by security holders; and</w:t>
      </w:r>
    </w:p>
    <w:p>
      <w:pPr>
        <w:spacing w:after="0" w:line="225" w:lineRule="exact"/>
        <w:rPr>
          <w:rFonts w:ascii="Arial" w:cs="Arial" w:eastAsia="Arial" w:hAnsi="Arial"/>
          <w:sz w:val="18"/>
          <w:szCs w:val="18"/>
          <w:color w:val="auto"/>
        </w:rPr>
      </w:pPr>
    </w:p>
    <w:p>
      <w:pPr>
        <w:ind w:left="860" w:hanging="47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compensation plans not previously approved by security holders.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w:t>
            </w:r>
          </w:p>
        </w:tc>
      </w:tr>
      <w:tr>
        <w:trPr>
          <w:trHeight w:val="216"/>
        </w:trPr>
        <w:tc>
          <w:tcPr>
            <w:tcW w:w="5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5220" w:type="dxa"/>
            <w:vAlign w:val="bottom"/>
          </w:tcPr>
          <w:p>
            <w:pPr>
              <w:spacing w:after="0"/>
              <w:rPr>
                <w:sz w:val="18"/>
                <w:szCs w:val="18"/>
                <w:color w:val="auto"/>
              </w:rPr>
            </w:pPr>
          </w:p>
        </w:tc>
        <w:tc>
          <w:tcPr>
            <w:tcW w:w="252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Number of securities</w:t>
            </w:r>
          </w:p>
        </w:tc>
        <w:tc>
          <w:tcPr>
            <w:tcW w:w="1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220" w:type="dxa"/>
            <w:vAlign w:val="bottom"/>
          </w:tcPr>
          <w:p>
            <w:pPr>
              <w:spacing w:after="0"/>
              <w:rPr>
                <w:sz w:val="18"/>
                <w:szCs w:val="18"/>
                <w:color w:val="auto"/>
              </w:rPr>
            </w:pPr>
          </w:p>
        </w:tc>
        <w:tc>
          <w:tcPr>
            <w:tcW w:w="2520" w:type="dxa"/>
            <w:vAlign w:val="bottom"/>
          </w:tcPr>
          <w:p>
            <w:pPr>
              <w:jc w:val="center"/>
              <w:ind w:left="690"/>
              <w:spacing w:after="0"/>
              <w:rPr>
                <w:sz w:val="20"/>
                <w:szCs w:val="20"/>
                <w:color w:val="auto"/>
              </w:rPr>
            </w:pPr>
            <w:r>
              <w:rPr>
                <w:rFonts w:ascii="Arial" w:cs="Arial" w:eastAsia="Arial" w:hAnsi="Arial"/>
                <w:sz w:val="18"/>
                <w:szCs w:val="18"/>
                <w:b w:val="1"/>
                <w:bCs w:val="1"/>
                <w:color w:val="auto"/>
                <w:w w:val="86"/>
              </w:rPr>
              <w:t>to be issued upon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220" w:type="dxa"/>
            <w:vAlign w:val="bottom"/>
          </w:tcPr>
          <w:p>
            <w:pPr>
              <w:spacing w:after="0"/>
              <w:rPr>
                <w:sz w:val="18"/>
                <w:szCs w:val="18"/>
                <w:color w:val="auto"/>
              </w:rPr>
            </w:pPr>
          </w:p>
        </w:tc>
        <w:tc>
          <w:tcPr>
            <w:tcW w:w="2520" w:type="dxa"/>
            <w:vAlign w:val="bottom"/>
          </w:tcPr>
          <w:p>
            <w:pPr>
              <w:jc w:val="center"/>
              <w:ind w:left="670"/>
              <w:spacing w:after="0"/>
              <w:rPr>
                <w:sz w:val="20"/>
                <w:szCs w:val="20"/>
                <w:color w:val="auto"/>
              </w:rPr>
            </w:pPr>
            <w:r>
              <w:rPr>
                <w:rFonts w:ascii="Arial" w:cs="Arial" w:eastAsia="Arial" w:hAnsi="Arial"/>
                <w:sz w:val="18"/>
                <w:szCs w:val="18"/>
                <w:b w:val="1"/>
                <w:bCs w:val="1"/>
                <w:color w:val="auto"/>
                <w:w w:val="85"/>
              </w:rPr>
              <w:t>exercise of</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exercise price of</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220" w:type="dxa"/>
            <w:vAlign w:val="bottom"/>
          </w:tcPr>
          <w:p>
            <w:pPr>
              <w:spacing w:after="0"/>
              <w:rPr>
                <w:sz w:val="18"/>
                <w:szCs w:val="18"/>
                <w:color w:val="auto"/>
              </w:rPr>
            </w:pPr>
          </w:p>
        </w:tc>
        <w:tc>
          <w:tcPr>
            <w:tcW w:w="4100" w:type="dxa"/>
            <w:vAlign w:val="bottom"/>
            <w:gridSpan w:val="2"/>
          </w:tcPr>
          <w:p>
            <w:pPr>
              <w:ind w:left="860"/>
              <w:spacing w:after="0"/>
              <w:rPr>
                <w:sz w:val="20"/>
                <w:szCs w:val="20"/>
                <w:color w:val="auto"/>
              </w:rPr>
            </w:pPr>
            <w:r>
              <w:rPr>
                <w:rFonts w:ascii="Arial" w:cs="Arial" w:eastAsia="Arial" w:hAnsi="Arial"/>
                <w:sz w:val="18"/>
                <w:szCs w:val="18"/>
                <w:b w:val="1"/>
                <w:bCs w:val="1"/>
                <w:color w:val="auto"/>
                <w:w w:val="89"/>
              </w:rPr>
              <w:t>outstanding options, outstanding options,</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reflected in</w:t>
            </w:r>
          </w:p>
        </w:tc>
      </w:tr>
      <w:tr>
        <w:trPr>
          <w:trHeight w:val="216"/>
        </w:trPr>
        <w:tc>
          <w:tcPr>
            <w:tcW w:w="5220" w:type="dxa"/>
            <w:vAlign w:val="bottom"/>
          </w:tcPr>
          <w:p>
            <w:pPr>
              <w:spacing w:after="0"/>
              <w:rPr>
                <w:sz w:val="18"/>
                <w:szCs w:val="18"/>
                <w:color w:val="auto"/>
              </w:rPr>
            </w:pPr>
          </w:p>
        </w:tc>
        <w:tc>
          <w:tcPr>
            <w:tcW w:w="4100" w:type="dxa"/>
            <w:vAlign w:val="bottom"/>
            <w:gridSpan w:val="2"/>
          </w:tcPr>
          <w:p>
            <w:pPr>
              <w:ind w:left="880"/>
              <w:spacing w:after="0"/>
              <w:rPr>
                <w:sz w:val="20"/>
                <w:szCs w:val="20"/>
                <w:color w:val="auto"/>
              </w:rPr>
            </w:pPr>
            <w:r>
              <w:rPr>
                <w:rFonts w:ascii="Arial" w:cs="Arial" w:eastAsia="Arial" w:hAnsi="Arial"/>
                <w:sz w:val="18"/>
                <w:szCs w:val="18"/>
                <w:b w:val="1"/>
                <w:bCs w:val="1"/>
                <w:color w:val="auto"/>
                <w:w w:val="94"/>
              </w:rPr>
              <w:t>warrants and rights warrants and rights</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2"/>
              </w:rPr>
              <w:t>column (a))</w:t>
            </w:r>
          </w:p>
        </w:tc>
      </w:tr>
      <w:tr>
        <w:trPr>
          <w:trHeight w:val="234"/>
        </w:trPr>
        <w:tc>
          <w:tcPr>
            <w:tcW w:w="5220" w:type="dxa"/>
            <w:vAlign w:val="bottom"/>
          </w:tcPr>
          <w:p>
            <w:pPr>
              <w:spacing w:after="0"/>
              <w:rPr>
                <w:sz w:val="20"/>
                <w:szCs w:val="20"/>
                <w:color w:val="auto"/>
              </w:rPr>
            </w:pPr>
          </w:p>
        </w:tc>
        <w:tc>
          <w:tcPr>
            <w:tcW w:w="252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(a)</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5220" w:type="dxa"/>
            <w:vAlign w:val="bottom"/>
            <w:shd w:val="clear" w:color="auto" w:fill="D0EA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520" w:type="dxa"/>
            <w:vAlign w:val="bottom"/>
            <w:shd w:val="clear" w:color="auto" w:fill="D0EAFF"/>
          </w:tcPr>
          <w:p>
            <w:pPr>
              <w:jc w:val="center"/>
              <w:ind w:left="690"/>
              <w:spacing w:after="0"/>
              <w:rPr>
                <w:sz w:val="20"/>
                <w:szCs w:val="20"/>
                <w:color w:val="auto"/>
              </w:rPr>
            </w:pPr>
            <w:r>
              <w:rPr>
                <w:rFonts w:ascii="Arial" w:cs="Arial" w:eastAsia="Arial" w:hAnsi="Arial"/>
                <w:sz w:val="18"/>
                <w:szCs w:val="18"/>
                <w:color w:val="auto"/>
                <w:w w:val="89"/>
              </w:rPr>
              <w:t>107,201</w:t>
            </w:r>
          </w:p>
        </w:tc>
        <w:tc>
          <w:tcPr>
            <w:tcW w:w="1580" w:type="dxa"/>
            <w:vAlign w:val="bottom"/>
            <w:shd w:val="clear" w:color="auto" w:fill="D0EAFF"/>
          </w:tcPr>
          <w:p>
            <w:pPr>
              <w:jc w:val="center"/>
              <w:ind w:right="10"/>
              <w:spacing w:after="0"/>
              <w:rPr>
                <w:sz w:val="20"/>
                <w:szCs w:val="20"/>
                <w:color w:val="auto"/>
              </w:rPr>
            </w:pPr>
            <w:r>
              <w:rPr>
                <w:rFonts w:ascii="Arial" w:cs="Arial" w:eastAsia="Arial" w:hAnsi="Arial"/>
                <w:sz w:val="18"/>
                <w:szCs w:val="18"/>
                <w:color w:val="auto"/>
                <w:w w:val="88"/>
              </w:rPr>
              <w:t>$8.31</w:t>
            </w:r>
          </w:p>
        </w:tc>
        <w:tc>
          <w:tcPr>
            <w:tcW w:w="1920" w:type="dxa"/>
            <w:vAlign w:val="bottom"/>
            <w:shd w:val="clear" w:color="auto" w:fill="D0EAFF"/>
          </w:tcPr>
          <w:p>
            <w:pPr>
              <w:jc w:val="center"/>
              <w:spacing w:after="0"/>
              <w:rPr>
                <w:sz w:val="20"/>
                <w:szCs w:val="20"/>
                <w:color w:val="auto"/>
              </w:rPr>
            </w:pPr>
            <w:r>
              <w:rPr>
                <w:rFonts w:ascii="Arial" w:cs="Arial" w:eastAsia="Arial" w:hAnsi="Arial"/>
                <w:sz w:val="18"/>
                <w:szCs w:val="18"/>
                <w:color w:val="auto"/>
                <w:w w:val="89"/>
              </w:rPr>
              <w:t>979,976(1)</w:t>
            </w:r>
          </w:p>
        </w:tc>
      </w:tr>
      <w:tr>
        <w:trPr>
          <w:trHeight w:val="216"/>
        </w:trPr>
        <w:tc>
          <w:tcPr>
            <w:tcW w:w="5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520" w:type="dxa"/>
            <w:vAlign w:val="bottom"/>
            <w:shd w:val="clear" w:color="auto" w:fill="CCECFF"/>
          </w:tcPr>
          <w:p>
            <w:pPr>
              <w:jc w:val="center"/>
              <w:ind w:left="6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Total</w:t>
            </w:r>
          </w:p>
        </w:tc>
        <w:tc>
          <w:tcPr>
            <w:tcW w:w="2520" w:type="dxa"/>
            <w:vAlign w:val="bottom"/>
            <w:shd w:val="clear" w:color="auto" w:fill="CCECFF"/>
          </w:tcPr>
          <w:p>
            <w:pPr>
              <w:jc w:val="center"/>
              <w:ind w:left="690"/>
              <w:spacing w:after="0"/>
              <w:rPr>
                <w:sz w:val="20"/>
                <w:szCs w:val="20"/>
                <w:color w:val="auto"/>
              </w:rPr>
            </w:pPr>
            <w:r>
              <w:rPr>
                <w:rFonts w:ascii="Arial" w:cs="Arial" w:eastAsia="Arial" w:hAnsi="Arial"/>
                <w:sz w:val="18"/>
                <w:szCs w:val="18"/>
                <w:color w:val="auto"/>
                <w:w w:val="89"/>
              </w:rPr>
              <w:t>107,201</w:t>
            </w:r>
          </w:p>
        </w:tc>
        <w:tc>
          <w:tcPr>
            <w:tcW w:w="1580" w:type="dxa"/>
            <w:vAlign w:val="bottom"/>
            <w:shd w:val="clear" w:color="auto" w:fill="CCECFF"/>
          </w:tcPr>
          <w:p>
            <w:pPr>
              <w:jc w:val="center"/>
              <w:ind w:right="10"/>
              <w:spacing w:after="0"/>
              <w:rPr>
                <w:sz w:val="20"/>
                <w:szCs w:val="20"/>
                <w:color w:val="auto"/>
              </w:rPr>
            </w:pPr>
            <w:r>
              <w:rPr>
                <w:rFonts w:ascii="Arial" w:cs="Arial" w:eastAsia="Arial" w:hAnsi="Arial"/>
                <w:sz w:val="18"/>
                <w:szCs w:val="18"/>
                <w:color w:val="auto"/>
                <w:w w:val="88"/>
              </w:rPr>
              <w:t>$8.31</w:t>
            </w:r>
          </w:p>
        </w:tc>
        <w:tc>
          <w:tcPr>
            <w:tcW w:w="19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979,976(1)</w:t>
            </w:r>
          </w:p>
        </w:tc>
      </w:tr>
    </w:tbl>
    <w:p>
      <w:pPr>
        <w:spacing w:after="0" w:line="229" w:lineRule="exact"/>
        <w:rPr>
          <w:sz w:val="20"/>
          <w:szCs w:val="20"/>
          <w:color w:val="auto"/>
        </w:rPr>
      </w:pPr>
    </w:p>
    <w:p>
      <w:pPr>
        <w:ind w:left="860" w:hanging="529"/>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366,597 shares reserved for issuance pursuant to unvested restricted stock grants.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daughter of Barry Goldstein, Amanda Rofsky, was employed during 2022 as our Investor Relations Director. She no longer serves in that role. Ms. Rofsky currently serves as Vice President of Cosi Agency, Inc., one of our subsidiaries, and Lead Business Process Analyst for KICO. For the fiscal year ended December 31, 2022, she earned $163,927 in compensation.</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1: ELECTION OF DIRECTORS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Six directors are to be elected at the meeting to serve until the next annual meeting of stockholders and until their respective successors shall have been elected and have qualified.</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(six) multiplied by the number of shares he is entitled to vote. A stockholder may therefore cast his votes for one nominee or distribute them among two or more of the nominees.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Nominees for Directors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All of the nominees are currently members of our Board of Directors. The following table sets forth each nominee’s age as of June 15, 2023, the positions and offices presently held by him or her with us, and the year in which he or she became a director. The Board of Directors recommends a vote </w:t>
      </w:r>
      <w:r>
        <w:rPr>
          <w:rFonts w:ascii="Arial" w:cs="Arial" w:eastAsia="Arial" w:hAnsi="Arial"/>
          <w:sz w:val="19"/>
          <w:szCs w:val="19"/>
          <w:b w:val="1"/>
          <w:bCs w:val="1"/>
          <w:color w:val="auto"/>
        </w:rPr>
        <w:t>FOR</w:t>
      </w:r>
      <w:r>
        <w:rPr>
          <w:rFonts w:ascii="Arial" w:cs="Arial" w:eastAsia="Arial" w:hAnsi="Arial"/>
          <w:sz w:val="19"/>
          <w:szCs w:val="19"/>
          <w:color w:val="auto"/>
        </w:rPr>
        <w:t xml:space="preserve"> all nominees. The person named as proxy intends to vote cumulatively all shares represented by proxies equally among all nominees for election as directors, unless proxies are marked to the contrary.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25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Name</w:t>
            </w:r>
          </w:p>
        </w:tc>
        <w:tc>
          <w:tcPr>
            <w:tcW w:w="118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8"/>
              </w:rPr>
              <w:t>Age</w:t>
            </w:r>
          </w:p>
        </w:tc>
        <w:tc>
          <w:tcPr>
            <w:tcW w:w="576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Positions and Offices Held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r>
      <w:tr>
        <w:trPr>
          <w:trHeight w:val="216"/>
        </w:trPr>
        <w:tc>
          <w:tcPr>
            <w:tcW w:w="2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02"/>
        </w:trPr>
        <w:tc>
          <w:tcPr>
            <w:tcW w:w="2520" w:type="dxa"/>
            <w:vAlign w:val="bottom"/>
            <w:shd w:val="clear" w:color="auto" w:fill="CCECFF"/>
          </w:tcPr>
          <w:p>
            <w:pPr>
              <w:ind w:left="180"/>
              <w:spacing w:after="0" w:line="201" w:lineRule="exact"/>
              <w:rPr>
                <w:sz w:val="20"/>
                <w:szCs w:val="20"/>
                <w:color w:val="auto"/>
              </w:rPr>
            </w:pPr>
            <w:r>
              <w:rPr>
                <w:rFonts w:ascii="Arial" w:cs="Arial" w:eastAsia="Arial" w:hAnsi="Arial"/>
                <w:sz w:val="18"/>
                <w:szCs w:val="18"/>
                <w:color w:val="auto"/>
              </w:rPr>
              <w:t>Barry B. Goldstein</w:t>
            </w:r>
          </w:p>
        </w:tc>
        <w:tc>
          <w:tcPr>
            <w:tcW w:w="1180" w:type="dxa"/>
            <w:vAlign w:val="bottom"/>
            <w:shd w:val="clear" w:color="auto" w:fill="CCECFF"/>
          </w:tcPr>
          <w:p>
            <w:pPr>
              <w:jc w:val="center"/>
              <w:ind w:left="470"/>
              <w:spacing w:after="0" w:line="201" w:lineRule="exact"/>
              <w:rPr>
                <w:sz w:val="20"/>
                <w:szCs w:val="20"/>
                <w:color w:val="auto"/>
              </w:rPr>
            </w:pPr>
            <w:r>
              <w:rPr>
                <w:rFonts w:ascii="Arial" w:cs="Arial" w:eastAsia="Arial" w:hAnsi="Arial"/>
                <w:sz w:val="18"/>
                <w:szCs w:val="18"/>
                <w:color w:val="auto"/>
                <w:w w:val="89"/>
              </w:rPr>
              <w:t>70</w:t>
            </w:r>
          </w:p>
        </w:tc>
        <w:tc>
          <w:tcPr>
            <w:tcW w:w="5760" w:type="dxa"/>
            <w:vAlign w:val="bottom"/>
            <w:shd w:val="clear" w:color="auto" w:fill="CCECFF"/>
          </w:tcPr>
          <w:p>
            <w:pPr>
              <w:ind w:left="180"/>
              <w:spacing w:after="0" w:line="201" w:lineRule="exact"/>
              <w:rPr>
                <w:sz w:val="20"/>
                <w:szCs w:val="20"/>
                <w:color w:val="auto"/>
              </w:rPr>
            </w:pPr>
            <w:r>
              <w:rPr>
                <w:rFonts w:ascii="Arial" w:cs="Arial" w:eastAsia="Arial" w:hAnsi="Arial"/>
                <w:sz w:val="18"/>
                <w:szCs w:val="18"/>
                <w:color w:val="auto"/>
                <w:w w:val="96"/>
              </w:rPr>
              <w:t>Chief Executive Officer, President, Executive Chairman of the Board and</w:t>
            </w:r>
          </w:p>
        </w:tc>
        <w:tc>
          <w:tcPr>
            <w:tcW w:w="1780" w:type="dxa"/>
            <w:vAlign w:val="bottom"/>
            <w:shd w:val="clear" w:color="auto" w:fill="CCECFF"/>
          </w:tcPr>
          <w:p>
            <w:pPr>
              <w:jc w:val="center"/>
              <w:spacing w:after="0" w:line="201" w:lineRule="exact"/>
              <w:rPr>
                <w:sz w:val="20"/>
                <w:szCs w:val="20"/>
                <w:color w:val="auto"/>
              </w:rPr>
            </w:pPr>
            <w:r>
              <w:rPr>
                <w:rFonts w:ascii="Arial" w:cs="Arial" w:eastAsia="Arial" w:hAnsi="Arial"/>
                <w:sz w:val="18"/>
                <w:szCs w:val="18"/>
                <w:color w:val="auto"/>
                <w:w w:val="89"/>
              </w:rPr>
              <w:t>2001</w:t>
            </w:r>
          </w:p>
        </w:tc>
      </w:tr>
      <w:tr>
        <w:trPr>
          <w:trHeight w:val="230"/>
        </w:trPr>
        <w:tc>
          <w:tcPr>
            <w:tcW w:w="2520" w:type="dxa"/>
            <w:vAlign w:val="bottom"/>
            <w:shd w:val="clear" w:color="auto" w:fill="CCECFF"/>
          </w:tcPr>
          <w:p>
            <w:pPr>
              <w:spacing w:after="0"/>
              <w:rPr>
                <w:sz w:val="20"/>
                <w:szCs w:val="20"/>
                <w:color w:val="auto"/>
              </w:rPr>
            </w:pPr>
          </w:p>
        </w:tc>
        <w:tc>
          <w:tcPr>
            <w:tcW w:w="1180" w:type="dxa"/>
            <w:vAlign w:val="bottom"/>
            <w:shd w:val="clear" w:color="auto" w:fill="CCECFF"/>
          </w:tcPr>
          <w:p>
            <w:pPr>
              <w:spacing w:after="0"/>
              <w:rPr>
                <w:sz w:val="20"/>
                <w:szCs w:val="20"/>
                <w:color w:val="auto"/>
              </w:rPr>
            </w:pPr>
          </w:p>
        </w:tc>
        <w:tc>
          <w:tcPr>
            <w:tcW w:w="57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Director</w:t>
            </w:r>
          </w:p>
        </w:tc>
        <w:tc>
          <w:tcPr>
            <w:tcW w:w="1780" w:type="dxa"/>
            <w:vAlign w:val="bottom"/>
            <w:shd w:val="clear" w:color="auto" w:fill="CCECFF"/>
          </w:tcPr>
          <w:p>
            <w:pPr>
              <w:spacing w:after="0"/>
              <w:rPr>
                <w:sz w:val="20"/>
                <w:szCs w:val="20"/>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Meryl S. Golden</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9"/>
              </w:rPr>
              <w:t>63</w:t>
            </w:r>
          </w:p>
        </w:tc>
        <w:tc>
          <w:tcPr>
            <w:tcW w:w="5760" w:type="dxa"/>
            <w:vAlign w:val="bottom"/>
          </w:tcPr>
          <w:p>
            <w:pPr>
              <w:ind w:left="180"/>
              <w:spacing w:after="0"/>
              <w:rPr>
                <w:sz w:val="20"/>
                <w:szCs w:val="20"/>
                <w:color w:val="auto"/>
              </w:rPr>
            </w:pPr>
            <w:r>
              <w:rPr>
                <w:rFonts w:ascii="Arial" w:cs="Arial" w:eastAsia="Arial" w:hAnsi="Arial"/>
                <w:sz w:val="18"/>
                <w:szCs w:val="18"/>
                <w:color w:val="auto"/>
              </w:rPr>
              <w:t>Chief Operating Officer and 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2520" w:type="dxa"/>
            <w:vAlign w:val="bottom"/>
            <w:shd w:val="clear" w:color="auto" w:fill="CCECFF"/>
          </w:tcPr>
          <w:p>
            <w:pPr>
              <w:ind w:left="180"/>
              <w:spacing w:after="0"/>
              <w:rPr>
                <w:sz w:val="20"/>
                <w:szCs w:val="20"/>
                <w:color w:val="auto"/>
              </w:rPr>
            </w:pPr>
            <w:r>
              <w:rPr>
                <w:rFonts w:ascii="Arial" w:cs="Arial" w:eastAsia="Arial" w:hAnsi="Arial"/>
                <w:sz w:val="18"/>
                <w:szCs w:val="18"/>
                <w:color w:val="auto"/>
              </w:rPr>
              <w:t>Floyd R. Tupper</w:t>
            </w:r>
          </w:p>
        </w:tc>
        <w:tc>
          <w:tcPr>
            <w:tcW w:w="1180" w:type="dxa"/>
            <w:vAlign w:val="bottom"/>
            <w:shd w:val="clear" w:color="auto" w:fill="CCECFF"/>
          </w:tcPr>
          <w:p>
            <w:pPr>
              <w:jc w:val="center"/>
              <w:ind w:left="470"/>
              <w:spacing w:after="0"/>
              <w:rPr>
                <w:sz w:val="20"/>
                <w:szCs w:val="20"/>
                <w:color w:val="auto"/>
              </w:rPr>
            </w:pPr>
            <w:r>
              <w:rPr>
                <w:rFonts w:ascii="Arial" w:cs="Arial" w:eastAsia="Arial" w:hAnsi="Arial"/>
                <w:sz w:val="18"/>
                <w:szCs w:val="18"/>
                <w:color w:val="auto"/>
                <w:w w:val="89"/>
              </w:rPr>
              <w:t>68</w:t>
            </w:r>
          </w:p>
        </w:tc>
        <w:tc>
          <w:tcPr>
            <w:tcW w:w="57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Secretary and Director</w:t>
            </w:r>
          </w:p>
        </w:tc>
        <w:tc>
          <w:tcPr>
            <w:tcW w:w="17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Timothy P. McFadden</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9"/>
              </w:rPr>
              <w:t>61</w:t>
            </w:r>
          </w:p>
        </w:tc>
        <w:tc>
          <w:tcPr>
            <w:tcW w:w="5760" w:type="dxa"/>
            <w:vAlign w:val="bottom"/>
          </w:tcPr>
          <w:p>
            <w:pPr>
              <w:ind w:left="180"/>
              <w:spacing w:after="0"/>
              <w:rPr>
                <w:sz w:val="20"/>
                <w:szCs w:val="20"/>
                <w:color w:val="auto"/>
              </w:rPr>
            </w:pPr>
            <w:r>
              <w:rPr>
                <w:rFonts w:ascii="Arial" w:cs="Arial" w:eastAsia="Arial" w:hAnsi="Arial"/>
                <w:sz w:val="18"/>
                <w:szCs w:val="18"/>
                <w:color w:val="auto"/>
              </w:rPr>
              <w:t>Director (Lead Independent 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2520" w:type="dxa"/>
            <w:vAlign w:val="bottom"/>
            <w:shd w:val="clear" w:color="auto" w:fill="CCECFF"/>
          </w:tcPr>
          <w:p>
            <w:pPr>
              <w:ind w:left="180"/>
              <w:spacing w:after="0"/>
              <w:rPr>
                <w:sz w:val="20"/>
                <w:szCs w:val="20"/>
                <w:color w:val="auto"/>
              </w:rPr>
            </w:pPr>
            <w:r>
              <w:rPr>
                <w:rFonts w:ascii="Arial" w:cs="Arial" w:eastAsia="Arial" w:hAnsi="Arial"/>
                <w:sz w:val="18"/>
                <w:szCs w:val="18"/>
                <w:color w:val="auto"/>
              </w:rPr>
              <w:t>William L. Yankus</w:t>
            </w:r>
          </w:p>
        </w:tc>
        <w:tc>
          <w:tcPr>
            <w:tcW w:w="1180" w:type="dxa"/>
            <w:vAlign w:val="bottom"/>
            <w:shd w:val="clear" w:color="auto" w:fill="CCECFF"/>
          </w:tcPr>
          <w:p>
            <w:pPr>
              <w:jc w:val="center"/>
              <w:ind w:left="470"/>
              <w:spacing w:after="0"/>
              <w:rPr>
                <w:sz w:val="20"/>
                <w:szCs w:val="20"/>
                <w:color w:val="auto"/>
              </w:rPr>
            </w:pPr>
            <w:r>
              <w:rPr>
                <w:rFonts w:ascii="Arial" w:cs="Arial" w:eastAsia="Arial" w:hAnsi="Arial"/>
                <w:sz w:val="18"/>
                <w:szCs w:val="18"/>
                <w:color w:val="auto"/>
                <w:w w:val="89"/>
              </w:rPr>
              <w:t>63</w:t>
            </w:r>
          </w:p>
        </w:tc>
        <w:tc>
          <w:tcPr>
            <w:tcW w:w="57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Director</w:t>
            </w:r>
          </w:p>
        </w:tc>
        <w:tc>
          <w:tcPr>
            <w:tcW w:w="17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2016</w:t>
            </w: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Carla A. D’Andre</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9"/>
              </w:rPr>
              <w:t>67</w:t>
            </w:r>
          </w:p>
        </w:tc>
        <w:tc>
          <w:tcPr>
            <w:tcW w:w="57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2017</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Barry B. Goldstein</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Mr. Goldstein has served as our Chief Executive Officer and President, as well as Chief Executive Officer of Kingstone Insurance Company, our wholly-owned New York property and casualty insurer (“KICO”), since July 2019. He previously served as our Chief Executive Officer, President and Chairman of the Board from March 2001 through December 2018, as Chief Executive Officer of KICO from January 2012 through December 2018 and as President of KICO from January 2012 through December 2018 and from July 2019 through September 2021. Mr. Goldstein has served as our Executive Chairman of the Board since January 2019, and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since August 2008. He was Treasurer of KICO from March 2010 through September 2010. Effective July 1, 2009, we acquired a 100% equity interest in KICO. Mr. Goldstein is a certified public accountant (inactive). Mr. Goldstein received his B.A. degree and M.B.A. from State University of New York at Buffalo. We believe that Mr. Goldstein’s extensive experience in the insurance industry, including his executive-level service with KICO since 2006, gives him the qualifications and skills to serve as one of our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Meryl S. Golden</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Ms. Golden has served as our Chief Operating Officer since September 2019 and as one of our directors since March 2020. She has also served as Chief Operating Officer, a director and a member of the Executive Committee of KICO since September 2019 and as its President since October 2021.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22"/>
          <w:szCs w:val="22"/>
          <w:b w:val="1"/>
          <w:bCs w:val="1"/>
          <w:color w:val="auto"/>
        </w:rPr>
        <w:t>Floyd R. Tupper</w:t>
      </w:r>
    </w:p>
    <w:p>
      <w:pPr>
        <w:spacing w:after="0" w:line="2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Mr. Tupper is a certified public accountant in New York City. For over 40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 of our Audit Committee since June 2014 and as our Secretary since June 2015. We believe that Mr. Tupper’s accounting experience, as well as his service on the Board of KICO (including his service as Chair of its Audit Committee), give him the qualifications and skills to serve as one of our directors.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Timothy P. McFadden</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Mr. McFadden has more than 30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since August 2018, served as Chair of our Nominating and Corporate Governance Committee from August 2018 to March 2023 and has served as Lead Independent Director and Chair of our Corporate Sustainability and Risk Management Committee since March 2023. We believe that Mr. McFadden’s executive level experience in the insurance industry gives him the qualifications and skills to serve as one of our directors.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22"/>
          <w:szCs w:val="22"/>
          <w:b w:val="1"/>
          <w:bCs w:val="1"/>
          <w:color w:val="auto"/>
        </w:rPr>
        <w:t>William L. Yankus</w:t>
      </w:r>
    </w:p>
    <w:p>
      <w:pPr>
        <w:spacing w:after="0" w:line="2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has served as one of our directors since March 2016, served as Chair of our Compensation Committee from April 2017 to March 2023, has served as Chair of our Compensation and Finance Committee since March 2023 and served as Chair of our Investment Committee from February 2020 to August 2021.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Carla A. D’Andre</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Ms. D’Andre has more than 40 years of experience in the insurance industry and brings significant risk management expertise to the Board. Since 2009, Ms. D’Andre has been Chairman, CEO and President of D’Andre Insurance Group, Inc., which she co-founded. D’Andre Insurance Group, Inc. is a full service insurance brokerage firm and is the parent of two independent insurance agencies. Prior to co-founding D’Andre Insurance Group, Inc., Ms. D’Andre held executive-level roles at several companies in the insurance industry, including Willis Group Holdings plc, a multinational risk advisor, insurance brokerage and reinsurance brokerage company; AON Risk Services, a global provider of risk management solutions; Inquis Logic Inc., an insurance and technology start-up firm; Swiss Re New Markets and Swiss ReAmerica, affiliates of Swiss Reinsurance Company Ltd, a global reinsurance company; Sedgwick North America, an insurance brokerage firm; and Johnson</w:t>
      </w:r>
    </w:p>
    <w:p>
      <w:pPr>
        <w:spacing w:after="0" w:line="3" w:lineRule="exact"/>
        <w:rPr>
          <w:sz w:val="20"/>
          <w:szCs w:val="20"/>
          <w:color w:val="auto"/>
        </w:rPr>
      </w:pPr>
    </w:p>
    <w:p>
      <w:pPr>
        <w:jc w:val="both"/>
        <w:ind w:firstLine="8"/>
        <w:spacing w:after="0" w:line="271" w:lineRule="auto"/>
        <w:tabs>
          <w:tab w:leader="none" w:pos="258" w:val="left"/>
        </w:tabs>
        <w:numPr>
          <w:ilvl w:val="0"/>
          <w:numId w:val="22"/>
        </w:numPr>
        <w:rPr>
          <w:rFonts w:ascii="Arial" w:cs="Arial" w:eastAsia="Arial" w:hAnsi="Arial"/>
          <w:sz w:val="19"/>
          <w:szCs w:val="19"/>
          <w:color w:val="auto"/>
        </w:rPr>
      </w:pPr>
      <w:r>
        <w:rPr>
          <w:rFonts w:ascii="Arial" w:cs="Arial" w:eastAsia="Arial" w:hAnsi="Arial"/>
          <w:sz w:val="19"/>
          <w:szCs w:val="19"/>
          <w:color w:val="auto"/>
        </w:rPr>
        <w:t>Higgins, an insurance brokerage firm. Ms. D’Andre is licensed in property and casualty and life and health insurance in multiple states. She is a member of the board of Resolution Enterprises LLC, a start-up affiliated with the NYPD Crime Stoppers Program, and serves on the Executive Advisory Council of St. John’s University School of Risk Management, Insurance and Actuarial Science. Ms. D’Andre previously served on The Institutes’ CPCU Society Leadership Council. She has served as one of our directors since May 2017, served as Chair of our Finance Committee from August 2017 to March 2023 and has served as Chair of our Nominating and Corporate Governance Committee since March 2023. Ms. D’Andre graduated from the FBI Citizen’s Academy Program, serving as a consultant and testifying witness on insurance matters. She has an M.B.A. from Pace University’s Lubin School of Business and a B.B.A. degree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Family Relationships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are no family relationships among any of our executive officers and directors.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22"/>
          <w:szCs w:val="22"/>
          <w:b w:val="1"/>
          <w:bCs w:val="1"/>
          <w:color w:val="auto"/>
        </w:rPr>
        <w:t>Term of Office</w:t>
      </w:r>
    </w:p>
    <w:p>
      <w:pPr>
        <w:spacing w:after="0" w:line="24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Board Diversity</w:t>
      </w:r>
    </w:p>
    <w:p>
      <w:pPr>
        <w:spacing w:after="0" w:line="24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Board Size:</w:t>
            </w:r>
          </w:p>
        </w:tc>
        <w:tc>
          <w:tcPr>
            <w:tcW w:w="4300" w:type="dxa"/>
            <w:vAlign w:val="bottom"/>
          </w:tcPr>
          <w:p>
            <w:pPr>
              <w:ind w:left="60"/>
              <w:spacing w:after="0"/>
              <w:rPr>
                <w:sz w:val="20"/>
                <w:szCs w:val="20"/>
                <w:color w:val="auto"/>
              </w:rPr>
            </w:pPr>
            <w:r>
              <w:rPr>
                <w:rFonts w:ascii="Arial" w:cs="Arial" w:eastAsia="Arial" w:hAnsi="Arial"/>
                <w:sz w:val="18"/>
                <w:szCs w:val="18"/>
                <w:b w:val="1"/>
                <w:bCs w:val="1"/>
                <w:color w:val="auto"/>
              </w:rPr>
              <w:t>Board Diversity Matrix (as of June 15, 2023)</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4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D0EAFF"/>
          </w:tcPr>
          <w:p>
            <w:pPr>
              <w:ind w:left="20"/>
              <w:spacing w:after="0"/>
              <w:rPr>
                <w:sz w:val="20"/>
                <w:szCs w:val="20"/>
                <w:color w:val="auto"/>
              </w:rPr>
            </w:pPr>
            <w:r>
              <w:rPr>
                <w:rFonts w:ascii="Arial" w:cs="Arial" w:eastAsia="Arial" w:hAnsi="Arial"/>
                <w:sz w:val="18"/>
                <w:szCs w:val="18"/>
                <w:color w:val="auto"/>
              </w:rPr>
              <w:t>Total Number of Directors:</w:t>
            </w:r>
          </w:p>
        </w:tc>
        <w:tc>
          <w:tcPr>
            <w:tcW w:w="4300" w:type="dxa"/>
            <w:vAlign w:val="bottom"/>
            <w:shd w:val="clear" w:color="auto" w:fill="D0EAFF"/>
          </w:tcPr>
          <w:p>
            <w:pPr>
              <w:spacing w:after="0"/>
              <w:rPr>
                <w:sz w:val="18"/>
                <w:szCs w:val="18"/>
                <w:color w:val="auto"/>
              </w:rPr>
            </w:pPr>
          </w:p>
        </w:tc>
        <w:tc>
          <w:tcPr>
            <w:tcW w:w="1960" w:type="dxa"/>
            <w:vAlign w:val="bottom"/>
            <w:shd w:val="clear" w:color="auto" w:fill="D0EAFF"/>
          </w:tcPr>
          <w:p>
            <w:pPr>
              <w:jc w:val="right"/>
              <w:ind w:right="15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4"/>
        </w:trPr>
        <w:tc>
          <w:tcPr>
            <w:tcW w:w="2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4300" w:type="dxa"/>
            <w:vAlign w:val="bottom"/>
          </w:tcPr>
          <w:p>
            <w:pPr>
              <w:jc w:val="center"/>
              <w:ind w:left="3130"/>
              <w:spacing w:after="0"/>
              <w:rPr>
                <w:sz w:val="20"/>
                <w:szCs w:val="20"/>
                <w:color w:val="auto"/>
              </w:rPr>
            </w:pPr>
            <w:r>
              <w:rPr>
                <w:rFonts w:ascii="Arial" w:cs="Arial" w:eastAsia="Arial" w:hAnsi="Arial"/>
                <w:sz w:val="18"/>
                <w:szCs w:val="18"/>
                <w:b w:val="1"/>
                <w:bCs w:val="1"/>
                <w:color w:val="auto"/>
                <w:w w:val="90"/>
              </w:rPr>
              <w:t>Female</w:t>
            </w:r>
          </w:p>
        </w:tc>
        <w:tc>
          <w:tcPr>
            <w:tcW w:w="196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Male</w:t>
            </w:r>
          </w:p>
        </w:tc>
        <w:tc>
          <w:tcPr>
            <w:tcW w:w="0" w:type="dxa"/>
            <w:vAlign w:val="bottom"/>
          </w:tcPr>
          <w:p>
            <w:pPr>
              <w:spacing w:after="0"/>
              <w:rPr>
                <w:sz w:val="1"/>
                <w:szCs w:val="1"/>
                <w:color w:val="auto"/>
              </w:rPr>
            </w:pPr>
          </w:p>
        </w:tc>
      </w:tr>
      <w:tr>
        <w:trPr>
          <w:trHeight w:val="198"/>
        </w:trPr>
        <w:tc>
          <w:tcPr>
            <w:tcW w:w="2740" w:type="dxa"/>
            <w:vAlign w:val="bottom"/>
            <w:vMerge w:val="continue"/>
          </w:tcPr>
          <w:p>
            <w:pPr>
              <w:spacing w:after="0"/>
              <w:rPr>
                <w:sz w:val="17"/>
                <w:szCs w:val="17"/>
                <w:color w:val="auto"/>
              </w:rPr>
            </w:pPr>
          </w:p>
        </w:tc>
        <w:tc>
          <w:tcPr>
            <w:tcW w:w="4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D0EAFF"/>
          </w:tcPr>
          <w:p>
            <w:pPr>
              <w:ind w:left="20"/>
              <w:spacing w:after="0"/>
              <w:rPr>
                <w:sz w:val="20"/>
                <w:szCs w:val="20"/>
                <w:color w:val="auto"/>
              </w:rPr>
            </w:pPr>
            <w:r>
              <w:rPr>
                <w:rFonts w:ascii="Arial" w:cs="Arial" w:eastAsia="Arial" w:hAnsi="Arial"/>
                <w:sz w:val="18"/>
                <w:szCs w:val="18"/>
                <w:color w:val="auto"/>
              </w:rPr>
              <w:t>Directors</w:t>
            </w:r>
          </w:p>
        </w:tc>
        <w:tc>
          <w:tcPr>
            <w:tcW w:w="4300" w:type="dxa"/>
            <w:vAlign w:val="bottom"/>
            <w:shd w:val="clear" w:color="auto" w:fill="D0EAFF"/>
          </w:tcPr>
          <w:p>
            <w:pPr>
              <w:jc w:val="center"/>
              <w:ind w:left="3130"/>
              <w:spacing w:after="0"/>
              <w:rPr>
                <w:sz w:val="20"/>
                <w:szCs w:val="20"/>
                <w:color w:val="auto"/>
              </w:rPr>
            </w:pPr>
            <w:r>
              <w:rPr>
                <w:rFonts w:ascii="Arial" w:cs="Arial" w:eastAsia="Arial" w:hAnsi="Arial"/>
                <w:sz w:val="18"/>
                <w:szCs w:val="18"/>
                <w:color w:val="auto"/>
                <w:w w:val="79"/>
              </w:rPr>
              <w:t>2</w:t>
            </w:r>
          </w:p>
        </w:tc>
        <w:tc>
          <w:tcPr>
            <w:tcW w:w="1960" w:type="dxa"/>
            <w:vAlign w:val="bottom"/>
            <w:shd w:val="clear" w:color="auto" w:fill="D0EAFF"/>
          </w:tcPr>
          <w:p>
            <w:pPr>
              <w:jc w:val="center"/>
              <w:ind w:left="2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w w:val="94"/>
              </w:rPr>
              <w:t>Part II: Demographic Background</w:t>
            </w:r>
          </w:p>
        </w:tc>
        <w:tc>
          <w:tcPr>
            <w:tcW w:w="4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D0EAFF"/>
          </w:tcPr>
          <w:p>
            <w:pPr>
              <w:ind w:left="20"/>
              <w:spacing w:after="0"/>
              <w:rPr>
                <w:sz w:val="20"/>
                <w:szCs w:val="20"/>
                <w:color w:val="auto"/>
              </w:rPr>
            </w:pPr>
            <w:r>
              <w:rPr>
                <w:rFonts w:ascii="Arial" w:cs="Arial" w:eastAsia="Arial" w:hAnsi="Arial"/>
                <w:sz w:val="18"/>
                <w:szCs w:val="18"/>
                <w:color w:val="auto"/>
              </w:rPr>
              <w:t>White</w:t>
            </w:r>
          </w:p>
        </w:tc>
        <w:tc>
          <w:tcPr>
            <w:tcW w:w="4300" w:type="dxa"/>
            <w:vAlign w:val="bottom"/>
            <w:shd w:val="clear" w:color="auto" w:fill="D0EAFF"/>
          </w:tcPr>
          <w:p>
            <w:pPr>
              <w:jc w:val="center"/>
              <w:ind w:left="3130"/>
              <w:spacing w:after="0"/>
              <w:rPr>
                <w:sz w:val="20"/>
                <w:szCs w:val="20"/>
                <w:color w:val="auto"/>
              </w:rPr>
            </w:pPr>
            <w:r>
              <w:rPr>
                <w:rFonts w:ascii="Arial" w:cs="Arial" w:eastAsia="Arial" w:hAnsi="Arial"/>
                <w:sz w:val="18"/>
                <w:szCs w:val="18"/>
                <w:color w:val="auto"/>
                <w:w w:val="79"/>
              </w:rPr>
              <w:t>2</w:t>
            </w:r>
          </w:p>
        </w:tc>
        <w:tc>
          <w:tcPr>
            <w:tcW w:w="1960" w:type="dxa"/>
            <w:vAlign w:val="bottom"/>
            <w:shd w:val="clear" w:color="auto" w:fill="D0EAFF"/>
          </w:tcPr>
          <w:p>
            <w:pPr>
              <w:jc w:val="center"/>
              <w:ind w:left="2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Committees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Audit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Audit Committee of the Board of Directors is responsible for overseeing our accounting and financial reporting processes and the audits of our financial statements. The responsibilities and duties of the Audit Committee include the following:</w:t>
      </w:r>
    </w:p>
    <w:p>
      <w:pPr>
        <w:spacing w:after="0" w:line="220" w:lineRule="exact"/>
        <w:rPr>
          <w:sz w:val="20"/>
          <w:szCs w:val="20"/>
          <w:color w:val="auto"/>
        </w:rPr>
      </w:pPr>
    </w:p>
    <w:p>
      <w:pPr>
        <w:ind w:left="130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assist the Board of Directors in fulfilling its responsibilities by reviewing the financial reports provided by us to the Securities and Exchange Commission, our stockholders or to the general public, and our internal financial and accounting controls;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oversee the appointment, compensation and retention of, and the work performed by, any independent public accountants engaged by us;</w:t>
      </w:r>
    </w:p>
    <w:p>
      <w:pPr>
        <w:spacing w:after="0" w:line="275"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establish and monitor procedures designed to improve the quality and reliability of the disclosure of our financial condition and results of operations;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establish and monitor procedures designed to facilitate:</w:t>
      </w:r>
    </w:p>
    <w:p>
      <w:pPr>
        <w:spacing w:after="0" w:line="25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the receipt, retention and treatment of complaints relating to accounting, internal accounting controls or auditing matters;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ind w:left="1960"/>
        <w:spacing w:after="0" w:line="277" w:lineRule="auto"/>
        <w:rPr>
          <w:sz w:val="20"/>
          <w:szCs w:val="20"/>
          <w:color w:val="auto"/>
        </w:rPr>
      </w:pPr>
      <w:r>
        <w:rPr>
          <w:rFonts w:ascii="Arial" w:cs="Arial" w:eastAsia="Arial" w:hAnsi="Arial"/>
          <w:sz w:val="18"/>
          <w:szCs w:val="18"/>
          <w:color w:val="auto"/>
        </w:rPr>
        <w:t>the receipt of confidential, anonymous submissions by employees of concerns regarding questionable accounting or auditing matters.</w:t>
      </w:r>
    </w:p>
    <w:p>
      <w:pPr>
        <w:spacing w:after="0" w:line="19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members of our Board’s Audit Committee currently are Messrs. Tupper (chair), Yankus and McFadden. Our Board has adopted a written charter for the Audit Committee. A copy of the charter is available on our website, </w:t>
      </w:r>
      <w:r>
        <w:rPr>
          <w:rFonts w:ascii="Arial" w:cs="Arial" w:eastAsia="Arial" w:hAnsi="Arial"/>
          <w:sz w:val="22"/>
          <w:szCs w:val="22"/>
          <w:u w:val="single" w:color="auto"/>
          <w:color w:val="auto"/>
        </w:rPr>
        <w:t>www.kingstonecompanies.com</w:t>
      </w:r>
      <w:r>
        <w:rPr>
          <w:rFonts w:ascii="Arial" w:cs="Arial" w:eastAsia="Arial" w:hAnsi="Arial"/>
          <w:sz w:val="22"/>
          <w:szCs w:val="22"/>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Nominating and Corporate Governance Committee</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and developing corporate governance guidelines.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members of the Nominating and Corporate Governance Committee currently are Ms. D’Andre (Chair) and Messrs. McFadden and Tupper. Our Board has adopted a written charter for the Nominating and Corporate Governance Committee. A copy of the charter is available on our website, </w:t>
      </w:r>
      <w:r>
        <w:rPr>
          <w:rFonts w:ascii="Arial" w:cs="Arial" w:eastAsia="Arial" w:hAnsi="Arial"/>
          <w:sz w:val="22"/>
          <w:szCs w:val="22"/>
          <w:u w:val="single" w:color="auto"/>
          <w:color w:val="auto"/>
        </w:rPr>
        <w:t>www.kingstonecompanies.com</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Nominating and Corporate Governance Committee considers, among other things, diversity of background, experience, skills, expertise, personal and professional integrity, character, business judgment, time availability and conflicts of interest in evaluating prospective Board members. The Nominating and Corporate Governance Committee Charter requires that the Nominating and Corporate Governance Committee ensure that the initial list of candidates from which new independent director nominees are chosen by the Board include at least one candidate who is a person of color and one candidate who is female.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the considerations discussed above, as well as ‘independence’ (for purposes of compliance with the rules of the SEC and the NASDAQ Marketplace Rules).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except as discussed above, the Nominating and Corporate Governance Committee has not adopted minimum criteria for consideration of a proposed candidate for nomination. The Board has determined that no independent director will serve for more than a total of 20 years in that capacity, unless otherwise determined by the Board, and that any independent director who reaches age 75 while serving as a director must retire from the Board effective at the end of his or her then current term, unless otherwise determined by the Board.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22"/>
          <w:szCs w:val="22"/>
          <w:i w:val="1"/>
          <w:iCs w:val="1"/>
          <w:color w:val="auto"/>
        </w:rPr>
        <w:t>Compensation and Finance Committee</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Compensation and Finance Committee of the Board of Directors is responsible for the management of our business and affairs with respect to the compensation of our employees. The responsibilities and duties of the Compensation and Finance Committee include the following:</w:t>
      </w:r>
    </w:p>
    <w:p>
      <w:pPr>
        <w:spacing w:after="0" w:line="220"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and approve the compensation of our Chief Executive Officer;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recommendations to our Board regarding the compensation of all other executive officers;</w:t>
      </w:r>
    </w:p>
    <w:p>
      <w:pPr>
        <w:spacing w:after="0" w:line="252"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and make recommendations to our Board regarding, incentive compensation plans and equity-based plans, and where appropriate or required, recommend for approval by our stockholders, which includes the ability to adopt, amend and terminate such plans;</w:t>
      </w:r>
    </w:p>
    <w:p>
      <w:pPr>
        <w:spacing w:after="0" w:line="150"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employment agreements and severance arrangements or plans, including any benefits to be provided in connection with a change in control, for our Chief Executive Officer and other executive officers, which includes the ability to adopt, amend and terminate such agreements, arrangements or plans;</w:t>
      </w:r>
    </w:p>
    <w:p>
      <w:pPr>
        <w:spacing w:after="0" w:line="21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all employee benefit plans, which includes the ability to adopt, administer, amend and terminate such plans;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director compensation for service on our Board and Board committees and recommend any changes to our Board;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and make recommendations to our Board with regard to the following matters:</w:t>
      </w:r>
    </w:p>
    <w:p>
      <w:pPr>
        <w:spacing w:after="0" w:line="25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our annual capital plan, including capital allocation, funding and capital expenditures;</w:t>
      </w:r>
    </w:p>
    <w:p>
      <w:pPr>
        <w:spacing w:after="0" w:line="333" w:lineRule="exact"/>
        <w:rPr>
          <w:rFonts w:ascii="Arial" w:cs="Arial" w:eastAsia="Arial" w:hAnsi="Arial"/>
          <w:sz w:val="18"/>
          <w:szCs w:val="18"/>
          <w:color w:val="auto"/>
        </w:rPr>
      </w:pPr>
    </w:p>
    <w:p>
      <w:pPr>
        <w:ind w:left="1960" w:right="820"/>
        <w:spacing w:after="0" w:line="626" w:lineRule="auto"/>
        <w:rPr>
          <w:rFonts w:ascii="Arial" w:cs="Arial" w:eastAsia="Arial" w:hAnsi="Arial"/>
          <w:sz w:val="18"/>
          <w:szCs w:val="18"/>
          <w:color w:val="auto"/>
        </w:rPr>
      </w:pPr>
      <w:r>
        <w:rPr>
          <w:rFonts w:ascii="Arial" w:cs="Arial" w:eastAsia="Arial" w:hAnsi="Arial"/>
          <w:sz w:val="18"/>
          <w:szCs w:val="18"/>
          <w:color w:val="auto"/>
        </w:rPr>
        <w:t>possible changes to our capital structure, including proposed equity and debt issuances, redemptions and repurchases; proposed credit facilities, letters of credit, borrowings and guarantees;</w:t>
      </w:r>
    </w:p>
    <w:p>
      <w:pPr>
        <w:ind w:left="1620"/>
        <w:spacing w:after="0"/>
        <w:rPr>
          <w:rFonts w:ascii="Arial" w:cs="Arial" w:eastAsia="Arial" w:hAnsi="Arial"/>
          <w:sz w:val="18"/>
          <w:szCs w:val="18"/>
          <w:color w:val="auto"/>
        </w:rPr>
      </w:pPr>
      <w:r>
        <w:rPr>
          <w:rFonts w:ascii="Arial" w:cs="Arial" w:eastAsia="Arial" w:hAnsi="Arial"/>
          <w:sz w:val="18"/>
          <w:szCs w:val="18"/>
          <w:color w:val="auto"/>
        </w:rPr>
        <w:t>any significant financial exposures or contingent liabilities;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1620"/>
        <w:spacing w:after="0"/>
        <w:rPr>
          <w:sz w:val="20"/>
          <w:szCs w:val="20"/>
          <w:color w:val="auto"/>
        </w:rPr>
      </w:pPr>
      <w:r>
        <w:rPr>
          <w:rFonts w:ascii="Arial" w:cs="Arial" w:eastAsia="Arial" w:hAnsi="Arial"/>
          <w:sz w:val="18"/>
          <w:szCs w:val="18"/>
          <w:color w:val="auto"/>
        </w:rPr>
        <w:t>the financial aspects of our corporate insurance programs.</w:t>
      </w:r>
    </w:p>
    <w:p>
      <w:pPr>
        <w:spacing w:after="0" w:line="32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members of the Compensation and Finance Committee currently are Messrs. Yankus (Chair) and Tupper and Ms. D’Andre. Our Board has adopted a written charter for the Compensation and Finance Committee. A copy of the charter is available on our website, </w:t>
      </w:r>
      <w:r>
        <w:rPr>
          <w:rFonts w:ascii="Arial" w:cs="Arial" w:eastAsia="Arial" w:hAnsi="Arial"/>
          <w:sz w:val="22"/>
          <w:szCs w:val="22"/>
          <w:u w:val="single" w:color="auto"/>
          <w:color w:val="auto"/>
        </w:rPr>
        <w:t>www.kingstonecompanies.com</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Compensation and Finance Committee may form and delegate authority to subcommittees and may delegate authority to one or more designated members of the Compensation and Finance Committee. Our Chief Executive Officer assists the Compensation and Finance Committee from time to time by advising on a variety of compensation matters, such as assisting the Compensation and Finance Committee in determining appropriate salaries and bonuses for our executive officers. The Compensation and Finance Committee has the authority to consult with management and to engage the services of outside advisors, experts and others to assist it in its efforts.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Board Leadership Structure and Role in Risk Oversight</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Corporate Sustainability and Risk Management Committee oversees and makes recommendations to our Board with regard to our overall approach to risks related to business operations, including insurance underwriting and claims; reinsurance; catastrophe risk and the impact of changing climate conditions; credit risk in insurance operations; and information technology, including cybersecurity. In addition, our Audit Committee focuses on financial reporting risks and related controls and procedures, and our Compensation and Finance Committee strives to create compensation practices that do not encourage excessive levels of risk taking that would be inconsistent with our strategies and objectives.</w:t>
      </w: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Since January 2019, Barry B. Goldstein has served as our Executive Chairman of the Board, having served from 2001 through 2018 as our Chairman of the Board. Mr. Goldstein served as our Chief Executive Officer from 2001 through 2018 and has served in such capacity since July 2019.</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Since March 2023, Timothy P. McFadden has served as our Lead Independent Director. In such capacity, Mr. McFadden has the following duties and responsibilities:</w:t>
      </w:r>
    </w:p>
    <w:p>
      <w:pPr>
        <w:spacing w:after="0" w:line="209" w:lineRule="exact"/>
        <w:rPr>
          <w:sz w:val="20"/>
          <w:szCs w:val="20"/>
          <w:color w:val="auto"/>
        </w:rPr>
      </w:pPr>
    </w:p>
    <w:p>
      <w:pPr>
        <w:ind w:left="1620" w:hanging="316"/>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preside at meetings of the Board at which the Chairman of the Board is not present, including executive sessions of the independent directors;</w:t>
      </w:r>
    </w:p>
    <w:p>
      <w:pPr>
        <w:spacing w:after="0" w:line="197" w:lineRule="exact"/>
        <w:rPr>
          <w:rFonts w:ascii="Arial" w:cs="Arial" w:eastAsia="Arial" w:hAnsi="Arial"/>
          <w:sz w:val="18"/>
          <w:szCs w:val="18"/>
          <w:color w:val="auto"/>
        </w:rPr>
      </w:pPr>
    </w:p>
    <w:p>
      <w:pPr>
        <w:ind w:left="1620" w:hanging="316"/>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serve as a liaison between the Chairman of the Board and the independent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preview the information to be provided to the Board;</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assure that there is sufficient time for discussion of all meeting agenda items;</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organize and lead the Board’s evaluation of the CEO;</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responsible for leading the Board’s annual self-assessment;</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authority to call meetings of the independent directors; and</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requested by stockholders, be available for consultation and direct communication.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Report of the Audit Committee</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In overseeing the preparation of the financial statements of the Company as of December 31, 2022, and for the years ended December 31, 2022 and 2021,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Marcum LLP (“Marcum”), our outside auditors, the matters required to be discussed by Public Company Accounting Oversight Board’s Auditing Standard No. 1301, </w:t>
      </w:r>
      <w:r>
        <w:rPr>
          <w:rFonts w:ascii="Arial" w:cs="Arial" w:eastAsia="Arial" w:hAnsi="Arial"/>
          <w:sz w:val="21"/>
          <w:szCs w:val="21"/>
          <w:i w:val="1"/>
          <w:iCs w:val="1"/>
          <w:color w:val="auto"/>
        </w:rPr>
        <w:t>Communications with Audit Committees</w:t>
      </w:r>
      <w:r>
        <w:rPr>
          <w:rFonts w:ascii="Arial" w:cs="Arial" w:eastAsia="Arial" w:hAnsi="Arial"/>
          <w:sz w:val="21"/>
          <w:szCs w:val="21"/>
          <w:color w:val="auto"/>
        </w:rPr>
        <w:t>, as currently in effect.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Audit Committee received the written disclosures and the letter from Marcum required by applicable requirements of the Public Company Accounting Oversight Board regarding Marcum’s communications with the Audit Committee concerning independence and the Audit Committee discussed Marcum’s independence with Marcum.</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the basis of these reviews and discussions, the Audit Committee recommended to the Board of Directors that the audited financial statements be included in our Annual Report on Form 10-K for the fiscal year ended December 31, 2022, for filing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Members of the Audit Committee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Floyd R. Tupper (chair)</w:t>
      </w:r>
    </w:p>
    <w:p>
      <w:pPr>
        <w:jc w:val="center"/>
        <w:spacing w:after="0" w:line="238" w:lineRule="auto"/>
        <w:rPr>
          <w:sz w:val="20"/>
          <w:szCs w:val="20"/>
          <w:color w:val="auto"/>
        </w:rPr>
      </w:pPr>
      <w:r>
        <w:rPr>
          <w:rFonts w:ascii="Arial" w:cs="Arial" w:eastAsia="Arial" w:hAnsi="Arial"/>
          <w:sz w:val="22"/>
          <w:szCs w:val="22"/>
          <w:color w:val="auto"/>
        </w:rPr>
        <w:t>William L. Yankus</w:t>
      </w:r>
    </w:p>
    <w:p>
      <w:pPr>
        <w:jc w:val="center"/>
        <w:spacing w:after="0"/>
        <w:rPr>
          <w:sz w:val="20"/>
          <w:szCs w:val="20"/>
          <w:color w:val="auto"/>
        </w:rPr>
      </w:pPr>
      <w:r>
        <w:rPr>
          <w:rFonts w:ascii="Arial" w:cs="Arial" w:eastAsia="Arial" w:hAnsi="Arial"/>
          <w:sz w:val="22"/>
          <w:szCs w:val="22"/>
          <w:color w:val="auto"/>
        </w:rPr>
        <w:t>Timothy P. McFadden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Meetings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Board of Directors held 25 meetings during the fiscal year ended December 31, 2022.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9"/>
          <w:szCs w:val="19"/>
          <w:color w:val="auto"/>
        </w:rPr>
        <w:t>The Audit Committee of the Board of Directors held four meetings during the fiscal year ended December 31, 2022.</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Nominating and Corporate Governance Committee of the Board of Directors held one meeting during the fiscal year ended December 31, 2022.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Compensation Committee of the Board of Directors held four meetings during the fiscal year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2022.</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During 2022, all of our directors attended at least 75% of the aggregate of the total number of meetings of the Board and the total number of the meetings of the committees of the Board on which they served.</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We do not have a formal policy regarding director attendance at our annual meeting of stockholders. However, all directors are encouraged to attend. None of our directors attended last year’s annual meeting of stockholders.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Communications with Board of Directors</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Any security holder who wishes to communicate with our Board of Directors or a particular director should send the correspondence to the Board of Directors, Kingstone Companies, Inc., 15 Joys Lane, Kingston, New York 12401, Attention: Corporate Secretary. Any such communication so addressed will be forwarded by the Corporate Secretary to the Lead Independent Director, the members or a particular member of the Board, as the case may be.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Audit Committee Financial Expert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Section 16(a) Beneficial Ownership Reporting Compliance</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proxy statement each reporting person whom we know to have failed to file any required reports under Section 16 on a timely basis during the fiscal year ended December 31, 2022. To our knowledge, based solely on a review of copies of Forms 3, 4 and 5 filed with the SEC and written representations that no other reports were required, during the fiscal year ended December 31, 2022, our officers, directors and 10% stockholders complied with all Section 16(a) filing requirements applicable to them, except that Ms. Golden filed one Form 4 late (reporting one transaction).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22"/>
          <w:szCs w:val="22"/>
          <w:b w:val="1"/>
          <w:bCs w:val="1"/>
          <w:color w:val="auto"/>
        </w:rPr>
        <w:t>Director Independence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Board of Directors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Board of Directors is currently comprised of Barry B. Goldstein, Floyd R. Tupper, William L. Yankus, Carla A. D’Andre, Timothy P. McFadden and Meryl S. Golden. Our board of directors has determined that each of Messrs. Tupper, Yankus and McFadden and Ms. D’Andre is independent under applicable Nasdaq listing standards and federal securities rules and regulations.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Audit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members of our Board’s Audit Committee currently are Messrs. Tupper (Chair), Yankus and McFadden, each of whom is independent under applicable Nasdaq listing standards and federal securities rules and regulations on independence of Audit Committee members.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Nominating and Corporate Governance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members of the Nominating and Corporate Governance Committee currently are Ms. D’Andre (Chair) and Messrs. McFadden and Tupper, each of whom is independent under applicable Nasdaq listing standards and federal securities rules and regulations on independence.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Compensation and Finance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members of the Compensation and Finance Committee currently are Messrs. Yankus (Chair) and Tupper and Ms. D’Andre, each of whom is independent under applicable Nasdaq listing standards and federal securities rules and regulations on independence.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a vote FOR all nominees.</w:t>
      </w:r>
    </w:p>
    <w:p>
      <w:pPr>
        <w:spacing w:after="0" w:line="200" w:lineRule="exact"/>
        <w:rPr>
          <w:sz w:val="20"/>
          <w:szCs w:val="20"/>
          <w:color w:val="auto"/>
        </w:rPr>
      </w:pPr>
    </w:p>
    <w:p>
      <w:pPr>
        <w:spacing w:after="0" w:line="276"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PROPOSAL 2: APPROVAL OF AN AMENDMENT TO THE COMPANY’S AMENDED AND RESTATED 2014 EQUITY PARTICIPATION PLAN TO INCREASE THE NUMBER OF SHARES OF COMMON STOCK AUTHORIZED TO BE ISSUED PURSUANT TO THE PLAN FROM 1,400,000 TO 1,900,000</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Board of Directors has approved the adoption of an amendment to the Company’s Amended and Restated 2014 Equity Participation Plan (the “2014 Plan” or the “Plan”) to increase the number of shares of common stock authorized to be issued under the 2014 Plan from 1,400,000 to 1,900,000 (the “Plan Amendment”). The Plan Amendment is being submitted to the stockholders for approval.</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2014 Plan was originally adopted by our Board on August 12, 2014, pursuant to which up to 700,000 shares of common stock were authorized to be issued. Stockholder approval of the 2014 Plan was obtained on August 11, 2015. On May 27, 2020, our Board increased the number of shares authorized to be issued under the 2014 Plan from 700,000 to 1,400,000, among other amendments. Stockholder approval of the increase and other amendments was obtained on August 5, 2020. On May 10, 2023, our Board increased the number of shares authorized to be issued under the 2014 Plan from 1,400,000 to 1,900,000, subject to stockholder approval of the Plan Amendment.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ind w:firstLine="648"/>
        <w:spacing w:after="0" w:line="236" w:lineRule="auto"/>
        <w:rPr>
          <w:sz w:val="20"/>
          <w:szCs w:val="20"/>
          <w:color w:val="auto"/>
        </w:rPr>
      </w:pPr>
      <w:r>
        <w:rPr>
          <w:rFonts w:ascii="Arial" w:cs="Arial" w:eastAsia="Arial" w:hAnsi="Arial"/>
          <w:sz w:val="22"/>
          <w:szCs w:val="22"/>
          <w:color w:val="auto"/>
        </w:rPr>
        <w:t>As of June 15, 2023, options for the purchase of 163,951 shares of common stock (net of cancellations) had been granted pursuant to the 2014 Plan. In addition, as of such date, 1,151,071 shares of restricted stock had been granted pursuant to the 2014 Plan and 84,978 shares were reserved for future grants under the 2014 Plan (without giving effect to the Plan Amendment increasing the number of shares authorized to be issued under the 2014 Plan to 1,900,000). See “Plan Benefits” below for additional details.</w:t>
      </w:r>
    </w:p>
    <w:p>
      <w:pPr>
        <w:spacing w:after="0" w:line="215" w:lineRule="exact"/>
        <w:rPr>
          <w:sz w:val="20"/>
          <w:szCs w:val="20"/>
          <w:color w:val="auto"/>
        </w:rPr>
      </w:pPr>
    </w:p>
    <w:p>
      <w:pPr>
        <w:jc w:val="both"/>
        <w:ind w:firstLine="648"/>
        <w:spacing w:after="0" w:line="249" w:lineRule="exact"/>
        <w:rPr>
          <w:sz w:val="20"/>
          <w:szCs w:val="20"/>
          <w:color w:val="auto"/>
        </w:rPr>
      </w:pPr>
      <w:r>
        <w:rPr>
          <w:rFonts w:ascii="Arial" w:cs="Arial" w:eastAsia="Arial" w:hAnsi="Arial"/>
          <w:sz w:val="22"/>
          <w:szCs w:val="22"/>
          <w:color w:val="auto"/>
        </w:rPr>
        <w:t>The Plan plays an important role in our efforts to attract and retain employees of outstanding ability and to align the interests of employees with those of the stockholders through increased stock ownership. In order to continue to provide appropriate equity incentives to employees in the future, our Board has approved an increase in the number of authorized shares under the Plan. As discussed below, the Plan is also designed to provide incentives to our non</w:t>
      </w:r>
      <w:r>
        <w:rPr>
          <w:rFonts w:ascii="MS PGothic" w:cs="MS PGothic" w:eastAsia="MS PGothic" w:hAnsi="MS PGothic"/>
          <w:sz w:val="22"/>
          <w:szCs w:val="22"/>
          <w:color w:val="auto"/>
        </w:rPr>
        <w:t>‑</w:t>
      </w:r>
      <w:r>
        <w:rPr>
          <w:rFonts w:ascii="Arial" w:cs="Arial" w:eastAsia="Arial" w:hAnsi="Arial"/>
          <w:sz w:val="22"/>
          <w:szCs w:val="22"/>
          <w:color w:val="auto"/>
        </w:rPr>
        <w:t>employee directors, consultants and advisors.</w:t>
      </w:r>
    </w:p>
    <w:p>
      <w:pPr>
        <w:spacing w:after="0" w:line="20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The following statements include summaries of certain provisions of the Plan. The statements do not purport to be complete and are qualified in their entirety by reference to the provisions of the Plan, a copy of which is available at our offices and has been included as an exhibit to our Current Report on Form 8-K filed with the Securities and Exchange Commission on June 1, 2020.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Purpose</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purpose of the Plan is to advance our interests by inducing individuals or entities of outstanding ability and potential to join and remain with, or provide consulting or advisory services to, us by encouraging and enabling eligible employees, non-employee directors, consultants and advisors to acquire proprietary interests in our company, and by providing the participating employees, non-employee directors, consultants and advisors with an additional incentive to promote our success.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Administration</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Plan provides for its administration by our Board or by a committee (the “Committee”) consisting of at least two persons chosen by the Board each of whom is intended to be an “outside independent director” to the extent required by the rules and regulations of any established stock market exchange or national market system, including, without limitation, The Nasdaq Stock Market. The following discussion of the Plan assumes that the Plan is administered by the Committee.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Committee has authority to select from the group of eligible employees, non-employee directors, consultants and advisors the individuals or entities to whom awards will be granted under the Plan, and to determine the times at which awards will be granted and the terms of such grants, subject to certain restrictions as set forth in the Plan. The Committee is authorized to interpret the Plan and the interpretation and construction by the Committee of any provision of the Plan or of any award granted under the Plan shall be final and conclusive. The receipt of awards under the Plan by any members of the Committee shall not preclude their vote on any matters in connection with the administration or interpretation of the Plan.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b w:val="1"/>
          <w:bCs w:val="1"/>
          <w:color w:val="auto"/>
        </w:rPr>
        <w:t>Eligibility</w:t>
      </w:r>
    </w:p>
    <w:p>
      <w:pPr>
        <w:spacing w:after="0" w:line="240" w:lineRule="exact"/>
        <w:rPr>
          <w:sz w:val="20"/>
          <w:szCs w:val="20"/>
          <w:color w:val="auto"/>
        </w:rPr>
      </w:pPr>
    </w:p>
    <w:p>
      <w:pPr>
        <w:jc w:val="both"/>
        <w:ind w:firstLine="648"/>
        <w:spacing w:after="0" w:line="249" w:lineRule="exact"/>
        <w:rPr>
          <w:sz w:val="20"/>
          <w:szCs w:val="20"/>
          <w:color w:val="auto"/>
        </w:rPr>
      </w:pPr>
      <w:r>
        <w:rPr>
          <w:rFonts w:ascii="Arial" w:cs="Arial" w:eastAsia="Arial" w:hAnsi="Arial"/>
          <w:sz w:val="19"/>
          <w:szCs w:val="19"/>
          <w:color w:val="auto"/>
        </w:rPr>
        <w:t>Subject to certain limitations as set forth in the Plan, options to purchase shares may be granted thereunder to persons or entities who, in the case of incentive stock options, are employees of our company or, in the case of nonstatutory stock options, are employees or non</w:t>
      </w:r>
      <w:r>
        <w:rPr>
          <w:rFonts w:ascii="MS PGothic" w:cs="MS PGothic" w:eastAsia="MS PGothic" w:hAnsi="MS PGothic"/>
          <w:sz w:val="19"/>
          <w:szCs w:val="19"/>
          <w:color w:val="auto"/>
        </w:rPr>
        <w:t>‑</w:t>
      </w:r>
      <w:r>
        <w:rPr>
          <w:rFonts w:ascii="Arial" w:cs="Arial" w:eastAsia="Arial" w:hAnsi="Arial"/>
          <w:sz w:val="19"/>
          <w:szCs w:val="19"/>
          <w:color w:val="auto"/>
        </w:rPr>
        <w:t>employee directors of, or certain consultants or advisors to, our company. Subject to certain limitations as set forth in the Plan, stock appreciation rights and stock bonus awards may be granted thereunder to persons or entities who are employees or non-employee directors of, or certain consultants or advisors to, us.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of June 15, 2023, 88 employees, our four non-employee directors, and persons providing certain consulting services to us were eligible to receive awards under the Plan.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Options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Nature of Options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Committee may grant options under the Plan which are intended to either qualify as “incentive stock options” within the meaning of Section 422 of the Internal Revenue Code of 1986 (the “Code”) or not so qualify. We refer to options that do not so qualify as “nonstatutory stock options.” The Federal income tax consequences relating to the grant and exercise of incentive stock options and nonstatutory stock options are described below under “Federal Income Tax Consequences.”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Option Price</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option price of the shares subject to an incentive stock option or a nonstatutory stock option may not be less than the fair market value (as such term is defined in the Plan) of the common stock on the date upon which such option is granted. In addition, in the case of a recipient of an incentive stock option who, at the time the option is granted, owns more than 10% of the total combined voting power of all classes of our stock or of a parent or of any of our subsidiaries, the option price of the shares subject to such option must be at least 110% of the fair market value of the common stock on the date upon which such option is granted.</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 June 21, 2023, the last reported sale price for our common stock, as reported by The Nasdaq Stock Market, was $1.35 per share.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Exercise of Options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An option granted under the Plan shall be exercised by the delivery by the holder to our Secretary at our principal office of a written notice of the number of shares with respect to which the option is being exercised. The notice must be accompanied, or followed within ten days, by payment of the full option price of such shares which must be made by the holder’s delivery of (i) a check in such amount, (ii) previously acquired common stock, the fair market value of which shall be determined as of the date of exercise, or (iii) if provided for in a stock option agreement pursuant to which the option is granted, and subject to applicable law, a check in an amount equal to the par value of the common stock being acquired and a promissory note in an amount equal to the balance of the exercise price, or a combination of (i), (ii) and (iii). Alternatively, if provided for in the award agreement, the holder may elect to have us reduce the number of shares otherwise issuable by a number of shares having a fair market value equal to the exercise price of the option being exercised.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22"/>
          <w:szCs w:val="22"/>
          <w:i w:val="1"/>
          <w:iCs w:val="1"/>
          <w:color w:val="auto"/>
        </w:rPr>
        <w:t>Duration of Options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 incentive stock option granted under the Plan shall be exercisable after the expiration of ten years from the date of its grant. However, if an incentive stock option is granted to a 10% stockholder, the option shall not be exercisable after the expiration of five years from the date of its grant.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Nonstatutory stock options granted under the Plan shall be exercisable for a period of up to ten years from the date of their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grant.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Non-Transferability</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Options granted under the Plan are not transferable otherwise than by will or the laws of descent and distribution and such options are exercisable, during a holder’s lifetime, only by the grantee; provided, however, that a nonstatutory stock option granted under the Plan may, upon the approval of the Committee be transferred in whole or in part during a grantee’s lifetime to certain family members of a grantee through a gift or domestic relations offer.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Death, Disability or Termination of Employment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terms of the agreement pursuant to which the options are granted, if the employment of an employee or the services of a non-employee director, consultant or advisor shall terminate other than by reason of death or disability, such option may be exercised at any time within three months after such termination, but in no event after the expiration of the option.</w:t>
      </w:r>
    </w:p>
    <w:p>
      <w:pPr>
        <w:spacing w:after="0" w:line="161" w:lineRule="exact"/>
        <w:rPr>
          <w:sz w:val="20"/>
          <w:szCs w:val="20"/>
          <w:color w:val="auto"/>
        </w:rPr>
      </w:pPr>
    </w:p>
    <w:p>
      <w:pPr>
        <w:jc w:val="both"/>
        <w:ind w:firstLine="648"/>
        <w:spacing w:after="0" w:line="249" w:lineRule="exact"/>
        <w:rPr>
          <w:sz w:val="20"/>
          <w:szCs w:val="20"/>
          <w:color w:val="auto"/>
        </w:rPr>
      </w:pPr>
      <w:r>
        <w:rPr>
          <w:rFonts w:ascii="Arial" w:cs="Arial" w:eastAsia="Arial" w:hAnsi="Arial"/>
          <w:sz w:val="21"/>
          <w:szCs w:val="21"/>
          <w:color w:val="auto"/>
        </w:rPr>
        <w:t>Subject to the terms of the agreement pursuant to which the options are granted, if an option holder under the Plan (i) dies while employed by us or while serving as a non</w:t>
      </w:r>
      <w:r>
        <w:rPr>
          <w:rFonts w:ascii="MS PGothic" w:cs="MS PGothic" w:eastAsia="MS PGothic" w:hAnsi="MS PGothic"/>
          <w:sz w:val="21"/>
          <w:szCs w:val="21"/>
          <w:color w:val="auto"/>
        </w:rPr>
        <w:t>‑</w:t>
      </w:r>
      <w:r>
        <w:rPr>
          <w:rFonts w:ascii="Arial" w:cs="Arial" w:eastAsia="Arial" w:hAnsi="Arial"/>
          <w:sz w:val="21"/>
          <w:szCs w:val="21"/>
          <w:color w:val="auto"/>
        </w:rPr>
        <w:t>employee director of, or consultant or advisor to, us, or (ii) dies within three months after the termination of his or her employment or services for any reason, then such option may be exercised by the estate of the employee, non</w:t>
      </w:r>
      <w:r>
        <w:rPr>
          <w:rFonts w:ascii="MS PGothic" w:cs="MS PGothic" w:eastAsia="MS PGothic" w:hAnsi="MS PGothic"/>
          <w:sz w:val="21"/>
          <w:szCs w:val="21"/>
          <w:color w:val="auto"/>
        </w:rPr>
        <w:t>‑</w:t>
      </w:r>
      <w:r>
        <w:rPr>
          <w:rFonts w:ascii="Arial" w:cs="Arial" w:eastAsia="Arial" w:hAnsi="Arial"/>
          <w:sz w:val="21"/>
          <w:szCs w:val="21"/>
          <w:color w:val="auto"/>
        </w:rPr>
        <w:t>employee director, consultant or advisor, or by a person who acquired such option by bequest or inheritance from the deceased option holder, at any time within one year after his or her death.</w:t>
      </w:r>
    </w:p>
    <w:p>
      <w:pPr>
        <w:spacing w:after="0" w:line="215" w:lineRule="exact"/>
        <w:rPr>
          <w:sz w:val="20"/>
          <w:szCs w:val="20"/>
          <w:color w:val="auto"/>
        </w:rPr>
      </w:pPr>
    </w:p>
    <w:p>
      <w:pPr>
        <w:jc w:val="both"/>
        <w:ind w:firstLine="648"/>
        <w:spacing w:after="0" w:line="246" w:lineRule="exact"/>
        <w:rPr>
          <w:sz w:val="20"/>
          <w:szCs w:val="20"/>
          <w:color w:val="auto"/>
        </w:rPr>
      </w:pPr>
      <w:r>
        <w:rPr>
          <w:rFonts w:ascii="Arial" w:cs="Arial" w:eastAsia="Arial" w:hAnsi="Arial"/>
          <w:sz w:val="21"/>
          <w:szCs w:val="21"/>
          <w:color w:val="auto"/>
        </w:rPr>
        <w:t>Subject to the terms of the stock option agreement pursuant to which the options are granted, if the holder of an option under the Plan ceases employment or services because of permanent and total disability (within the meaning of Section 22(e)(3) of the Code) while employed by, or while serving as a non</w:t>
      </w:r>
      <w:r>
        <w:rPr>
          <w:rFonts w:ascii="MS PGothic" w:cs="MS PGothic" w:eastAsia="MS PGothic" w:hAnsi="MS PGothic"/>
          <w:sz w:val="21"/>
          <w:szCs w:val="21"/>
          <w:color w:val="auto"/>
        </w:rPr>
        <w:t>‑</w:t>
      </w:r>
      <w:r>
        <w:rPr>
          <w:rFonts w:ascii="Arial" w:cs="Arial" w:eastAsia="Arial" w:hAnsi="Arial"/>
          <w:sz w:val="21"/>
          <w:szCs w:val="21"/>
          <w:color w:val="auto"/>
        </w:rPr>
        <w:t>employee director of, or consultant or advisor to, us, then such option may be exercised at any time within one year after his termination of employment, termination of directorship, or termination of consulting or advisory arrangement or agreement due to the disability. Notwithstanding the foregoing, in the event we are a party to an employment, consulting or advisory agreement with a holder of an option and such agreement provides for termination of employment or engagement based upon a disability or other incapacity, then, for such holder, a termination of employment or engagement for disability or other incapacity pursuant to the provisions thereof shall be considered to be a termination based upon permanent and total disability.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both"/>
        <w:ind w:firstLine="648"/>
        <w:spacing w:after="0" w:line="234" w:lineRule="auto"/>
        <w:rPr>
          <w:sz w:val="20"/>
          <w:szCs w:val="20"/>
          <w:color w:val="auto"/>
        </w:rPr>
      </w:pPr>
      <w:r>
        <w:rPr>
          <w:rFonts w:ascii="Arial" w:cs="Arial" w:eastAsia="Arial" w:hAnsi="Arial"/>
          <w:sz w:val="22"/>
          <w:szCs w:val="22"/>
          <w:color w:val="auto"/>
        </w:rPr>
        <w:t>If an optionee is not an employee or non-employee director of, or a consultant or advisor to, our company as of a particular vesting date for an option due to death or termination of employment, termination of directorship or termination of consulting or advisory services due to permanent and total disability, then the optionee shall be deemed to have remained an employee or non-employee director of, or consultant or advisor to, us through the vesting date next following the date of death or date of termination of employment, termination of directorship or termination of consulting or advisory services due to permanent and total disability. In the event of a change of control (as defined in the Plan), all outstanding options shall become fully vested.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Stock Appreciation Rights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Committee may grant stock appreciation rights (an “SAR”) to such persons eligible under the Plan as selected from time to time. SARs shall be granted at such times, in such amounts and under such other terms and conditions as the Committee shall determine. An SAR entitles the grantee to exercise the SAR, in whole or in part, in exchange for payment of shares of our common stock, cash or a combination thereof, as determined by the Committee, equal in value to the excess of the fair market value of the shares of our common stock underlying the SAR, determined on the date of exercise, over the fair market value of our common stock underlying the SAR on the date of grant.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 SAR granted under the Plan shall be exercisable after the expiration of ten years from the date of its grant.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Stock Bonus Grants</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Committee may grant stock bonus awards to such persons eligible under the Plan as the Committee may select from time to time. Stock bonus awards shall be granted at such times, in such amounts and under such other terms and conditions as the Committee shall determine. Shares granted pursuant to a stock bonus shall vest as determined by the Committee, subject to certain restrictions as set forth in the Plan. Except as otherwise provided in the award agreement, a grantee shall forfeit the right to receive all shares not previously vested, if any, at such time as the grantee is no longer employed by, or serving as a director of, or rendering consulting or advisory services to, us or one of our parents or subsidiaries; however, if a stock bonus grantee is not an employee or non-employee director of, or a consultant or advisor to, our company as of a particular vesting date due to death or termination of employment, termination of directorship or termination of consulting or advisory services due to permanent and total disability, then the stock bonus grantee shall be deemed to have remained an employee or non-employee director of, or consultant or advisor to, us through the vesting date next following the date of death or date of termination of employment, termination or directorship or termination of consulting or advisory services due to permanent and total disability. In the event of a change of control, all outstanding stock bonus awards shall vest.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22"/>
          <w:szCs w:val="22"/>
          <w:b w:val="1"/>
          <w:bCs w:val="1"/>
          <w:color w:val="auto"/>
        </w:rPr>
        <w:t>Amendment and Termination</w:t>
      </w:r>
    </w:p>
    <w:p>
      <w:pPr>
        <w:spacing w:after="0" w:line="2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Plan (but not the options or stock bonuses previously granted thereunder) shall terminate on August 12, 2024, ten years from the date that the Plan was originally adopted by the Board. Subject to certain limitations, the Plan may be amended or modified from time to time or terminated at an earlier date by the Board or by the stockholders.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Federal Income Tax Consequences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discussion is intended only as a brief summary of the federal income tax rules relevant to stock options granted under the Plan. These rules are highly technical and subject to change. The following discussion is limited to the federal income tax rules relevant to us and to the individuals who are citizens or residents of the United States. The discussion does not address state, local or foreign income tax consequences.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Nonstatutory Stock Options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Under the Code and the Treasury Department Regulations, a nonstatutory stock option does not ordinarily have a readily ascertainable fair market value when it is granted. This rule will apply to our grant of nonstatutory stock options. Consequently, the grant of a nonstatutory stock option to an optionee will result in neither income to him or her nor a deduction to us. Instead, the optionee will recognize compensation income at the time he or she exercises the nonstatutory stock option in an amount equal to the excess, if any, of the then fair market value of the shares transferred to the optionee over the option price. Subject to the applicable provisions of the Code and the Treasury Department Regulations regarding withholding of tax, a deduction will be allowable to us in the year of exercise in the same amount as is includable in the optionee’s income.</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For purposes of determining the optionee’s gain or loss on the sale or other disposition of the shares transferred to him or her upon exercise of a nonstatutory stock option, the optionee’s basis in such shares will be the sum of the optionee’s option price plus the amount of compensation income recognized by him or her on exercise. Such gain or loss will be capital gain or loss and will be long-term or short-term depending upon whether the optionee held the shares for more than one year or one year or less. No part of any such gain will be an item of tax preference for purposes of the alternative minimum tax.</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Incentive Stock Options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Options granted under the Plan which qualify as incentive stock options under Section 422 of the Code will be treated as follows: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Except to the extent that the alternative minimum tax rule described below applies, no tax consequences will result to the optionee or us from the grant of an incentive stock option to, or the exercise of an incentive stock option by, the optionee. Instead, the optionee will recognize gain or loss when he or she sells or disposes of the shares transferred to him or her upon exercise of the incentive stock option. For purposes of determining such gain or loss, the optionee’s basis in such shares will be his or her option price. If the date of sale or disposition of such shares is at least two years after the date of the grant of the incentive stock option, and at least one year after the transfer of the shares to the optionee upon exercise of the incentive stock option, the optionee will realize long-term capital gain treatment upon their sale or disposition.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jc w:val="both"/>
        <w:ind w:firstLine="648"/>
        <w:spacing w:after="0" w:line="279" w:lineRule="auto"/>
        <w:rPr>
          <w:sz w:val="20"/>
          <w:szCs w:val="20"/>
          <w:color w:val="auto"/>
        </w:rPr>
      </w:pPr>
      <w:r>
        <w:rPr>
          <w:rFonts w:ascii="Arial" w:cs="Arial" w:eastAsia="Arial" w:hAnsi="Arial"/>
          <w:sz w:val="19"/>
          <w:szCs w:val="19"/>
          <w:color w:val="auto"/>
        </w:rPr>
        <w:t>Generally, we will not be allowed a deduction with respect to an incentive stock option. However, if an optionee fails to meet the foregoing holding period requirements (a so-called disqualifying disposition), any gain recognized by the optionee upon the sale or disposition of the shares transferred to him or her upon exercise of an incentive stock option will be treated in the year of such sale or disposition as ordinary income, rather than capital gain, to the extent of the excess, if any, of the fair market value of the shares at the time of exercise (or, if less, in certain cases the amount realized on such sale or disposition) over their option price, and in that case we will be allowed a corresponding deduction.</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purposes of the alternative minimum tax, the amount, if any, by which the fair market value of the shares transferred to the optionee upon such exercise exceeds the option price will be included in determining the optionee’s alternative minimum taxable income. In addition, for purposes of such tax, the basis of such shares will include such excess.</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To the extent that the aggregate fair market value (determined at the time the option is granted) of the stock with respect to which incentive stock options are exercisable for the first time by the optionee during any calendar year exceeds $100,000, such options will not be incentive stock options. In this regard, upon the exercise of an option which is deemed, under the rule described in the preceding sentence, to be in part an incentive stock option and in part a nonstatutory stock option, under existing Internal Revenue Service guidelines, we may designate which shares issued upon exercise of such options are incentive stock options and which shares are nonstatutory stock options. In the absence of such designation, a pro rata portion of each share issued is to be treated as issued pursuant to the exercise of an incentive stock option and the balance of each share treated as issued pursuant to the exercise of a nonstatutory stock option.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New Plan Benefits</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benefits that will be awarded or paid under the Plan are not currently determinable. Awards granted under the Plan are within the discretion of the Committee, and the Committee has not determined future awards or who might receive them.</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Benefits</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The following table sets forth certain information regarding options and stock bonuses granted under the Plan (net of forfeitures), as of June 15, 2023, to (i) each person listed in the Summary Compensation Table under Executive Compensation,</w:t>
      </w:r>
    </w:p>
    <w:p>
      <w:pPr>
        <w:spacing w:after="0" w:line="1" w:lineRule="exact"/>
        <w:rPr>
          <w:sz w:val="20"/>
          <w:szCs w:val="20"/>
          <w:color w:val="auto"/>
        </w:rPr>
      </w:pPr>
    </w:p>
    <w:p>
      <w:pPr>
        <w:jc w:val="both"/>
        <w:ind w:firstLine="8"/>
        <w:spacing w:after="0" w:line="287" w:lineRule="auto"/>
        <w:tabs>
          <w:tab w:leader="none" w:pos="3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all current executive officers as a group, (iii) all current directors who are not executive officers as a group, (iv) each nominee for election as a director, (v) each associate of any such directors, executive officers or nominees, (vi) each other person who received 5% of the options granted and (vii) all employees, including current officers who are not executive officers, as a group:</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Common Stock</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506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Underlying</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5"/>
              </w:rPr>
              <w:t>Stock Bonus</w:t>
            </w:r>
          </w:p>
        </w:tc>
      </w:tr>
      <w:tr>
        <w:trPr>
          <w:trHeight w:val="241"/>
        </w:trPr>
        <w:tc>
          <w:tcPr>
            <w:tcW w:w="506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Name and Position</w:t>
            </w:r>
          </w:p>
        </w:tc>
        <w:tc>
          <w:tcPr>
            <w:tcW w:w="1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Options Granted</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Grants</w:t>
            </w: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Barry B. Goldstein</w:t>
            </w:r>
          </w:p>
        </w:tc>
        <w:tc>
          <w:tcPr>
            <w:tcW w:w="198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0"/>
              </w:rPr>
              <w:t>12,500</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$6.73</w:t>
            </w:r>
          </w:p>
        </w:tc>
        <w:tc>
          <w:tcPr>
            <w:tcW w:w="1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453,691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President, Executive Chairman of the</w:t>
            </w:r>
          </w:p>
        </w:tc>
        <w:tc>
          <w:tcPr>
            <w:tcW w:w="19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7"/>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Board and Director</w:t>
            </w:r>
          </w:p>
        </w:tc>
        <w:tc>
          <w:tcPr>
            <w:tcW w:w="198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rPr>
              <w:t>Meryl S. Golden</w:t>
            </w:r>
          </w:p>
        </w:tc>
        <w:tc>
          <w:tcPr>
            <w:tcW w:w="19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0"/>
              </w:rPr>
              <w:t>50,000</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88"/>
              </w:rPr>
              <w:t>$8.72</w:t>
            </w:r>
          </w:p>
        </w:tc>
        <w:tc>
          <w:tcPr>
            <w:tcW w:w="1920" w:type="dxa"/>
            <w:vAlign w:val="bottom"/>
          </w:tcPr>
          <w:p>
            <w:pPr>
              <w:jc w:val="center"/>
              <w:spacing w:after="0" w:line="201" w:lineRule="exact"/>
              <w:rPr>
                <w:sz w:val="20"/>
                <w:szCs w:val="20"/>
                <w:color w:val="auto"/>
              </w:rPr>
            </w:pPr>
            <w:r>
              <w:rPr>
                <w:rFonts w:ascii="Arial" w:cs="Arial" w:eastAsia="Arial" w:hAnsi="Arial"/>
                <w:sz w:val="18"/>
                <w:szCs w:val="18"/>
                <w:color w:val="auto"/>
                <w:w w:val="89"/>
              </w:rPr>
              <w:t>163,511</w:t>
            </w:r>
          </w:p>
        </w:tc>
      </w:tr>
      <w:tr>
        <w:trPr>
          <w:trHeight w:val="23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 and Director</w:t>
            </w:r>
          </w:p>
        </w:tc>
        <w:tc>
          <w:tcPr>
            <w:tcW w:w="19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Sarah (Minlei) Chen</w:t>
            </w:r>
          </w:p>
        </w:tc>
        <w:tc>
          <w:tcPr>
            <w:tcW w:w="198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9"/>
              </w:rPr>
              <w:t>-0-</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$-0-</w:t>
            </w:r>
          </w:p>
        </w:tc>
        <w:tc>
          <w:tcPr>
            <w:tcW w:w="1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10,628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Chief Actuary and Senior Vice President, Kingstone Insurance</w:t>
            </w:r>
          </w:p>
        </w:tc>
        <w:tc>
          <w:tcPr>
            <w:tcW w:w="19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7"/>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Company</w:t>
            </w:r>
          </w:p>
        </w:tc>
        <w:tc>
          <w:tcPr>
            <w:tcW w:w="198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rPr>
              <w:t>Floyd R. Tupper</w:t>
            </w:r>
          </w:p>
        </w:tc>
        <w:tc>
          <w:tcPr>
            <w:tcW w:w="19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-0-</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3"/>
              </w:rPr>
              <w:t>$-0-</w:t>
            </w:r>
          </w:p>
        </w:tc>
        <w:tc>
          <w:tcPr>
            <w:tcW w:w="1920" w:type="dxa"/>
            <w:vAlign w:val="bottom"/>
          </w:tcPr>
          <w:p>
            <w:pPr>
              <w:jc w:val="center"/>
              <w:spacing w:after="0" w:line="201" w:lineRule="exact"/>
              <w:rPr>
                <w:sz w:val="20"/>
                <w:szCs w:val="20"/>
                <w:color w:val="auto"/>
              </w:rPr>
            </w:pPr>
            <w:r>
              <w:rPr>
                <w:rFonts w:ascii="Arial" w:cs="Arial" w:eastAsia="Arial" w:hAnsi="Arial"/>
                <w:sz w:val="18"/>
                <w:szCs w:val="18"/>
                <w:color w:val="auto"/>
                <w:w w:val="90"/>
              </w:rPr>
              <w:t>64,451</w:t>
            </w:r>
          </w:p>
        </w:tc>
      </w:tr>
      <w:tr>
        <w:trPr>
          <w:trHeight w:val="23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Secretary and Director</w:t>
            </w:r>
          </w:p>
        </w:tc>
        <w:tc>
          <w:tcPr>
            <w:tcW w:w="19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Timothy P. McFadden</w:t>
            </w:r>
          </w:p>
        </w:tc>
        <w:tc>
          <w:tcPr>
            <w:tcW w:w="198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9"/>
              </w:rPr>
              <w:t>-0-</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$-0-</w:t>
            </w:r>
          </w:p>
        </w:tc>
        <w:tc>
          <w:tcPr>
            <w:tcW w:w="1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59,246</w:t>
            </w:r>
          </w:p>
        </w:tc>
      </w:tr>
      <w:tr>
        <w:trPr>
          <w:trHeight w:val="237"/>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(Lead Independent Director)</w:t>
            </w:r>
          </w:p>
        </w:tc>
        <w:tc>
          <w:tcPr>
            <w:tcW w:w="198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rPr>
              <w:t>William L. Yankus</w:t>
            </w:r>
          </w:p>
        </w:tc>
        <w:tc>
          <w:tcPr>
            <w:tcW w:w="19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-0-</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3"/>
              </w:rPr>
              <w:t>$-0-</w:t>
            </w:r>
          </w:p>
        </w:tc>
        <w:tc>
          <w:tcPr>
            <w:tcW w:w="1920" w:type="dxa"/>
            <w:vAlign w:val="bottom"/>
          </w:tcPr>
          <w:p>
            <w:pPr>
              <w:jc w:val="center"/>
              <w:spacing w:after="0" w:line="201" w:lineRule="exact"/>
              <w:rPr>
                <w:sz w:val="20"/>
                <w:szCs w:val="20"/>
                <w:color w:val="auto"/>
              </w:rPr>
            </w:pPr>
            <w:r>
              <w:rPr>
                <w:rFonts w:ascii="Arial" w:cs="Arial" w:eastAsia="Arial" w:hAnsi="Arial"/>
                <w:sz w:val="18"/>
                <w:szCs w:val="18"/>
                <w:color w:val="auto"/>
                <w:w w:val="90"/>
              </w:rPr>
              <w:t>63,951</w:t>
            </w:r>
          </w:p>
        </w:tc>
      </w:tr>
      <w:tr>
        <w:trPr>
          <w:trHeight w:val="23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19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Carla A. D’Andre</w:t>
            </w:r>
          </w:p>
        </w:tc>
        <w:tc>
          <w:tcPr>
            <w:tcW w:w="198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9"/>
              </w:rPr>
              <w:t>-0-</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$-0-</w:t>
            </w:r>
          </w:p>
        </w:tc>
        <w:tc>
          <w:tcPr>
            <w:tcW w:w="1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61,701</w:t>
            </w:r>
          </w:p>
        </w:tc>
      </w:tr>
      <w:tr>
        <w:trPr>
          <w:trHeight w:val="237"/>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w:t>
            </w:r>
          </w:p>
        </w:tc>
        <w:tc>
          <w:tcPr>
            <w:tcW w:w="198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r>
      <w:tr>
        <w:trPr>
          <w:trHeight w:val="223"/>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current executive officers as a group</w:t>
            </w:r>
          </w:p>
        </w:tc>
        <w:tc>
          <w:tcPr>
            <w:tcW w:w="1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62,500</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$8.32</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642,501</w:t>
            </w:r>
          </w:p>
        </w:tc>
      </w:tr>
      <w:tr>
        <w:trPr>
          <w:trHeight w:val="223"/>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198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-0-</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249,349</w:t>
            </w: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w w:val="96"/>
              </w:rPr>
              <w:t>All employees, including all current officers who are not executive</w:t>
            </w:r>
          </w:p>
        </w:tc>
        <w:tc>
          <w:tcPr>
            <w:tcW w:w="19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0"/>
              </w:rPr>
              <w:t>64,701</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88"/>
              </w:rPr>
              <w:t>$7.94</w:t>
            </w:r>
          </w:p>
        </w:tc>
        <w:tc>
          <w:tcPr>
            <w:tcW w:w="1920" w:type="dxa"/>
            <w:vAlign w:val="bottom"/>
          </w:tcPr>
          <w:p>
            <w:pPr>
              <w:jc w:val="center"/>
              <w:spacing w:after="0" w:line="201" w:lineRule="exact"/>
              <w:rPr>
                <w:sz w:val="20"/>
                <w:szCs w:val="20"/>
                <w:color w:val="auto"/>
              </w:rPr>
            </w:pPr>
            <w:r>
              <w:rPr>
                <w:rFonts w:ascii="Arial" w:cs="Arial" w:eastAsia="Arial" w:hAnsi="Arial"/>
                <w:sz w:val="18"/>
                <w:szCs w:val="18"/>
                <w:color w:val="auto"/>
                <w:w w:val="89"/>
              </w:rPr>
              <w:t>256,537</w:t>
            </w:r>
          </w:p>
        </w:tc>
      </w:tr>
      <w:tr>
        <w:trPr>
          <w:trHeight w:val="23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 as a group</w:t>
            </w:r>
          </w:p>
        </w:tc>
        <w:tc>
          <w:tcPr>
            <w:tcW w:w="19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bl>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sets forth information as of December 31, 2022, with respect to compensation plans (including individual compensation arrangements) under which our shares of common stock are authorized for issuance, aggregated as follows:</w:t>
      </w:r>
    </w:p>
    <w:p>
      <w:pPr>
        <w:spacing w:after="0" w:line="220" w:lineRule="exact"/>
        <w:rPr>
          <w:sz w:val="20"/>
          <w:szCs w:val="20"/>
          <w:color w:val="auto"/>
        </w:rPr>
      </w:pPr>
    </w:p>
    <w:p>
      <w:pPr>
        <w:ind w:left="1520" w:hanging="521"/>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compensation plans previously approved by security holders; and</w:t>
      </w:r>
    </w:p>
    <w:p>
      <w:pPr>
        <w:spacing w:after="0" w:line="23" w:lineRule="exact"/>
        <w:rPr>
          <w:rFonts w:ascii="Arial" w:cs="Arial" w:eastAsia="Arial" w:hAnsi="Arial"/>
          <w:sz w:val="18"/>
          <w:szCs w:val="18"/>
          <w:color w:val="auto"/>
        </w:rPr>
      </w:pPr>
    </w:p>
    <w:p>
      <w:pPr>
        <w:ind w:left="1520" w:hanging="521"/>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compensation plans not previously approved by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100" w:type="dxa"/>
            <w:vAlign w:val="bottom"/>
          </w:tcPr>
          <w:p>
            <w:pPr>
              <w:spacing w:after="0"/>
              <w:rPr>
                <w:sz w:val="18"/>
                <w:szCs w:val="18"/>
                <w:color w:val="auto"/>
              </w:rPr>
            </w:pPr>
          </w:p>
        </w:tc>
        <w:tc>
          <w:tcPr>
            <w:tcW w:w="3860" w:type="dxa"/>
            <w:vAlign w:val="bottom"/>
            <w:gridSpan w:val="2"/>
          </w:tcPr>
          <w:p>
            <w:pPr>
              <w:ind w:left="760"/>
              <w:spacing w:after="0"/>
              <w:rPr>
                <w:sz w:val="20"/>
                <w:szCs w:val="20"/>
                <w:color w:val="auto"/>
              </w:rPr>
            </w:pPr>
            <w:r>
              <w:rPr>
                <w:rFonts w:ascii="Arial" w:cs="Arial" w:eastAsia="Arial" w:hAnsi="Arial"/>
                <w:sz w:val="18"/>
                <w:szCs w:val="18"/>
                <w:b w:val="1"/>
                <w:bCs w:val="1"/>
                <w:color w:val="auto"/>
                <w:w w:val="91"/>
              </w:rPr>
              <w:t>Number of securities Weighted average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100" w:type="dxa"/>
            <w:vAlign w:val="bottom"/>
          </w:tcPr>
          <w:p>
            <w:pPr>
              <w:spacing w:after="0"/>
              <w:rPr>
                <w:sz w:val="18"/>
                <w:szCs w:val="18"/>
                <w:color w:val="auto"/>
              </w:rPr>
            </w:pPr>
          </w:p>
        </w:tc>
        <w:tc>
          <w:tcPr>
            <w:tcW w:w="2380" w:type="dxa"/>
            <w:vAlign w:val="bottom"/>
          </w:tcPr>
          <w:p>
            <w:pPr>
              <w:jc w:val="center"/>
              <w:ind w:left="630"/>
              <w:spacing w:after="0"/>
              <w:rPr>
                <w:sz w:val="20"/>
                <w:szCs w:val="20"/>
                <w:color w:val="auto"/>
              </w:rPr>
            </w:pPr>
            <w:r>
              <w:rPr>
                <w:rFonts w:ascii="Arial" w:cs="Arial" w:eastAsia="Arial" w:hAnsi="Arial"/>
                <w:sz w:val="18"/>
                <w:szCs w:val="18"/>
                <w:b w:val="1"/>
                <w:bCs w:val="1"/>
                <w:color w:val="auto"/>
                <w:w w:val="86"/>
              </w:rPr>
              <w:t>to be issued upon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 equity</w:t>
            </w:r>
          </w:p>
        </w:tc>
      </w:tr>
      <w:tr>
        <w:trPr>
          <w:trHeight w:val="216"/>
        </w:trPr>
        <w:tc>
          <w:tcPr>
            <w:tcW w:w="5100" w:type="dxa"/>
            <w:vAlign w:val="bottom"/>
          </w:tcPr>
          <w:p>
            <w:pPr>
              <w:spacing w:after="0"/>
              <w:rPr>
                <w:sz w:val="18"/>
                <w:szCs w:val="18"/>
                <w:color w:val="auto"/>
              </w:rPr>
            </w:pPr>
          </w:p>
        </w:tc>
        <w:tc>
          <w:tcPr>
            <w:tcW w:w="2380" w:type="dxa"/>
            <w:vAlign w:val="bottom"/>
          </w:tcPr>
          <w:p>
            <w:pPr>
              <w:jc w:val="center"/>
              <w:ind w:left="630"/>
              <w:spacing w:after="0"/>
              <w:rPr>
                <w:sz w:val="20"/>
                <w:szCs w:val="20"/>
                <w:color w:val="auto"/>
              </w:rPr>
            </w:pPr>
            <w:r>
              <w:rPr>
                <w:rFonts w:ascii="Arial" w:cs="Arial" w:eastAsia="Arial" w:hAnsi="Arial"/>
                <w:sz w:val="18"/>
                <w:szCs w:val="18"/>
                <w:b w:val="1"/>
                <w:bCs w:val="1"/>
                <w:color w:val="auto"/>
                <w:w w:val="87"/>
              </w:rPr>
              <w:t>exercise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5100" w:type="dxa"/>
            <w:vAlign w:val="bottom"/>
          </w:tcPr>
          <w:p>
            <w:pPr>
              <w:spacing w:after="0"/>
              <w:rPr>
                <w:sz w:val="18"/>
                <w:szCs w:val="18"/>
                <w:color w:val="auto"/>
              </w:rPr>
            </w:pPr>
          </w:p>
        </w:tc>
        <w:tc>
          <w:tcPr>
            <w:tcW w:w="238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outstanding options,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warrants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(excluding securities</w:t>
            </w:r>
          </w:p>
        </w:tc>
      </w:tr>
      <w:tr>
        <w:trPr>
          <w:trHeight w:val="216"/>
        </w:trPr>
        <w:tc>
          <w:tcPr>
            <w:tcW w:w="5100" w:type="dxa"/>
            <w:vAlign w:val="bottom"/>
          </w:tcPr>
          <w:p>
            <w:pPr>
              <w:spacing w:after="0"/>
              <w:rPr>
                <w:sz w:val="18"/>
                <w:szCs w:val="18"/>
                <w:color w:val="auto"/>
              </w:rPr>
            </w:pPr>
          </w:p>
        </w:tc>
        <w:tc>
          <w:tcPr>
            <w:tcW w:w="238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warrants and rights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 column (a))</w:t>
            </w:r>
          </w:p>
        </w:tc>
      </w:tr>
      <w:tr>
        <w:trPr>
          <w:trHeight w:val="234"/>
        </w:trPr>
        <w:tc>
          <w:tcPr>
            <w:tcW w:w="5100" w:type="dxa"/>
            <w:vAlign w:val="bottom"/>
          </w:tcPr>
          <w:p>
            <w:pPr>
              <w:spacing w:after="0"/>
              <w:rPr>
                <w:sz w:val="20"/>
                <w:szCs w:val="20"/>
                <w:color w:val="auto"/>
              </w:rPr>
            </w:pPr>
          </w:p>
        </w:tc>
        <w:tc>
          <w:tcPr>
            <w:tcW w:w="23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(a)</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5100" w:type="dxa"/>
            <w:vAlign w:val="bottom"/>
            <w:shd w:val="clear" w:color="auto" w:fill="D0EA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380" w:type="dxa"/>
            <w:vAlign w:val="bottom"/>
            <w:shd w:val="clear" w:color="auto" w:fill="D0EAFF"/>
          </w:tcPr>
          <w:p>
            <w:pPr>
              <w:jc w:val="center"/>
              <w:ind w:left="630"/>
              <w:spacing w:after="0"/>
              <w:rPr>
                <w:sz w:val="20"/>
                <w:szCs w:val="20"/>
                <w:color w:val="auto"/>
              </w:rPr>
            </w:pPr>
            <w:r>
              <w:rPr>
                <w:rFonts w:ascii="Arial" w:cs="Arial" w:eastAsia="Arial" w:hAnsi="Arial"/>
                <w:sz w:val="18"/>
                <w:szCs w:val="18"/>
                <w:color w:val="auto"/>
                <w:w w:val="89"/>
              </w:rPr>
              <w:t>107,201</w:t>
            </w:r>
          </w:p>
        </w:tc>
        <w:tc>
          <w:tcPr>
            <w:tcW w:w="1480" w:type="dxa"/>
            <w:vAlign w:val="bottom"/>
            <w:shd w:val="clear" w:color="auto" w:fill="D0EAFF"/>
          </w:tcPr>
          <w:p>
            <w:pPr>
              <w:jc w:val="center"/>
              <w:spacing w:after="0"/>
              <w:rPr>
                <w:sz w:val="20"/>
                <w:szCs w:val="20"/>
                <w:color w:val="auto"/>
              </w:rPr>
            </w:pPr>
            <w:r>
              <w:rPr>
                <w:rFonts w:ascii="Arial" w:cs="Arial" w:eastAsia="Arial" w:hAnsi="Arial"/>
                <w:sz w:val="18"/>
                <w:szCs w:val="18"/>
                <w:color w:val="auto"/>
                <w:w w:val="88"/>
              </w:rPr>
              <w:t>$8.31</w:t>
            </w:r>
          </w:p>
        </w:tc>
        <w:tc>
          <w:tcPr>
            <w:tcW w:w="2280" w:type="dxa"/>
            <w:vAlign w:val="bottom"/>
            <w:shd w:val="clear" w:color="auto" w:fill="D0EAFF"/>
          </w:tcPr>
          <w:p>
            <w:pPr>
              <w:jc w:val="center"/>
              <w:spacing w:after="0"/>
              <w:rPr>
                <w:sz w:val="20"/>
                <w:szCs w:val="20"/>
                <w:color w:val="auto"/>
              </w:rPr>
            </w:pPr>
            <w:r>
              <w:rPr>
                <w:rFonts w:ascii="Arial" w:cs="Arial" w:eastAsia="Arial" w:hAnsi="Arial"/>
                <w:sz w:val="18"/>
                <w:szCs w:val="18"/>
                <w:color w:val="auto"/>
                <w:w w:val="91"/>
              </w:rPr>
              <w:t>979,976(1)</w:t>
            </w:r>
          </w:p>
        </w:tc>
      </w:tr>
      <w:tr>
        <w:trPr>
          <w:trHeight w:val="216"/>
        </w:trPr>
        <w:tc>
          <w:tcPr>
            <w:tcW w:w="5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100" w:type="dxa"/>
            <w:vAlign w:val="bottom"/>
            <w:shd w:val="clear" w:color="auto" w:fill="CCEC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380" w:type="dxa"/>
            <w:vAlign w:val="bottom"/>
            <w:shd w:val="clear" w:color="auto" w:fill="CCECFF"/>
          </w:tcPr>
          <w:p>
            <w:pPr>
              <w:jc w:val="center"/>
              <w:ind w:left="6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100" w:type="dxa"/>
            <w:vAlign w:val="bottom"/>
            <w:shd w:val="clear" w:color="auto" w:fill="CCECFF"/>
          </w:tcPr>
          <w:p>
            <w:pPr>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CFF"/>
          </w:tcPr>
          <w:p>
            <w:pPr>
              <w:jc w:val="center"/>
              <w:ind w:left="630"/>
              <w:spacing w:after="0"/>
              <w:rPr>
                <w:sz w:val="20"/>
                <w:szCs w:val="20"/>
                <w:color w:val="auto"/>
              </w:rPr>
            </w:pPr>
            <w:r>
              <w:rPr>
                <w:rFonts w:ascii="Arial" w:cs="Arial" w:eastAsia="Arial" w:hAnsi="Arial"/>
                <w:sz w:val="18"/>
                <w:szCs w:val="18"/>
                <w:color w:val="auto"/>
                <w:w w:val="89"/>
              </w:rPr>
              <w:t>107,201</w:t>
            </w:r>
          </w:p>
        </w:tc>
        <w:tc>
          <w:tcPr>
            <w:tcW w:w="14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8"/>
              </w:rPr>
              <w:t>$8.31</w:t>
            </w:r>
          </w:p>
        </w:tc>
        <w:tc>
          <w:tcPr>
            <w:tcW w:w="22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979,976(1)</w:t>
            </w:r>
          </w:p>
        </w:tc>
      </w:tr>
    </w:tbl>
    <w:p>
      <w:pPr>
        <w:spacing w:after="0" w:line="229" w:lineRule="exact"/>
        <w:rPr>
          <w:sz w:val="20"/>
          <w:szCs w:val="20"/>
          <w:color w:val="auto"/>
        </w:rPr>
      </w:pPr>
    </w:p>
    <w:p>
      <w:pPr>
        <w:ind w:left="860" w:hanging="529"/>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366,597 shares reserved for issuance pursuant to unvested restricted stock grants.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w:t>
      </w:r>
    </w:p>
    <w:p>
      <w:pPr>
        <w:spacing w:after="0" w:line="233"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The approval of the amendment to the 2014 Plan requires the affirmative vote of stockholders who hold a majority of the shares of common stock present in person or represented by proxy at the meeting and entitled to vote.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approval of the amendment to the 2014 Plan increasing the number of shares authorized to be issued under the 2014 Plan from 1,400,000 to 1,900,000.</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PROPOSAL 3: RATIFICATION OF SELECTION OF INDEPENDENT REGISTERED PUBLIC ACCOUNTING FIRM</w:t>
      </w:r>
    </w:p>
    <w:p>
      <w:pPr>
        <w:spacing w:after="0" w:line="2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Audit Committee of our Board of Directors has selected Marcum LLP as our independent registered public accounting firm to examine our financial statements for the year ending December 31, 2023.</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Although ratification by stockholders is not required by our organizational documents or other applicable law, our Board of Directors has determined that requesting ratification by stockholders of the appointment of Marcum as our independent registered public accounting firm for the fiscal year ending December 31, 2023, is a matter of good corporate practice. If stockholders do not ratify the selection, the Audit Committee may reconsider whether or not to retain Marcum, but may still determine to retain them. Even if the selection is ratified, the Audit Committee, in its discretion, may change the appointment at any time during the year if it determines that such a change would be in the best interests of us and our stockholders.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Marcum has served as our independent registered public accountants with respect to each fiscal year since the year ended December 31, 2013.</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22"/>
          <w:szCs w:val="22"/>
          <w:color w:val="auto"/>
        </w:rPr>
        <w:t>It is not expected that a representative of Marcum will attend the meeting.</w:t>
      </w:r>
    </w:p>
    <w:p>
      <w:pPr>
        <w:spacing w:after="0" w:line="23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following is a summary of the fees billed to us by Marcum, our independent auditors, for professional services rendered for the fiscal years ended December 31,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Fiscal 2022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Fiscal 2021</w:t>
            </w:r>
          </w:p>
        </w:tc>
        <w:tc>
          <w:tcPr>
            <w:tcW w:w="100" w:type="dxa"/>
            <w:vAlign w:val="bottom"/>
          </w:tcPr>
          <w:p>
            <w:pPr>
              <w:spacing w:after="0"/>
              <w:rPr>
                <w:sz w:val="18"/>
                <w:szCs w:val="18"/>
                <w:color w:val="auto"/>
              </w:rPr>
            </w:pPr>
          </w:p>
        </w:tc>
      </w:tr>
      <w:tr>
        <w:trPr>
          <w:trHeight w:val="241"/>
        </w:trPr>
        <w:tc>
          <w:tcPr>
            <w:tcW w:w="2960" w:type="dxa"/>
            <w:vAlign w:val="bottom"/>
          </w:tcPr>
          <w:p>
            <w:pPr>
              <w:spacing w:after="0"/>
              <w:rPr>
                <w:sz w:val="20"/>
                <w:szCs w:val="20"/>
                <w:color w:val="auto"/>
              </w:rPr>
            </w:pPr>
          </w:p>
        </w:tc>
        <w:tc>
          <w:tcPr>
            <w:tcW w:w="5800" w:type="dxa"/>
            <w:vAlign w:val="bottom"/>
            <w:gridSpan w:val="3"/>
          </w:tcPr>
          <w:p>
            <w:pPr>
              <w:jc w:val="right"/>
              <w:ind w:right="3907"/>
              <w:spacing w:after="0"/>
              <w:rPr>
                <w:sz w:val="20"/>
                <w:szCs w:val="20"/>
                <w:color w:val="auto"/>
              </w:rPr>
            </w:pPr>
            <w:r>
              <w:rPr>
                <w:rFonts w:ascii="Arial" w:cs="Arial" w:eastAsia="Arial" w:hAnsi="Arial"/>
                <w:sz w:val="18"/>
                <w:szCs w:val="18"/>
                <w:b w:val="1"/>
                <w:bCs w:val="1"/>
                <w:color w:val="auto"/>
              </w:rPr>
              <w:t>Fee Category</w:t>
            </w: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Fees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Fees</w:t>
            </w:r>
          </w:p>
        </w:tc>
        <w:tc>
          <w:tcPr>
            <w:tcW w:w="100" w:type="dxa"/>
            <w:vAlign w:val="bottom"/>
          </w:tcPr>
          <w:p>
            <w:pPr>
              <w:spacing w:after="0"/>
              <w:rPr>
                <w:sz w:val="20"/>
                <w:szCs w:val="20"/>
                <w:color w:val="auto"/>
              </w:rPr>
            </w:pPr>
          </w:p>
        </w:tc>
      </w:tr>
      <w:tr>
        <w:trPr>
          <w:trHeight w:val="216"/>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Fees(1)</w:t>
            </w:r>
          </w:p>
        </w:tc>
        <w:tc>
          <w:tcPr>
            <w:tcW w:w="5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275,010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308,350</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Tax Fees(2)</w:t>
            </w:r>
          </w:p>
        </w:tc>
        <w:tc>
          <w:tcPr>
            <w:tcW w:w="5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Audit-Related Fees(3)</w:t>
            </w:r>
          </w:p>
        </w:tc>
        <w:tc>
          <w:tcPr>
            <w:tcW w:w="5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All Other Fees(4)</w:t>
            </w:r>
          </w:p>
        </w:tc>
        <w:tc>
          <w:tcPr>
            <w:tcW w:w="5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96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275,010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308,350</w:t>
            </w:r>
          </w:p>
        </w:tc>
        <w:tc>
          <w:tcPr>
            <w:tcW w:w="100" w:type="dxa"/>
            <w:vAlign w:val="bottom"/>
            <w:shd w:val="clear" w:color="auto" w:fill="CCEEFF"/>
          </w:tcPr>
          <w:p>
            <w:pPr>
              <w:spacing w:after="0"/>
              <w:rPr>
                <w:sz w:val="18"/>
                <w:szCs w:val="18"/>
                <w:color w:val="auto"/>
              </w:rPr>
            </w:pPr>
          </w:p>
        </w:tc>
      </w:tr>
      <w:tr>
        <w:trPr>
          <w:trHeight w:val="496"/>
        </w:trPr>
        <w:tc>
          <w:tcPr>
            <w:tcW w:w="2960" w:type="dxa"/>
            <w:vAlign w:val="bottom"/>
          </w:tcPr>
          <w:p>
            <w:pPr>
              <w:spacing w:after="0"/>
              <w:rPr>
                <w:sz w:val="20"/>
                <w:szCs w:val="20"/>
                <w:color w:val="auto"/>
              </w:rPr>
            </w:pPr>
            <w:r>
              <w:rPr>
                <w:rFonts w:ascii="Arial" w:cs="Arial" w:eastAsia="Arial" w:hAnsi="Arial"/>
                <w:sz w:val="22"/>
                <w:szCs w:val="22"/>
                <w:color w:val="auto"/>
              </w:rPr>
              <w:t>____________________</w:t>
            </w: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9" w:lineRule="exact"/>
        <w:rPr>
          <w:sz w:val="20"/>
          <w:szCs w:val="20"/>
          <w:color w:val="auto"/>
        </w:rPr>
      </w:pPr>
    </w:p>
    <w:p>
      <w:pPr>
        <w:jc w:val="both"/>
        <w:ind w:left="860" w:hanging="527"/>
        <w:spacing w:after="0" w:line="311"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Audit Fees consist of fees billed for services rendered for the audit of our consolidated financial statements and review of our condensed consolidated financial statements included in our Quarterly Reports on Form 10-Q, services rendered in response to due diligence requests, services rendered in connection with the filing of Form S-8, and services provided in connection with other statutory or regulatory filings.</w:t>
      </w:r>
    </w:p>
    <w:p>
      <w:pPr>
        <w:spacing w:after="0" w:line="148" w:lineRule="exact"/>
        <w:rPr>
          <w:rFonts w:ascii="Arial" w:cs="Arial" w:eastAsia="Arial" w:hAnsi="Arial"/>
          <w:sz w:val="16"/>
          <w:szCs w:val="16"/>
          <w:color w:val="auto"/>
        </w:rPr>
      </w:pPr>
    </w:p>
    <w:p>
      <w:pPr>
        <w:ind w:left="860" w:hanging="527"/>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Marcum did not provide any tax services during the fiscal year.</w:t>
      </w:r>
    </w:p>
    <w:p>
      <w:pPr>
        <w:spacing w:after="0" w:line="225" w:lineRule="exact"/>
        <w:rPr>
          <w:rFonts w:ascii="Arial" w:cs="Arial" w:eastAsia="Arial" w:hAnsi="Arial"/>
          <w:sz w:val="18"/>
          <w:szCs w:val="18"/>
          <w:color w:val="auto"/>
        </w:rPr>
      </w:pPr>
    </w:p>
    <w:p>
      <w:pPr>
        <w:ind w:left="860" w:hanging="527"/>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Marcum did not provide any “Audit-Related” services during the fiscal year.</w:t>
      </w:r>
    </w:p>
    <w:p>
      <w:pPr>
        <w:spacing w:after="0" w:line="225" w:lineRule="exact"/>
        <w:rPr>
          <w:rFonts w:ascii="Arial" w:cs="Arial" w:eastAsia="Arial" w:hAnsi="Arial"/>
          <w:sz w:val="18"/>
          <w:szCs w:val="18"/>
          <w:color w:val="auto"/>
        </w:rPr>
      </w:pPr>
    </w:p>
    <w:p>
      <w:pPr>
        <w:ind w:left="860" w:hanging="527"/>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Marcum did not provide any other services during the fiscal year.</w:t>
      </w:r>
    </w:p>
    <w:p>
      <w:pPr>
        <w:spacing w:after="0" w:line="24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The ratification of the selection of Marcum LLP as our independent registered public accounting firm for the fiscal year ending December 31, 2023, requires the affirmative vote of stockholders who hold a majority of the shares of common stock present in person or represented by proxy at the meeting and entitled to vote.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the ratification of the selection of Marcum LLP as our independent registered public accounting firm for the fiscal year ending December 31,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PROPOSAL 4: ADVISORY VOTE ON THE COMPENSATION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COMPANY’S NAMED EXECUTIVE OFFICERS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In accordance with the rules of the SEC, we are providing our stockholders with the opportunity to cast a non-binding advisory vote on the compensation of our named executive officers as disclosed pursuant to Item 402(m) through (q) of Regulation S-K, including the compensation tables and narrative discussion in this proxy statement.</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compensation structure established by our Compensation and Finance Committee is designed to attract and retain motivated executives who substantially contribute to our long-term success and the creation of stockholder value, to reward executives when we perform financially or operationally well, to align the financial interests of our executives with the interests of our stockholders, and to be competitive within our industry. We believe that our philosophy and practices have resulted in executive compensation decisions that are appropriate and that have benefited us over time.</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We are requesting stockholder approval of the compensation of our executive officers as disclosed in this proxy statement. This proposal, commonly known as a “say-on-pay” proposal, gives our stockholders the opportunity to express their views on our executive officers’ compensation. Because the stockholder vote is advisory, it is not binding on us or our Board of Directors. However, our Board and the Compensation and Finance Committee, which is responsible for designing and administering our executive compensation program, value the opinions that our stockholders express in their votes. The Compensation and Finance Committee will review the results of the stockholder votes on this “say-on-pay” proposal and consider whether to recommend any changes or modifications to our executive compensation policies and practices as a result of such votes.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are asking our stockholders to indicate their support for our named executive officer compensation through the following resolution:</w:t>
      </w:r>
    </w:p>
    <w:p>
      <w:pPr>
        <w:spacing w:after="0" w:line="19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RESOLVED</w:t>
      </w:r>
      <w:r>
        <w:rPr>
          <w:rFonts w:ascii="Arial" w:cs="Arial" w:eastAsia="Arial" w:hAnsi="Arial"/>
          <w:sz w:val="19"/>
          <w:szCs w:val="19"/>
          <w:color w:val="auto"/>
        </w:rPr>
        <w:t>, that the stockholders approve the compensation paid to our named executive officers, as disclosed pursuant to Item 402 of Regulation S-K, including the compensation tables and narrative discussion in this proxy statement.”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w:t>
      </w:r>
    </w:p>
    <w:p>
      <w:pPr>
        <w:spacing w:after="0" w:line="23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The affirmative vote of the stockholders who hold a majority of our shares of common stock present in person or represented by proxy at the meeting and entitled to vote is required for approval of this proposal.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approval of the compensation of our named executive officers as disclosed in this proxy statement.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STOCKHOLDER PROPOSALS</w:t>
      </w:r>
    </w:p>
    <w:p>
      <w:pPr>
        <w:spacing w:after="0" w:line="24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Stockholder proposals intended to be presented at our next annual meeting of stockholders pursuant to the provisions of Rule 14a-8 of the Securities and Exchange Commission, promulgated under the Exchange Act, must be received at our offices in Kingston, New York by March 1, 2024, for inclusion in our proxy statement and form of proxy relating to such meeting.</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requirements with respect to stockholder proposals and stockholder nominees to our Board of Directors are included in our By-Laws.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Stockholder Proposals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on a date which is not less than 60 days nor more than 90 days prior to the date which is one year from the date of the mailing of the notice regarding the availability of proxy materials for the prior year’s annual meeting of stockholders.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 stockholder proposes to bring before the annual meeting certain information regarding the proposal, including the following:</w:t>
      </w:r>
    </w:p>
    <w:p>
      <w:pPr>
        <w:spacing w:after="0" w:line="192" w:lineRule="exact"/>
        <w:rPr>
          <w:sz w:val="20"/>
          <w:szCs w:val="20"/>
          <w:color w:val="auto"/>
        </w:rPr>
      </w:pPr>
    </w:p>
    <w:p>
      <w:pPr>
        <w:ind w:left="1140" w:hanging="322"/>
        <w:spacing w:after="0"/>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such meeting;</w:t>
      </w:r>
    </w:p>
    <w:p>
      <w:pPr>
        <w:spacing w:after="0" w:line="275" w:lineRule="exact"/>
        <w:rPr>
          <w:rFonts w:ascii="Arial" w:cs="Arial" w:eastAsia="Arial" w:hAnsi="Arial"/>
          <w:sz w:val="16"/>
          <w:szCs w:val="16"/>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and address of the stockholder proposing such business;</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class and number of our shares which are beneficially owned by such stockholder; and</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material interest of such stockholder in such business.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Stockholder Nominees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day on which the notice of the date of the meeting was made available to stockholders, or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day on which such public disclosure of the meeting date was made.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stockholder sending the notice of nomination must describe various matters, including such information as:</w:t>
      </w:r>
    </w:p>
    <w:p>
      <w:pPr>
        <w:spacing w:after="0" w:line="252"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age, business and residential addresses, occupation or employment and shares held by the nominee;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information relating to such nominee required to be disclosed in a proxy statement;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address and number of shares held by the stockholder.</w:t>
      </w:r>
    </w:p>
    <w:p>
      <w:pPr>
        <w:spacing w:after="0" w:line="24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These requirements are separate from and in addition to the requirements a stockholder must meet to have a proposal included in our proxy statement. In addition, to comply with the universal proxy rules, stockholders who intend to solicit proxies in support of director nominees other than the Company’s nominees must comply with the additional requirements of SEC Rule 14a-19(b).</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Any notice given pursuant to the foregoing requirements must be sent to our Corporate Secretary at 15 Joys Lane, Kingston, New York 12401. </w:t>
      </w:r>
      <w:r>
        <w:rPr>
          <w:rFonts w:ascii="Arial" w:cs="Arial" w:eastAsia="Arial" w:hAnsi="Arial"/>
          <w:sz w:val="22"/>
          <w:szCs w:val="22"/>
          <w:b w:val="1"/>
          <w:bCs w:val="1"/>
          <w:color w:val="auto"/>
        </w:rPr>
        <w:t>The foregoing is only a summary of the provisions of our By-Laws that relate to stockholder</w:t>
      </w:r>
      <w:r>
        <w:rPr>
          <w:rFonts w:ascii="Arial" w:cs="Arial" w:eastAsia="Arial" w:hAnsi="Arial"/>
          <w:sz w:val="22"/>
          <w:szCs w:val="22"/>
          <w:color w:val="auto"/>
        </w:rPr>
        <w:t xml:space="preserve"> </w:t>
      </w:r>
      <w:r>
        <w:rPr>
          <w:rFonts w:ascii="Arial" w:cs="Arial" w:eastAsia="Arial" w:hAnsi="Arial"/>
          <w:sz w:val="22"/>
          <w:szCs w:val="22"/>
          <w:b w:val="1"/>
          <w:bCs w:val="1"/>
          <w:color w:val="auto"/>
        </w:rPr>
        <w:t>proposals and stockholder nominations for director. Any stockholder desiring a copy of our By-Laws will be furnished one without charge upon receipt of a written request therefor.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BUSINESS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While the accompanying Notice of Annual Meeting of Stockholders provides for the transaction of such other business as may properly come before the meeting, we have no knowledge of any matters to be presented at the meeting other than those listed as Proposals 1, 2, 3, and 4 in the notice. However, the enclosed proxy gives discretionary authority in the event that any other matters should be presented.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This proxy statement is accompanied by a copy of our Annual Report on Form 10-K for the year ended December 31, 2022 (excluding exhibits). We may charge a fee equal to our reasonable expenses in furnishing the exhibits.</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Barry B. Goldstein</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Kingston, New York</w:t>
      </w:r>
    </w:p>
    <w:p>
      <w:pPr>
        <w:spacing w:after="0" w:line="238" w:lineRule="auto"/>
        <w:rPr>
          <w:sz w:val="20"/>
          <w:szCs w:val="20"/>
          <w:color w:val="auto"/>
        </w:rPr>
      </w:pPr>
      <w:r>
        <w:rPr>
          <w:rFonts w:ascii="Arial" w:cs="Arial" w:eastAsia="Arial" w:hAnsi="Arial"/>
          <w:sz w:val="22"/>
          <w:szCs w:val="22"/>
          <w:color w:val="auto"/>
        </w:rPr>
        <w:t>June 29, 2023</w:t>
      </w: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41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04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41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04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41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04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0" cy="77577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577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lowerRoman"/>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10"/>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lowerLetter"/>
      <w:start w:val="1"/>
    </w:lvl>
    <w:lvl w:ilvl="1">
      <w:lvlJc w:val="left"/>
      <w:lvlText w:val="(%2)"/>
      <w:numFmt w:val="lowerLetter"/>
      <w:start w:val="35"/>
    </w:lvl>
  </w:abstractNum>
  <w:abstractNum w:abstractNumId="10">
    <w:nsid w:val="2D1D5AE9"/>
    <w:multiLevelType w:val="hybridMultilevel"/>
    <w:lvl w:ilvl="0">
      <w:lvlJc w:val="left"/>
      <w:lvlText w:val="(%1)"/>
      <w:numFmt w:val="decimal"/>
      <w:start w:val="3"/>
    </w:lvl>
  </w:abstractNum>
  <w:abstractNum w:abstractNumId="11">
    <w:nsid w:val="6763845E"/>
    <w:multiLevelType w:val="hybridMultilevel"/>
    <w:lvl w:ilvl="0">
      <w:lvlJc w:val="left"/>
      <w:lvlText w:val="(%1)"/>
      <w:numFmt w:val="decimal"/>
      <w:start w:val="4"/>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decimal"/>
      <w:start w:val="5"/>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lvl w:ilvl="1">
      <w:lvlJc w:val="left"/>
      <w:lvlText w:val="(%2)"/>
      <w:numFmt w:val="decimal"/>
      <w:start w:val="1"/>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amp;"/>
      <w:numFmt w:val="bullet"/>
      <w:start w:val="1"/>
    </w:lvl>
  </w:abstractNum>
  <w:abstractNum w:abstractNumId="22">
    <w:nsid w:val="2901D82"/>
    <w:multiLevelType w:val="hybridMultilevel"/>
    <w:lvl w:ilvl="0">
      <w:lvlJc w:val="left"/>
      <w:lvlText w:val="•"/>
      <w:numFmt w:val="bullet"/>
      <w:start w:val="1"/>
    </w:lvl>
    <w:lvl w:ilvl="1">
      <w:lvlJc w:val="left"/>
      <w:lvlText w:val=" "/>
      <w:numFmt w:val="bullet"/>
      <w:start w:val="1"/>
    </w:lvl>
  </w:abstractNum>
  <w:abstractNum w:abstractNumId="23">
    <w:nsid w:val="3A95F874"/>
    <w:multiLevelType w:val="hybridMultilevel"/>
    <w:lvl w:ilvl="0">
      <w:lvlJc w:val="left"/>
      <w:lvlText w:val=" "/>
      <w:numFmt w:val="bullet"/>
      <w:start w:val="1"/>
    </w:lvl>
  </w:abstractNum>
  <w:abstractNum w:abstractNumId="24">
    <w:nsid w:val="8138641"/>
    <w:multiLevelType w:val="hybridMultilevel"/>
    <w:lvl w:ilvl="0">
      <w:lvlJc w:val="left"/>
      <w:lvlText w:val="•"/>
      <w:numFmt w:val="bullet"/>
      <w:start w:val="1"/>
    </w:lvl>
    <w:lvl w:ilvl="1">
      <w:lvlJc w:val="left"/>
      <w:lvlText w:val=" "/>
      <w:numFmt w:val="bullet"/>
      <w:start w:val="1"/>
    </w:lvl>
  </w:abstractNum>
  <w:abstractNum w:abstractNumId="25">
    <w:nsid w:val="1E7FF521"/>
    <w:multiLevelType w:val="hybridMultilevel"/>
    <w:lvl w:ilvl="0">
      <w:lvlJc w:val="left"/>
      <w:lvlText w:val=" "/>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Roman"/>
      <w:start w:val="2"/>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2023-06-29T05:15:34Z</dcterms:created>
  <dcterms:modified xsi:type="dcterms:W3CDTF">2023-06-29T05:15:34Z</dcterms:modified>
</cp:coreProperties>
</file>