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223520</wp:posOffset>
            </wp:positionH>
            <wp:positionV relativeFrom="page">
              <wp:posOffset>323850</wp:posOffset>
            </wp:positionV>
            <wp:extent cx="710184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1840" cy="41910"/>
                    </a:xfrm>
                    <a:prstGeom prst="rect">
                      <a:avLst/>
                    </a:prstGeom>
                    <a:noFill/>
                  </pic:spPr>
                </pic:pic>
              </a:graphicData>
            </a:graphic>
          </wp:anchor>
        </w:drawing>
        <w:drawing>
          <wp:anchor simplePos="0" relativeHeight="251657728" behindDoc="1" locked="0" layoutInCell="0" allowOverlap="1">
            <wp:simplePos x="0" y="0"/>
            <wp:positionH relativeFrom="page">
              <wp:posOffset>223520</wp:posOffset>
            </wp:positionH>
            <wp:positionV relativeFrom="page">
              <wp:posOffset>399415</wp:posOffset>
            </wp:positionV>
            <wp:extent cx="710184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1840" cy="1651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8" w:lineRule="exact"/>
        <w:rPr>
          <w:sz w:val="24"/>
          <w:szCs w:val="24"/>
          <w:color w:val="auto"/>
        </w:rPr>
      </w:pPr>
    </w:p>
    <w:p>
      <w:pPr>
        <w:ind w:left="3700" w:right="1840" w:hanging="3694"/>
        <w:spacing w:after="0" w:line="482" w:lineRule="auto"/>
        <w:tabs>
          <w:tab w:leader="none" w:pos="45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3580" w:right="1820" w:hanging="3574"/>
        <w:spacing w:after="0" w:line="489" w:lineRule="auto"/>
        <w:tabs>
          <w:tab w:leader="none" w:pos="45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_________to _________</w:t>
      </w:r>
    </w:p>
    <w:p>
      <w:pPr>
        <w:spacing w:after="0" w:line="1"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0-1665</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KINGSTONE COMPANIES,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1437640</wp:posOffset>
            </wp:positionH>
            <wp:positionV relativeFrom="paragraph">
              <wp:posOffset>-130175</wp:posOffset>
            </wp:positionV>
            <wp:extent cx="4276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6090" cy="8255"/>
                    </a:xfrm>
                    <a:prstGeom prst="rect">
                      <a:avLst/>
                    </a:prstGeom>
                    <a:noFill/>
                  </pic:spPr>
                </pic:pic>
              </a:graphicData>
            </a:graphic>
          </wp:anchor>
        </w:drawing>
      </w:r>
    </w:p>
    <w:p>
      <w:pPr>
        <w:spacing w:after="0" w:line="191"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860" w:type="dxa"/>
            <w:vAlign w:val="bottom"/>
          </w:tcPr>
          <w:p>
            <w:pPr>
              <w:spacing w:after="0"/>
              <w:rPr>
                <w:sz w:val="19"/>
                <w:szCs w:val="19"/>
                <w:color w:val="auto"/>
              </w:rPr>
            </w:pPr>
          </w:p>
        </w:tc>
        <w:tc>
          <w:tcPr>
            <w:tcW w:w="3300" w:type="dxa"/>
            <w:vAlign w:val="bottom"/>
            <w:tcBorders>
              <w:bottom w:val="single" w:sz="8" w:color="auto"/>
            </w:tcBorders>
          </w:tcPr>
          <w:p>
            <w:pPr>
              <w:jc w:val="center"/>
              <w:ind w:left="892"/>
              <w:spacing w:after="0"/>
              <w:rPr>
                <w:sz w:val="20"/>
                <w:szCs w:val="20"/>
                <w:color w:val="auto"/>
              </w:rPr>
            </w:pPr>
            <w:r>
              <w:rPr>
                <w:rFonts w:ascii="Arial" w:cs="Arial" w:eastAsia="Arial" w:hAnsi="Arial"/>
                <w:sz w:val="18"/>
                <w:szCs w:val="18"/>
                <w:b w:val="1"/>
                <w:bCs w:val="1"/>
                <w:color w:val="auto"/>
                <w:w w:val="91"/>
              </w:rPr>
              <w:t>Delaware</w:t>
            </w: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tcPr>
          <w:p>
            <w:pPr>
              <w:jc w:val="center"/>
              <w:ind w:right="1032"/>
              <w:spacing w:after="0"/>
              <w:rPr>
                <w:sz w:val="20"/>
                <w:szCs w:val="20"/>
                <w:color w:val="auto"/>
              </w:rPr>
            </w:pPr>
            <w:r>
              <w:rPr>
                <w:rFonts w:ascii="Arial" w:cs="Arial" w:eastAsia="Arial" w:hAnsi="Arial"/>
                <w:sz w:val="18"/>
                <w:szCs w:val="18"/>
                <w:b w:val="1"/>
                <w:bCs w:val="1"/>
                <w:color w:val="auto"/>
                <w:w w:val="89"/>
              </w:rPr>
              <w:t>36-2476480</w:t>
            </w:r>
          </w:p>
        </w:tc>
        <w:tc>
          <w:tcPr>
            <w:tcW w:w="840" w:type="dxa"/>
            <w:vAlign w:val="bottom"/>
          </w:tcPr>
          <w:p>
            <w:pPr>
              <w:spacing w:after="0"/>
              <w:rPr>
                <w:sz w:val="19"/>
                <w:szCs w:val="19"/>
                <w:color w:val="auto"/>
              </w:rPr>
            </w:pPr>
          </w:p>
        </w:tc>
      </w:tr>
      <w:tr>
        <w:trPr>
          <w:trHeight w:val="187"/>
        </w:trPr>
        <w:tc>
          <w:tcPr>
            <w:tcW w:w="860" w:type="dxa"/>
            <w:vAlign w:val="bottom"/>
          </w:tcPr>
          <w:p>
            <w:pPr>
              <w:spacing w:after="0"/>
              <w:rPr>
                <w:sz w:val="16"/>
                <w:szCs w:val="16"/>
                <w:color w:val="auto"/>
              </w:rPr>
            </w:pPr>
          </w:p>
        </w:tc>
        <w:tc>
          <w:tcPr>
            <w:tcW w:w="3300" w:type="dxa"/>
            <w:vAlign w:val="bottom"/>
          </w:tcPr>
          <w:p>
            <w:pPr>
              <w:jc w:val="center"/>
              <w:ind w:left="852"/>
              <w:spacing w:after="0" w:line="187" w:lineRule="exact"/>
              <w:rPr>
                <w:sz w:val="20"/>
                <w:szCs w:val="20"/>
                <w:color w:val="auto"/>
              </w:rPr>
            </w:pPr>
            <w:r>
              <w:rPr>
                <w:rFonts w:ascii="Arial" w:cs="Arial" w:eastAsia="Arial" w:hAnsi="Arial"/>
                <w:sz w:val="18"/>
                <w:szCs w:val="18"/>
                <w:b w:val="1"/>
                <w:bCs w:val="1"/>
                <w:color w:val="auto"/>
                <w:w w:val="89"/>
              </w:rPr>
              <w:t>(State or other jurisdiction of</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80" w:type="dxa"/>
            <w:vAlign w:val="bottom"/>
          </w:tcPr>
          <w:p>
            <w:pPr>
              <w:jc w:val="center"/>
              <w:ind w:right="1032"/>
              <w:spacing w:after="0" w:line="187" w:lineRule="exact"/>
              <w:rPr>
                <w:sz w:val="20"/>
                <w:szCs w:val="20"/>
                <w:color w:val="auto"/>
              </w:rPr>
            </w:pPr>
            <w:r>
              <w:rPr>
                <w:rFonts w:ascii="Arial" w:cs="Arial" w:eastAsia="Arial" w:hAnsi="Arial"/>
                <w:sz w:val="18"/>
                <w:szCs w:val="18"/>
                <w:b w:val="1"/>
                <w:bCs w:val="1"/>
                <w:color w:val="auto"/>
                <w:w w:val="91"/>
              </w:rPr>
              <w:t>(I.R.S. Employer</w:t>
            </w:r>
          </w:p>
        </w:tc>
        <w:tc>
          <w:tcPr>
            <w:tcW w:w="840" w:type="dxa"/>
            <w:vAlign w:val="bottom"/>
          </w:tcPr>
          <w:p>
            <w:pPr>
              <w:spacing w:after="0"/>
              <w:rPr>
                <w:sz w:val="16"/>
                <w:szCs w:val="16"/>
                <w:color w:val="auto"/>
              </w:rPr>
            </w:pPr>
          </w:p>
        </w:tc>
      </w:tr>
      <w:tr>
        <w:trPr>
          <w:trHeight w:val="229"/>
        </w:trPr>
        <w:tc>
          <w:tcPr>
            <w:tcW w:w="860" w:type="dxa"/>
            <w:vAlign w:val="bottom"/>
          </w:tcPr>
          <w:p>
            <w:pPr>
              <w:spacing w:after="0"/>
              <w:rPr>
                <w:sz w:val="19"/>
                <w:szCs w:val="19"/>
                <w:color w:val="auto"/>
              </w:rPr>
            </w:pPr>
          </w:p>
        </w:tc>
        <w:tc>
          <w:tcPr>
            <w:tcW w:w="3300" w:type="dxa"/>
            <w:vAlign w:val="bottom"/>
          </w:tcPr>
          <w:p>
            <w:pPr>
              <w:jc w:val="center"/>
              <w:ind w:left="912"/>
              <w:spacing w:after="0"/>
              <w:rPr>
                <w:sz w:val="20"/>
                <w:szCs w:val="20"/>
                <w:color w:val="auto"/>
              </w:rPr>
            </w:pPr>
            <w:r>
              <w:rPr>
                <w:rFonts w:ascii="Arial" w:cs="Arial" w:eastAsia="Arial" w:hAnsi="Arial"/>
                <w:sz w:val="18"/>
                <w:szCs w:val="18"/>
                <w:b w:val="1"/>
                <w:bCs w:val="1"/>
                <w:color w:val="auto"/>
                <w:w w:val="89"/>
              </w:rPr>
              <w:t>incorporation or organization)</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20" w:type="dxa"/>
            <w:vAlign w:val="bottom"/>
            <w:gridSpan w:val="2"/>
          </w:tcPr>
          <w:p>
            <w:pPr>
              <w:jc w:val="center"/>
              <w:ind w:right="1960"/>
              <w:spacing w:after="0"/>
              <w:rPr>
                <w:sz w:val="20"/>
                <w:szCs w:val="20"/>
                <w:color w:val="auto"/>
              </w:rPr>
            </w:pPr>
            <w:r>
              <w:rPr>
                <w:rFonts w:ascii="Arial" w:cs="Arial" w:eastAsia="Arial" w:hAnsi="Arial"/>
                <w:sz w:val="18"/>
                <w:szCs w:val="18"/>
                <w:b w:val="1"/>
                <w:bCs w:val="1"/>
                <w:color w:val="auto"/>
                <w:w w:val="91"/>
              </w:rPr>
              <w:t>Identification Number)</w:t>
            </w:r>
          </w:p>
        </w:tc>
      </w:tr>
      <w:tr>
        <w:trPr>
          <w:trHeight w:val="405"/>
        </w:trPr>
        <w:tc>
          <w:tcPr>
            <w:tcW w:w="8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6"/>
          </w:tcPr>
          <w:p>
            <w:pPr>
              <w:jc w:val="center"/>
              <w:ind w:right="1040"/>
              <w:spacing w:after="0"/>
              <w:rPr>
                <w:sz w:val="20"/>
                <w:szCs w:val="20"/>
                <w:color w:val="auto"/>
              </w:rPr>
            </w:pPr>
            <w:r>
              <w:rPr>
                <w:rFonts w:ascii="Arial" w:cs="Arial" w:eastAsia="Arial" w:hAnsi="Arial"/>
                <w:sz w:val="18"/>
                <w:szCs w:val="18"/>
                <w:b w:val="1"/>
                <w:bCs w:val="1"/>
                <w:color w:val="auto"/>
                <w:w w:val="86"/>
              </w:rPr>
              <w:t>15 Joys Lane</w:t>
            </w:r>
          </w:p>
        </w:tc>
        <w:tc>
          <w:tcPr>
            <w:tcW w:w="3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0"/>
        </w:trPr>
        <w:tc>
          <w:tcPr>
            <w:tcW w:w="8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Borders>
              <w:bottom w:val="single" w:sz="8" w:color="auto"/>
            </w:tcBorders>
            <w:gridSpan w:val="5"/>
          </w:tcPr>
          <w:p>
            <w:pPr>
              <w:jc w:val="center"/>
              <w:spacing w:after="0" w:line="190" w:lineRule="exact"/>
              <w:rPr>
                <w:sz w:val="20"/>
                <w:szCs w:val="20"/>
                <w:color w:val="auto"/>
              </w:rPr>
            </w:pPr>
            <w:r>
              <w:rPr>
                <w:rFonts w:ascii="Arial" w:cs="Arial" w:eastAsia="Arial" w:hAnsi="Arial"/>
                <w:sz w:val="18"/>
                <w:szCs w:val="18"/>
                <w:b w:val="1"/>
                <w:bCs w:val="1"/>
                <w:color w:val="auto"/>
                <w:w w:val="90"/>
              </w:rPr>
              <w:t>Kingston, NY 12401</w:t>
            </w:r>
          </w:p>
        </w:tc>
        <w:tc>
          <w:tcPr>
            <w:tcW w:w="840" w:type="dxa"/>
            <w:vAlign w:val="bottom"/>
            <w:gridSpan w:val="2"/>
          </w:tcPr>
          <w:p>
            <w:pPr>
              <w:spacing w:after="0"/>
              <w:rPr>
                <w:sz w:val="16"/>
                <w:szCs w:val="16"/>
                <w:color w:val="auto"/>
              </w:rPr>
            </w:pPr>
          </w:p>
        </w:tc>
        <w:tc>
          <w:tcPr>
            <w:tcW w:w="3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0"/>
        </w:trPr>
        <w:tc>
          <w:tcPr>
            <w:tcW w:w="8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060" w:type="dxa"/>
            <w:vAlign w:val="bottom"/>
            <w:gridSpan w:val="9"/>
          </w:tcPr>
          <w:p>
            <w:pPr>
              <w:jc w:val="center"/>
              <w:ind w:right="140"/>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3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84"/>
        </w:trPr>
        <w:tc>
          <w:tcPr>
            <w:tcW w:w="8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20" w:type="dxa"/>
            <w:vAlign w:val="bottom"/>
            <w:gridSpan w:val="6"/>
          </w:tcPr>
          <w:p>
            <w:pPr>
              <w:jc w:val="center"/>
              <w:ind w:left="832"/>
              <w:spacing w:after="0"/>
              <w:rPr>
                <w:sz w:val="20"/>
                <w:szCs w:val="20"/>
                <w:color w:val="auto"/>
              </w:rPr>
            </w:pPr>
            <w:r>
              <w:rPr>
                <w:rFonts w:ascii="Arial" w:cs="Arial" w:eastAsia="Arial" w:hAnsi="Arial"/>
                <w:sz w:val="18"/>
                <w:szCs w:val="18"/>
                <w:b w:val="1"/>
                <w:bCs w:val="1"/>
                <w:color w:val="auto"/>
                <w:w w:val="89"/>
              </w:rPr>
              <w:t>(845) 802-7900</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r>
      <w:tr>
        <w:trPr>
          <w:trHeight w:val="230"/>
        </w:trPr>
        <w:tc>
          <w:tcPr>
            <w:tcW w:w="860" w:type="dxa"/>
            <w:vAlign w:val="bottom"/>
          </w:tcPr>
          <w:p>
            <w:pPr>
              <w:spacing w:after="0"/>
              <w:rPr>
                <w:sz w:val="20"/>
                <w:szCs w:val="20"/>
                <w:color w:val="auto"/>
              </w:rPr>
            </w:pPr>
          </w:p>
        </w:tc>
        <w:tc>
          <w:tcPr>
            <w:tcW w:w="10380" w:type="dxa"/>
            <w:vAlign w:val="bottom"/>
            <w:gridSpan w:val="12"/>
          </w:tcPr>
          <w:p>
            <w:pPr>
              <w:jc w:val="center"/>
              <w:ind w:right="840"/>
              <w:spacing w:after="0"/>
              <w:rPr>
                <w:sz w:val="20"/>
                <w:szCs w:val="20"/>
                <w:color w:val="auto"/>
              </w:rPr>
            </w:pPr>
            <w:r>
              <w:rPr>
                <w:rFonts w:ascii="Arial" w:cs="Arial" w:eastAsia="Arial" w:hAnsi="Arial"/>
                <w:sz w:val="18"/>
                <w:szCs w:val="18"/>
                <w:b w:val="1"/>
                <w:bCs w:val="1"/>
                <w:color w:val="auto"/>
                <w:w w:val="87"/>
              </w:rPr>
              <w:t>(Registrant’s telephone number, including area code)</w:t>
            </w:r>
          </w:p>
        </w:tc>
      </w:tr>
      <w:tr>
        <w:trPr>
          <w:trHeight w:val="423"/>
        </w:trPr>
        <w:tc>
          <w:tcPr>
            <w:tcW w:w="416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2"/>
        </w:trPr>
        <w:tc>
          <w:tcPr>
            <w:tcW w:w="86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2"/>
          </w:tcPr>
          <w:p>
            <w:pPr>
              <w:spacing w:after="0"/>
              <w:rPr>
                <w:sz w:val="18"/>
                <w:szCs w:val="18"/>
                <w:color w:val="auto"/>
              </w:rPr>
            </w:pPr>
          </w:p>
        </w:tc>
      </w:tr>
      <w:tr>
        <w:trPr>
          <w:trHeight w:val="230"/>
        </w:trPr>
        <w:tc>
          <w:tcPr>
            <w:tcW w:w="860" w:type="dxa"/>
            <w:vAlign w:val="bottom"/>
            <w:tcBorders>
              <w:left w:val="single" w:sz="8" w:color="auto"/>
            </w:tcBorders>
          </w:tcPr>
          <w:p>
            <w:pPr>
              <w:spacing w:after="0"/>
              <w:rPr>
                <w:sz w:val="20"/>
                <w:szCs w:val="20"/>
                <w:color w:val="auto"/>
              </w:rPr>
            </w:pPr>
          </w:p>
        </w:tc>
        <w:tc>
          <w:tcPr>
            <w:tcW w:w="3300" w:type="dxa"/>
            <w:vAlign w:val="bottom"/>
          </w:tcPr>
          <w:p>
            <w:pPr>
              <w:jc w:val="center"/>
              <w:ind w:right="292"/>
              <w:spacing w:after="0"/>
              <w:rPr>
                <w:sz w:val="20"/>
                <w:szCs w:val="20"/>
                <w:color w:val="auto"/>
              </w:rPr>
            </w:pPr>
            <w:r>
              <w:rPr>
                <w:rFonts w:ascii="Arial" w:cs="Arial" w:eastAsia="Arial" w:hAnsi="Arial"/>
                <w:sz w:val="18"/>
                <w:szCs w:val="18"/>
                <w:color w:val="auto"/>
                <w:w w:val="88"/>
              </w:rPr>
              <w:t>Title of each class</w:t>
            </w:r>
          </w:p>
        </w:tc>
        <w:tc>
          <w:tcPr>
            <w:tcW w:w="4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Borders>
              <w:right w:val="single" w:sz="8" w:color="auto"/>
            </w:tcBorders>
            <w:gridSpan w:val="6"/>
          </w:tcPr>
          <w:p>
            <w:pPr>
              <w:jc w:val="center"/>
              <w:ind w:right="240"/>
              <w:spacing w:after="0"/>
              <w:rPr>
                <w:sz w:val="20"/>
                <w:szCs w:val="20"/>
                <w:color w:val="auto"/>
              </w:rPr>
            </w:pPr>
            <w:r>
              <w:rPr>
                <w:rFonts w:ascii="Arial" w:cs="Arial" w:eastAsia="Arial" w:hAnsi="Arial"/>
                <w:sz w:val="18"/>
                <w:szCs w:val="18"/>
                <w:color w:val="auto"/>
                <w:w w:val="89"/>
              </w:rPr>
              <w:t>Trading Symbol(s)</w:t>
            </w:r>
          </w:p>
        </w:tc>
        <w:tc>
          <w:tcPr>
            <w:tcW w:w="480" w:type="dxa"/>
            <w:vAlign w:val="bottom"/>
          </w:tcPr>
          <w:p>
            <w:pPr>
              <w:spacing w:after="0"/>
              <w:rPr>
                <w:sz w:val="20"/>
                <w:szCs w:val="20"/>
                <w:color w:val="auto"/>
              </w:rPr>
            </w:pPr>
          </w:p>
        </w:tc>
        <w:tc>
          <w:tcPr>
            <w:tcW w:w="402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8"/>
                <w:szCs w:val="18"/>
                <w:color w:val="auto"/>
                <w:w w:val="87"/>
              </w:rPr>
              <w:t>Name of each exchange on which registered</w:t>
            </w:r>
          </w:p>
        </w:tc>
      </w:tr>
      <w:tr>
        <w:trPr>
          <w:trHeight w:val="27"/>
        </w:trPr>
        <w:tc>
          <w:tcPr>
            <w:tcW w:w="4160" w:type="dxa"/>
            <w:vAlign w:val="bottom"/>
            <w:tcBorders>
              <w:left w:val="single" w:sz="8" w:color="auto"/>
              <w:bottom w:val="single" w:sz="8" w:color="auto"/>
            </w:tcBorders>
            <w:gridSpan w:val="2"/>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gridSpan w:val="2"/>
          </w:tcPr>
          <w:p>
            <w:pPr>
              <w:spacing w:after="0"/>
              <w:rPr>
                <w:sz w:val="2"/>
                <w:szCs w:val="2"/>
                <w:color w:val="auto"/>
              </w:rPr>
            </w:pPr>
          </w:p>
        </w:tc>
      </w:tr>
      <w:tr>
        <w:trPr>
          <w:trHeight w:val="230"/>
        </w:trPr>
        <w:tc>
          <w:tcPr>
            <w:tcW w:w="4160" w:type="dxa"/>
            <w:vAlign w:val="bottom"/>
            <w:tcBorders>
              <w:left w:val="single" w:sz="8" w:color="auto"/>
            </w:tcBorders>
            <w:gridSpan w:val="2"/>
          </w:tcPr>
          <w:p>
            <w:pPr>
              <w:jc w:val="center"/>
              <w:ind w:left="392"/>
              <w:spacing w:after="0"/>
              <w:rPr>
                <w:sz w:val="20"/>
                <w:szCs w:val="20"/>
                <w:color w:val="auto"/>
              </w:rPr>
            </w:pPr>
            <w:r>
              <w:rPr>
                <w:rFonts w:ascii="Arial" w:cs="Arial" w:eastAsia="Arial" w:hAnsi="Arial"/>
                <w:sz w:val="18"/>
                <w:szCs w:val="18"/>
                <w:color w:val="auto"/>
                <w:w w:val="87"/>
              </w:rPr>
              <w:t>Common Stock, $0.01 par value per share</w:t>
            </w:r>
          </w:p>
        </w:tc>
        <w:tc>
          <w:tcPr>
            <w:tcW w:w="4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Borders>
              <w:right w:val="single" w:sz="8" w:color="auto"/>
            </w:tcBorders>
            <w:gridSpan w:val="4"/>
          </w:tcPr>
          <w:p>
            <w:pPr>
              <w:jc w:val="center"/>
              <w:ind w:right="540"/>
              <w:spacing w:after="0"/>
              <w:rPr>
                <w:sz w:val="20"/>
                <w:szCs w:val="20"/>
                <w:color w:val="auto"/>
              </w:rPr>
            </w:pPr>
            <w:r>
              <w:rPr>
                <w:rFonts w:ascii="Arial" w:cs="Arial" w:eastAsia="Arial" w:hAnsi="Arial"/>
                <w:sz w:val="18"/>
                <w:szCs w:val="18"/>
                <w:color w:val="auto"/>
                <w:w w:val="95"/>
              </w:rPr>
              <w:t>KINS</w:t>
            </w:r>
          </w:p>
        </w:tc>
        <w:tc>
          <w:tcPr>
            <w:tcW w:w="480" w:type="dxa"/>
            <w:vAlign w:val="bottom"/>
          </w:tcPr>
          <w:p>
            <w:pPr>
              <w:spacing w:after="0"/>
              <w:rPr>
                <w:sz w:val="20"/>
                <w:szCs w:val="20"/>
                <w:color w:val="auto"/>
              </w:rPr>
            </w:pPr>
          </w:p>
        </w:tc>
        <w:tc>
          <w:tcPr>
            <w:tcW w:w="402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8"/>
                <w:szCs w:val="18"/>
                <w:color w:val="auto"/>
                <w:w w:val="89"/>
              </w:rPr>
              <w:t>Nasdaq Capital Market</w:t>
            </w:r>
          </w:p>
        </w:tc>
      </w:tr>
      <w:tr>
        <w:trPr>
          <w:trHeight w:val="27"/>
        </w:trPr>
        <w:tc>
          <w:tcPr>
            <w:tcW w:w="860" w:type="dxa"/>
            <w:vAlign w:val="bottom"/>
            <w:tcBorders>
              <w:left w:val="single" w:sz="8" w:color="auto"/>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r>
    </w:tbl>
    <w:p>
      <w:pPr>
        <w:spacing w:after="0" w:line="199" w:lineRule="exact"/>
        <w:rPr>
          <w:sz w:val="24"/>
          <w:szCs w:val="24"/>
          <w:color w:val="auto"/>
        </w:rPr>
      </w:pPr>
    </w:p>
    <w:p>
      <w:pPr>
        <w:jc w:val="both"/>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0" w:lineRule="exact"/>
        <w:rPr>
          <w:sz w:val="24"/>
          <w:szCs w:val="24"/>
          <w:color w:val="auto"/>
        </w:rPr>
      </w:pPr>
    </w:p>
    <w:p>
      <w:pPr>
        <w:jc w:val="both"/>
        <w:spacing w:after="0" w:line="22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0" w:lineRule="exact"/>
        <w:rPr>
          <w:sz w:val="24"/>
          <w:szCs w:val="24"/>
          <w:color w:val="auto"/>
        </w:rPr>
      </w:pPr>
    </w:p>
    <w:p>
      <w:pPr>
        <w:jc w:val="both"/>
        <w:spacing w:after="0" w:line="29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4" w:lineRule="exact"/>
        <w:rPr>
          <w:sz w:val="24"/>
          <w:szCs w:val="24"/>
          <w:color w:val="auto"/>
        </w:rPr>
      </w:pPr>
    </w:p>
    <w:tbl>
      <w:tblPr>
        <w:tblLayout w:type="fixed"/>
        <w:tblInd w:w="860" w:type="dxa"/>
        <w:tblCellMar>
          <w:top w:w="0" w:type="dxa"/>
          <w:left w:w="0" w:type="dxa"/>
          <w:bottom w:w="0" w:type="dxa"/>
          <w:right w:w="0" w:type="dxa"/>
        </w:tblCellMar>
      </w:tblPr>
      <w:tr>
        <w:trPr>
          <w:trHeight w:val="211"/>
        </w:trPr>
        <w:tc>
          <w:tcPr>
            <w:tcW w:w="27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400"/>
              <w:spacing w:after="0"/>
              <w:rPr>
                <w:sz w:val="20"/>
                <w:szCs w:val="20"/>
                <w:color w:val="auto"/>
              </w:rPr>
            </w:pPr>
            <w:r>
              <w:rPr>
                <w:rFonts w:ascii="Arial" w:cs="Arial" w:eastAsia="Arial" w:hAnsi="Arial"/>
                <w:sz w:val="18"/>
                <w:szCs w:val="18"/>
                <w:color w:val="auto"/>
              </w:rPr>
              <w:t>Accelerated filer</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1"/>
        </w:trPr>
        <w:tc>
          <w:tcPr>
            <w:tcW w:w="2700" w:type="dxa"/>
            <w:vAlign w:val="bottom"/>
          </w:tcPr>
          <w:p>
            <w:pPr>
              <w:spacing w:after="0"/>
              <w:rPr>
                <w:sz w:val="20"/>
                <w:szCs w:val="20"/>
                <w:color w:val="auto"/>
              </w:rPr>
            </w:pPr>
            <w:r>
              <w:rPr>
                <w:rFonts w:ascii="Arial" w:cs="Arial" w:eastAsia="Arial" w:hAnsi="Arial"/>
                <w:sz w:val="18"/>
                <w:szCs w:val="18"/>
                <w:color w:val="auto"/>
              </w:rPr>
              <w:t>Non-accelerated filer</w:t>
            </w:r>
          </w:p>
        </w:tc>
        <w:tc>
          <w:tcPr>
            <w:tcW w:w="16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400"/>
              <w:spacing w:after="0"/>
              <w:rPr>
                <w:sz w:val="20"/>
                <w:szCs w:val="20"/>
                <w:color w:val="auto"/>
              </w:rPr>
            </w:pPr>
            <w:r>
              <w:rPr>
                <w:rFonts w:ascii="Arial" w:cs="Arial" w:eastAsia="Arial" w:hAnsi="Arial"/>
                <w:sz w:val="18"/>
                <w:szCs w:val="18"/>
                <w:color w:val="auto"/>
              </w:rPr>
              <w:t>Smaller reporting company</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7"/>
        </w:trPr>
        <w:tc>
          <w:tcPr>
            <w:tcW w:w="2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60" w:type="dxa"/>
            <w:vAlign w:val="bottom"/>
          </w:tcPr>
          <w:p>
            <w:pPr>
              <w:ind w:left="400"/>
              <w:spacing w:after="0"/>
              <w:rPr>
                <w:sz w:val="20"/>
                <w:szCs w:val="20"/>
                <w:color w:val="auto"/>
              </w:rPr>
            </w:pPr>
            <w:r>
              <w:rPr>
                <w:rFonts w:ascii="Arial" w:cs="Arial" w:eastAsia="Arial" w:hAnsi="Arial"/>
                <w:sz w:val="18"/>
                <w:szCs w:val="18"/>
                <w:color w:val="auto"/>
              </w:rPr>
              <w:t>Emerging growth company</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9, 2020, there were 10,675,198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178435</wp:posOffset>
            </wp:positionV>
            <wp:extent cx="71018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1840" cy="1651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228600</wp:posOffset>
            </wp:positionV>
            <wp:extent cx="710184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1840" cy="4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KINGSTONE COMPANIES,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98" w:lineRule="exact"/>
        <w:rPr>
          <w:sz w:val="24"/>
          <w:szCs w:val="24"/>
          <w:color w:val="auto"/>
        </w:rPr>
      </w:pPr>
    </w:p>
    <w:p>
      <w:pPr>
        <w:ind w:left="10400"/>
        <w:spacing w:after="0"/>
        <w:rPr>
          <w:sz w:val="20"/>
          <w:szCs w:val="20"/>
          <w:color w:val="auto"/>
        </w:rPr>
      </w:pPr>
      <w:r>
        <w:rPr>
          <w:rFonts w:ascii="Arial" w:cs="Arial" w:eastAsia="Arial" w:hAnsi="Arial"/>
          <w:sz w:val="18"/>
          <w:szCs w:val="18"/>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6434455</wp:posOffset>
            </wp:positionH>
            <wp:positionV relativeFrom="paragraph">
              <wp:posOffset>14605</wp:posOffset>
            </wp:positionV>
            <wp:extent cx="637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7540" cy="8255"/>
                    </a:xfrm>
                    <a:prstGeom prst="rect">
                      <a:avLst/>
                    </a:prstGeom>
                    <a:noFill/>
                  </pic:spPr>
                </pic:pic>
              </a:graphicData>
            </a:graphic>
          </wp:anchor>
        </w:drawing>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 FINANCIAL INFORMATION</w:t>
              </w:r>
            </w:hyperlink>
          </w:p>
        </w:tc>
        <w:tc>
          <w:tcPr>
            <w:tcW w:w="406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7135495"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5495" cy="43180"/>
                    </a:xfrm>
                    <a:prstGeom prst="rect">
                      <a:avLst/>
                    </a:prstGeom>
                    <a:noFill/>
                  </pic:spPr>
                </pic:pic>
              </a:graphicData>
            </a:graphic>
          </wp:anchor>
        </w:drawing>
      </w:r>
    </w:p>
    <w:p>
      <w:pPr>
        <w:sectPr>
          <w:pgSz w:w="11900" w:h="16838" w:orient="portrait"/>
          <w:cols w:equalWidth="0" w:num="1">
            <w:col w:w="11240"/>
          </w:cols>
          <w:pgMar w:left="320" w:top="874" w:right="339"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340" w:type="dxa"/>
            <w:vAlign w:val="bottom"/>
            <w:gridSpan w:val="9"/>
            <w:shd w:val="clear" w:color="auto" w:fill="CCEEFF"/>
          </w:tcPr>
          <w:p>
            <w:pPr>
              <w:ind w:left="2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 –   Financial Statements</w:t>
              </w:r>
            </w:hyperlink>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11"/>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gridSpan w:val="7"/>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Condensed Consolidated Balance Sheets at September 30, 2020 (Unaudited) and December 31, 2019</w:t>
              </w:r>
            </w:hyperlink>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172"/>
        </w:trPr>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320" w:type="dxa"/>
            <w:vAlign w:val="bottom"/>
            <w:gridSpan w:val="7"/>
            <w:shd w:val="clear" w:color="auto" w:fill="CCEEFF"/>
          </w:tcPr>
          <w:p>
            <w:pPr>
              <w:spacing w:after="0" w:line="172" w:lineRule="exact"/>
              <w:rPr>
                <w:sz w:val="20"/>
                <w:szCs w:val="20"/>
                <w:color w:val="auto"/>
              </w:rPr>
            </w:pPr>
            <w:r>
              <w:rPr>
                <w:rFonts w:ascii="Arial" w:cs="Arial" w:eastAsia="Arial" w:hAnsi="Arial"/>
                <w:sz w:val="18"/>
                <w:szCs w:val="18"/>
                <w:color w:val="0000EE"/>
                <w:w w:val="92"/>
              </w:rPr>
              <w:t>Condensed Consolidated Statements of Operations and Comprehensive Income (Loss) for the three months and nine months</w:t>
            </w:r>
          </w:p>
        </w:tc>
        <w:tc>
          <w:tcPr>
            <w:tcW w:w="900" w:type="dxa"/>
            <w:vAlign w:val="bottom"/>
            <w:shd w:val="clear" w:color="auto" w:fill="CCEEFF"/>
          </w:tcPr>
          <w:p>
            <w:pPr>
              <w:spacing w:after="0"/>
              <w:rPr>
                <w:sz w:val="14"/>
                <w:szCs w:val="14"/>
                <w:color w:val="auto"/>
              </w:rPr>
            </w:pPr>
          </w:p>
        </w:tc>
      </w:tr>
      <w:tr>
        <w:trPr>
          <w:trHeight w:val="191"/>
        </w:trPr>
        <w:tc>
          <w:tcPr>
            <w:tcW w:w="7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760" w:type="dxa"/>
            <w:vAlign w:val="bottom"/>
            <w:tcBorders>
              <w:top w:val="single" w:sz="8" w:color="0000EE"/>
            </w:tcBorders>
            <w:gridSpan w:val="6"/>
            <w:shd w:val="clear" w:color="auto" w:fill="CCEEFF"/>
          </w:tcPr>
          <w:p>
            <w:pPr>
              <w:spacing w:after="0" w:line="191" w:lineRule="exact"/>
              <w:rPr>
                <w:sz w:val="20"/>
                <w:szCs w:val="20"/>
                <w:color w:val="auto"/>
              </w:rPr>
            </w:pPr>
            <w:r>
              <w:rPr>
                <w:rFonts w:ascii="Arial" w:cs="Arial" w:eastAsia="Arial" w:hAnsi="Arial"/>
                <w:sz w:val="18"/>
                <w:szCs w:val="18"/>
                <w:color w:val="0000EE"/>
              </w:rPr>
              <w:t>ended September 30, 2020 (Unaudited) and 2019 (Unaudited)</w:t>
            </w:r>
          </w:p>
        </w:tc>
        <w:tc>
          <w:tcPr>
            <w:tcW w:w="5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jc w:val="right"/>
              <w:ind w:right="12"/>
              <w:spacing w:after="0" w:line="191" w:lineRule="exact"/>
              <w:rPr>
                <w:sz w:val="20"/>
                <w:szCs w:val="20"/>
                <w:color w:val="auto"/>
              </w:rPr>
            </w:pPr>
            <w:r>
              <w:rPr>
                <w:rFonts w:ascii="Arial" w:cs="Arial" w:eastAsia="Arial" w:hAnsi="Arial"/>
                <w:sz w:val="18"/>
                <w:szCs w:val="18"/>
                <w:color w:val="auto"/>
              </w:rPr>
              <w:t>3</w:t>
            </w:r>
          </w:p>
        </w:tc>
      </w:tr>
      <w:tr>
        <w:trPr>
          <w:trHeight w:val="40"/>
        </w:trPr>
        <w:tc>
          <w:tcPr>
            <w:tcW w:w="7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60" w:type="dxa"/>
            <w:vAlign w:val="bottom"/>
            <w:shd w:val="clear" w:color="auto" w:fill="0000EE"/>
          </w:tcPr>
          <w:p>
            <w:pPr>
              <w:spacing w:after="0"/>
              <w:rPr>
                <w:sz w:val="3"/>
                <w:szCs w:val="3"/>
                <w:color w:val="auto"/>
              </w:rPr>
            </w:pPr>
          </w:p>
        </w:tc>
        <w:tc>
          <w:tcPr>
            <w:tcW w:w="1980" w:type="dxa"/>
            <w:vAlign w:val="bottom"/>
            <w:shd w:val="clear" w:color="auto" w:fill="0000EE"/>
          </w:tcPr>
          <w:p>
            <w:pPr>
              <w:spacing w:after="0"/>
              <w:rPr>
                <w:sz w:val="3"/>
                <w:szCs w:val="3"/>
                <w:color w:val="auto"/>
              </w:rPr>
            </w:pPr>
          </w:p>
        </w:tc>
        <w:tc>
          <w:tcPr>
            <w:tcW w:w="1520" w:type="dxa"/>
            <w:vAlign w:val="bottom"/>
            <w:shd w:val="clear" w:color="auto" w:fill="0000EE"/>
          </w:tcPr>
          <w:p>
            <w:pPr>
              <w:spacing w:after="0"/>
              <w:rPr>
                <w:sz w:val="3"/>
                <w:szCs w:val="3"/>
                <w:color w:val="auto"/>
              </w:rPr>
            </w:pPr>
          </w:p>
        </w:tc>
        <w:tc>
          <w:tcPr>
            <w:tcW w:w="41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r>
        <w:trPr>
          <w:trHeight w:val="172"/>
        </w:trPr>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500" w:type="dxa"/>
            <w:vAlign w:val="bottom"/>
            <w:tcBorders>
              <w:bottom w:val="single" w:sz="8" w:color="0000EE"/>
            </w:tcBorders>
            <w:gridSpan w:val="4"/>
          </w:tcPr>
          <w:p>
            <w:pPr>
              <w:spacing w:after="0" w:line="172"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Stockholders’ Equity for the three months and nine months ended September 30,</w:t>
              </w:r>
            </w:hyperlink>
          </w:p>
        </w:tc>
        <w:tc>
          <w:tcPr>
            <w:tcW w:w="820" w:type="dxa"/>
            <w:vAlign w:val="bottom"/>
            <w:gridSpan w:val="3"/>
          </w:tcPr>
          <w:p>
            <w:pPr>
              <w:spacing w:after="0"/>
              <w:rPr>
                <w:sz w:val="14"/>
                <w:szCs w:val="14"/>
                <w:color w:val="auto"/>
              </w:rPr>
            </w:pPr>
          </w:p>
        </w:tc>
        <w:tc>
          <w:tcPr>
            <w:tcW w:w="900" w:type="dxa"/>
            <w:vAlign w:val="bottom"/>
          </w:tcPr>
          <w:p>
            <w:pPr>
              <w:spacing w:after="0"/>
              <w:rPr>
                <w:sz w:val="14"/>
                <w:szCs w:val="14"/>
                <w:color w:val="auto"/>
              </w:rPr>
            </w:pPr>
          </w:p>
        </w:tc>
      </w:tr>
      <w:tr>
        <w:trPr>
          <w:trHeight w:val="201"/>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tcBorders>
              <w:bottom w:val="single" w:sz="8" w:color="0000EE"/>
            </w:tcBorders>
            <w:gridSpan w:val="2"/>
          </w:tcPr>
          <w:p>
            <w:pPr>
              <w:spacing w:after="0" w:line="191"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2020 (Unaudited) and 2019 (Unaudited)</w:t>
              </w:r>
            </w:hyperlink>
          </w:p>
        </w:tc>
        <w:tc>
          <w:tcPr>
            <w:tcW w:w="6480" w:type="dxa"/>
            <w:vAlign w:val="bottom"/>
            <w:gridSpan w:val="5"/>
          </w:tcPr>
          <w:p>
            <w:pPr>
              <w:spacing w:after="0"/>
              <w:rPr>
                <w:sz w:val="17"/>
                <w:szCs w:val="17"/>
                <w:color w:val="auto"/>
              </w:rPr>
            </w:pPr>
          </w:p>
        </w:tc>
        <w:tc>
          <w:tcPr>
            <w:tcW w:w="900" w:type="dxa"/>
            <w:vAlign w:val="bottom"/>
          </w:tcPr>
          <w:p>
            <w:pPr>
              <w:jc w:val="right"/>
              <w:ind w:right="12"/>
              <w:spacing w:after="0" w:line="191" w:lineRule="exact"/>
              <w:rPr>
                <w:sz w:val="20"/>
                <w:szCs w:val="20"/>
                <w:color w:val="auto"/>
              </w:rPr>
            </w:pPr>
            <w:r>
              <w:rPr>
                <w:rFonts w:ascii="Arial" w:cs="Arial" w:eastAsia="Arial" w:hAnsi="Arial"/>
                <w:sz w:val="18"/>
                <w:szCs w:val="18"/>
                <w:color w:val="auto"/>
              </w:rPr>
              <w:t>4-5</w:t>
            </w:r>
          </w:p>
        </w:tc>
      </w:tr>
      <w:tr>
        <w:trPr>
          <w:trHeight w:val="181"/>
        </w:trPr>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320" w:type="dxa"/>
            <w:vAlign w:val="bottom"/>
            <w:gridSpan w:val="7"/>
            <w:shd w:val="clear" w:color="auto" w:fill="CCEEFF"/>
          </w:tcPr>
          <w:p>
            <w:pPr>
              <w:spacing w:after="0" w:line="182"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Condensed Consolidated Statements of Cash Flows for the nine months ended September 30, 2020 (Unaudited) and 2019</w:t>
              </w:r>
            </w:hyperlink>
          </w:p>
        </w:tc>
        <w:tc>
          <w:tcPr>
            <w:tcW w:w="900" w:type="dxa"/>
            <w:vAlign w:val="bottom"/>
            <w:shd w:val="clear" w:color="auto" w:fill="CCEEFF"/>
          </w:tcPr>
          <w:p>
            <w:pPr>
              <w:spacing w:after="0"/>
              <w:rPr>
                <w:sz w:val="15"/>
                <w:szCs w:val="15"/>
                <w:color w:val="auto"/>
              </w:rPr>
            </w:pPr>
          </w:p>
        </w:tc>
      </w:tr>
      <w:tr>
        <w:trPr>
          <w:trHeight w:val="211"/>
        </w:trPr>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0000EE"/>
              <w:bottom w:val="single" w:sz="8" w:color="0000EE"/>
            </w:tcBorders>
            <w:shd w:val="clear" w:color="auto" w:fill="CCEEFF"/>
          </w:tcPr>
          <w:p>
            <w:pPr>
              <w:spacing w:after="0" w:line="191"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w:t>
              </w:r>
            </w:hyperlink>
          </w:p>
        </w:tc>
        <w:tc>
          <w:tcPr>
            <w:tcW w:w="7700" w:type="dxa"/>
            <w:vAlign w:val="bottom"/>
            <w:tcBorders>
              <w:top w:val="single" w:sz="8" w:color="0000EE"/>
              <w:bottom w:val="single" w:sz="8" w:color="CCEEFF"/>
            </w:tcBorders>
            <w:gridSpan w:val="4"/>
            <w:shd w:val="clear" w:color="auto" w:fill="CCEEFF"/>
          </w:tcPr>
          <w:p>
            <w:pPr>
              <w:spacing w:after="0"/>
              <w:rPr>
                <w:sz w:val="18"/>
                <w:szCs w:val="18"/>
                <w:color w:val="auto"/>
              </w:rPr>
            </w:pPr>
          </w:p>
        </w:tc>
        <w:tc>
          <w:tcPr>
            <w:tcW w:w="7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jc w:val="right"/>
              <w:ind w:right="12"/>
              <w:spacing w:after="0" w:line="191" w:lineRule="exact"/>
              <w:rPr>
                <w:sz w:val="20"/>
                <w:szCs w:val="20"/>
                <w:color w:val="auto"/>
              </w:rPr>
            </w:pPr>
            <w:r>
              <w:rPr>
                <w:rFonts w:ascii="Arial" w:cs="Arial" w:eastAsia="Arial" w:hAnsi="Arial"/>
                <w:sz w:val="18"/>
                <w:szCs w:val="18"/>
                <w:color w:val="auto"/>
              </w:rPr>
              <w:t>6</w:t>
            </w:r>
          </w:p>
        </w:tc>
      </w:tr>
      <w:tr>
        <w:trPr>
          <w:trHeight w:val="211"/>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gridSpan w:val="7"/>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Notes to Condensed Consolidated Financial Statements (Unaudited)</w:t>
              </w:r>
            </w:hyperlink>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11"/>
        </w:trPr>
        <w:tc>
          <w:tcPr>
            <w:tcW w:w="10340" w:type="dxa"/>
            <w:vAlign w:val="bottom"/>
            <w:gridSpan w:val="9"/>
            <w:shd w:val="clear" w:color="auto" w:fill="CCEEFF"/>
          </w:tcPr>
          <w:p>
            <w:pPr>
              <w:ind w:left="20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2 –   Management’s Discussion and Analysis of Financial Condition and Results of Operations</w:t>
              </w:r>
            </w:hyperlink>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r>
      <w:tr>
        <w:trPr>
          <w:trHeight w:val="211"/>
        </w:trPr>
        <w:tc>
          <w:tcPr>
            <w:tcW w:w="10340" w:type="dxa"/>
            <w:vAlign w:val="bottom"/>
            <w:gridSpan w:val="9"/>
          </w:tcPr>
          <w:p>
            <w:pPr>
              <w:ind w:left="20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 3 –   Quantitative and Qualitative Disclosures About Market Risk</w:t>
              </w:r>
            </w:hyperlink>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75</w:t>
            </w:r>
          </w:p>
        </w:tc>
      </w:tr>
      <w:tr>
        <w:trPr>
          <w:trHeight w:val="211"/>
        </w:trPr>
        <w:tc>
          <w:tcPr>
            <w:tcW w:w="10340" w:type="dxa"/>
            <w:vAlign w:val="bottom"/>
            <w:gridSpan w:val="9"/>
            <w:shd w:val="clear" w:color="auto" w:fill="CCEEFF"/>
          </w:tcPr>
          <w:p>
            <w:pPr>
              <w:ind w:left="20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 4 –   Controls and Procedures</w:t>
              </w:r>
            </w:hyperlink>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r>
      <w:tr>
        <w:trPr>
          <w:trHeight w:val="422"/>
        </w:trPr>
        <w:tc>
          <w:tcPr>
            <w:tcW w:w="10340" w:type="dxa"/>
            <w:vAlign w:val="bottom"/>
            <w:gridSpan w:val="9"/>
          </w:tcPr>
          <w:p>
            <w:pPr>
              <w:spacing w:after="0"/>
              <w:rPr>
                <w:rFonts w:ascii="Arial" w:cs="Arial" w:eastAsia="Arial" w:hAnsi="Arial"/>
                <w:sz w:val="18"/>
                <w:szCs w:val="18"/>
                <w:b w:val="1"/>
                <w:bCs w:val="1"/>
                <w:u w:val="single" w:color="auto"/>
                <w:color w:val="0000EE"/>
              </w:rPr>
            </w:pPr>
            <w:hyperlink w:anchor="page48">
              <w:r>
                <w:rPr>
                  <w:rFonts w:ascii="Arial" w:cs="Arial" w:eastAsia="Arial" w:hAnsi="Arial"/>
                  <w:sz w:val="18"/>
                  <w:szCs w:val="18"/>
                  <w:b w:val="1"/>
                  <w:bCs w:val="1"/>
                  <w:u w:val="single" w:color="auto"/>
                  <w:color w:val="0000EE"/>
                </w:rPr>
                <w:t>PART II – OTHER INFORMATION</w:t>
              </w:r>
            </w:hyperlink>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77</w:t>
            </w:r>
          </w:p>
        </w:tc>
      </w:tr>
      <w:tr>
        <w:trPr>
          <w:trHeight w:val="212"/>
        </w:trPr>
        <w:tc>
          <w:tcPr>
            <w:tcW w:w="7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1"/>
        </w:trPr>
        <w:tc>
          <w:tcPr>
            <w:tcW w:w="10340" w:type="dxa"/>
            <w:vAlign w:val="bottom"/>
            <w:gridSpan w:val="9"/>
            <w:shd w:val="clear" w:color="auto" w:fill="CCEEFF"/>
          </w:tcPr>
          <w:p>
            <w:pPr>
              <w:ind w:left="20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 1 –   Legal Proceedings</w:t>
              </w:r>
            </w:hyperlink>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r>
      <w:tr>
        <w:trPr>
          <w:trHeight w:val="211"/>
        </w:trPr>
        <w:tc>
          <w:tcPr>
            <w:tcW w:w="1020" w:type="dxa"/>
            <w:vAlign w:val="bottom"/>
            <w:gridSpan w:val="2"/>
          </w:tcPr>
          <w:p>
            <w:pPr>
              <w:ind w:left="20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Item 1A –</w:t>
              </w:r>
            </w:hyperlink>
          </w:p>
        </w:tc>
        <w:tc>
          <w:tcPr>
            <w:tcW w:w="9320" w:type="dxa"/>
            <w:vAlign w:val="bottom"/>
            <w:gridSpan w:val="7"/>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Risk Factors</w:t>
              </w:r>
            </w:hyperlink>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77</w:t>
            </w:r>
          </w:p>
        </w:tc>
      </w:tr>
      <w:tr>
        <w:trPr>
          <w:trHeight w:val="211"/>
        </w:trPr>
        <w:tc>
          <w:tcPr>
            <w:tcW w:w="10340" w:type="dxa"/>
            <w:vAlign w:val="bottom"/>
            <w:gridSpan w:val="9"/>
            <w:shd w:val="clear" w:color="auto" w:fill="CCEEFF"/>
          </w:tcPr>
          <w:p>
            <w:pPr>
              <w:ind w:left="20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Item 2 –   Unregistered Sales of Equity Securities and Use of Proceeds</w:t>
              </w:r>
            </w:hyperlink>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r>
      <w:tr>
        <w:trPr>
          <w:trHeight w:val="211"/>
        </w:trPr>
        <w:tc>
          <w:tcPr>
            <w:tcW w:w="10340" w:type="dxa"/>
            <w:vAlign w:val="bottom"/>
            <w:gridSpan w:val="9"/>
          </w:tcPr>
          <w:p>
            <w:pPr>
              <w:ind w:left="20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Item 3 –   Defaults Upon Senior Securities</w:t>
              </w:r>
            </w:hyperlink>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79</w:t>
            </w:r>
          </w:p>
        </w:tc>
      </w:tr>
      <w:tr>
        <w:trPr>
          <w:trHeight w:val="211"/>
        </w:trPr>
        <w:tc>
          <w:tcPr>
            <w:tcW w:w="10340" w:type="dxa"/>
            <w:vAlign w:val="bottom"/>
            <w:gridSpan w:val="9"/>
            <w:shd w:val="clear" w:color="auto" w:fill="CCEEFF"/>
          </w:tcPr>
          <w:p>
            <w:pPr>
              <w:ind w:left="20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Item 4 –   Mine Safety Disclosures</w:t>
              </w:r>
            </w:hyperlink>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r>
      <w:tr>
        <w:trPr>
          <w:trHeight w:val="211"/>
        </w:trPr>
        <w:tc>
          <w:tcPr>
            <w:tcW w:w="10340" w:type="dxa"/>
            <w:vAlign w:val="bottom"/>
            <w:gridSpan w:val="9"/>
          </w:tcPr>
          <w:p>
            <w:pPr>
              <w:ind w:left="20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Item 5 –   Other Information</w:t>
              </w:r>
            </w:hyperlink>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79</w:t>
            </w:r>
          </w:p>
        </w:tc>
      </w:tr>
      <w:tr>
        <w:trPr>
          <w:trHeight w:val="211"/>
        </w:trPr>
        <w:tc>
          <w:tcPr>
            <w:tcW w:w="1020" w:type="dxa"/>
            <w:vAlign w:val="bottom"/>
            <w:gridSpan w:val="2"/>
            <w:shd w:val="clear" w:color="auto" w:fill="CCEEFF"/>
          </w:tcPr>
          <w:p>
            <w:pPr>
              <w:ind w:left="20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Item 6 –</w:t>
              </w:r>
            </w:hyperlink>
          </w:p>
        </w:tc>
        <w:tc>
          <w:tcPr>
            <w:tcW w:w="9320" w:type="dxa"/>
            <w:vAlign w:val="bottom"/>
            <w:gridSpan w:val="7"/>
            <w:shd w:val="clear" w:color="auto" w:fill="CCEEFF"/>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Exhibits</w:t>
              </w:r>
            </w:hyperlink>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r>
      <w:tr>
        <w:trPr>
          <w:trHeight w:val="172"/>
        </w:trPr>
        <w:tc>
          <w:tcPr>
            <w:tcW w:w="1020" w:type="dxa"/>
            <w:vAlign w:val="bottom"/>
            <w:gridSpan w:val="2"/>
          </w:tcPr>
          <w:p>
            <w:pPr>
              <w:spacing w:after="0" w:line="172" w:lineRule="exact"/>
              <w:rPr>
                <w:sz w:val="20"/>
                <w:szCs w:val="20"/>
                <w:color w:val="auto"/>
              </w:rPr>
            </w:pPr>
            <w:r>
              <w:rPr>
                <w:rFonts w:ascii="Arial" w:cs="Arial" w:eastAsia="Arial" w:hAnsi="Arial"/>
                <w:sz w:val="18"/>
                <w:szCs w:val="18"/>
                <w:color w:val="0000EE"/>
              </w:rPr>
              <w:t>Signatures</w:t>
            </w:r>
          </w:p>
        </w:tc>
        <w:tc>
          <w:tcPr>
            <w:tcW w:w="8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ind w:right="12"/>
              <w:spacing w:after="0" w:line="172" w:lineRule="exact"/>
              <w:rPr>
                <w:sz w:val="20"/>
                <w:szCs w:val="20"/>
                <w:color w:val="auto"/>
              </w:rPr>
            </w:pPr>
            <w:r>
              <w:rPr>
                <w:rFonts w:ascii="Arial" w:cs="Arial" w:eastAsia="Arial" w:hAnsi="Arial"/>
                <w:sz w:val="18"/>
                <w:szCs w:val="18"/>
                <w:color w:val="auto"/>
              </w:rPr>
              <w:t>80</w:t>
            </w:r>
          </w:p>
        </w:tc>
      </w:tr>
      <w:tr>
        <w:trPr>
          <w:trHeight w:val="20"/>
        </w:trPr>
        <w:tc>
          <w:tcPr>
            <w:tcW w:w="7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402590</wp:posOffset>
            </wp:positionV>
            <wp:extent cx="7135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2" w:lineRule="exact"/>
        <w:rPr>
          <w:sz w:val="20"/>
          <w:szCs w:val="20"/>
          <w:color w:val="auto"/>
        </w:rPr>
      </w:pPr>
    </w:p>
    <w:p>
      <w:pPr>
        <w:jc w:val="both"/>
        <w:spacing w:after="0" w:line="212" w:lineRule="exact"/>
        <w:rPr>
          <w:sz w:val="20"/>
          <w:szCs w:val="20"/>
          <w:color w:val="auto"/>
        </w:rPr>
      </w:pPr>
      <w:r>
        <w:rPr>
          <w:rFonts w:ascii="Arial" w:cs="Arial" w:eastAsia="Arial" w:hAnsi="Arial"/>
          <w:sz w:val="17"/>
          <w:szCs w:val="17"/>
          <w:color w:val="auto"/>
        </w:rPr>
        <w:t>This Quarterly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Private Securities Litigation Reform Act of 1995. The events described in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Quarterly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of our Annual Report on Form 10-K for the year ended December 31, 2019 and Part II, Item 1A of this Quarterly Report.</w:t>
      </w:r>
    </w:p>
    <w:p>
      <w:pPr>
        <w:spacing w:after="0" w:line="206" w:lineRule="exact"/>
        <w:rPr>
          <w:sz w:val="20"/>
          <w:szCs w:val="20"/>
          <w:color w:val="auto"/>
        </w:rPr>
      </w:pPr>
    </w:p>
    <w:p>
      <w:pPr>
        <w:jc w:val="both"/>
        <w:spacing w:after="0" w:line="214" w:lineRule="exact"/>
        <w:rPr>
          <w:sz w:val="20"/>
          <w:szCs w:val="20"/>
          <w:color w:val="auto"/>
        </w:rPr>
      </w:pPr>
      <w:r>
        <w:rPr>
          <w:rFonts w:ascii="Arial" w:cs="Arial" w:eastAsia="Arial" w:hAnsi="Arial"/>
          <w:sz w:val="18"/>
          <w:szCs w:val="18"/>
          <w:color w:val="auto"/>
        </w:rPr>
        <w:t>Any one or more of these uncertainties, risks and other influences could materially affect our results of operations and whether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by us ultimately prove to be accurate. Our actual results, performance and achievements could differ materially from those expressed or implied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We undertake no obligation to publicly update or revise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whether from new information, future events or otherwise except as required by law.</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b w:val="1"/>
          <w:bCs w:val="1"/>
          <w:u w:val="single" w:color="auto"/>
          <w:color w:val="auto"/>
        </w:rPr>
        <w:t>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Financial Statements</w:t>
      </w:r>
      <w:r>
        <w:rPr>
          <w:rFonts w:ascii="Arial" w:cs="Arial" w:eastAsia="Arial" w:hAnsi="Arial"/>
          <w:sz w:val="18"/>
          <w:szCs w:val="18"/>
          <w:color w:val="auto"/>
        </w:rPr>
        <w:t>.</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70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9"/>
        </w:trPr>
        <w:tc>
          <w:tcPr>
            <w:tcW w:w="8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1000" w:type="dxa"/>
            <w:vAlign w:val="bottom"/>
          </w:tcPr>
          <w:p>
            <w:pPr>
              <w:jc w:val="center"/>
              <w:ind w:right="32"/>
              <w:spacing w:after="0"/>
              <w:rPr>
                <w:sz w:val="20"/>
                <w:szCs w:val="20"/>
                <w:color w:val="auto"/>
              </w:rPr>
            </w:pPr>
            <w:r>
              <w:rPr>
                <w:rFonts w:ascii="Arial" w:cs="Arial" w:eastAsia="Arial" w:hAnsi="Arial"/>
                <w:sz w:val="18"/>
                <w:szCs w:val="18"/>
                <w:color w:val="auto"/>
                <w:w w:val="87"/>
              </w:rPr>
              <w:t>(unaudited)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70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w w:val="94"/>
              </w:rPr>
              <w:t>Fixed-maturity securities, held-to-maturity, at amortized cost (fair value of $7,899,304at September 30, 2020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$4,124,767at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7,369,608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3,825,952</w:t>
            </w:r>
          </w:p>
        </w:tc>
        <w:tc>
          <w:tcPr>
            <w:tcW w:w="0" w:type="dxa"/>
            <w:vAlign w:val="bottom"/>
          </w:tcPr>
          <w:p>
            <w:pPr>
              <w:spacing w:after="0"/>
              <w:rPr>
                <w:sz w:val="1"/>
                <w:szCs w:val="1"/>
                <w:color w:val="auto"/>
              </w:rPr>
            </w:pPr>
          </w:p>
        </w:tc>
      </w:tr>
      <w:tr>
        <w:trPr>
          <w:trHeight w:val="199"/>
        </w:trPr>
        <w:tc>
          <w:tcPr>
            <w:tcW w:w="8700" w:type="dxa"/>
            <w:vAlign w:val="bottom"/>
          </w:tcPr>
          <w:p>
            <w:pPr>
              <w:ind w:left="200"/>
              <w:spacing w:after="0" w:line="199" w:lineRule="exact"/>
              <w:rPr>
                <w:sz w:val="20"/>
                <w:szCs w:val="20"/>
                <w:color w:val="auto"/>
              </w:rPr>
            </w:pPr>
            <w:r>
              <w:rPr>
                <w:rFonts w:ascii="Arial" w:cs="Arial" w:eastAsia="Arial" w:hAnsi="Arial"/>
                <w:sz w:val="18"/>
                <w:szCs w:val="18"/>
                <w:color w:val="auto"/>
                <w:w w:val="91"/>
              </w:rPr>
              <w:t>Fixed-maturity securities, available-for-sale, at fair value (amortized cost of $145,126,859 at September 30, 2020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700" w:type="dxa"/>
            <w:vAlign w:val="bottom"/>
          </w:tcPr>
          <w:p>
            <w:pPr>
              <w:ind w:left="200"/>
              <w:spacing w:after="0"/>
              <w:rPr>
                <w:sz w:val="20"/>
                <w:szCs w:val="20"/>
                <w:color w:val="auto"/>
              </w:rPr>
            </w:pPr>
            <w:r>
              <w:rPr>
                <w:rFonts w:ascii="Arial" w:cs="Arial" w:eastAsia="Arial" w:hAnsi="Arial"/>
                <w:sz w:val="18"/>
                <w:szCs w:val="18"/>
                <w:color w:val="auto"/>
              </w:rPr>
              <w:t>$162,202,355 at December 31, 2019)</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156,538,589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168,236,181</w:t>
            </w:r>
          </w:p>
        </w:tc>
        <w:tc>
          <w:tcPr>
            <w:tcW w:w="0" w:type="dxa"/>
            <w:vAlign w:val="bottom"/>
          </w:tcPr>
          <w:p>
            <w:pPr>
              <w:spacing w:after="0"/>
              <w:rPr>
                <w:sz w:val="1"/>
                <w:szCs w:val="1"/>
                <w:color w:val="auto"/>
              </w:rPr>
            </w:pPr>
          </w:p>
        </w:tc>
      </w:tr>
      <w:tr>
        <w:trPr>
          <w:trHeight w:val="212"/>
        </w:trPr>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Equity securities, at fair value (costof 30,300,839 at September 30, 2020 and $22,624,668 at December 31, 2019)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29,623,267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24,661,382</w:t>
            </w:r>
          </w:p>
        </w:tc>
        <w:tc>
          <w:tcPr>
            <w:tcW w:w="0" w:type="dxa"/>
            <w:vAlign w:val="bottom"/>
          </w:tcPr>
          <w:p>
            <w:pPr>
              <w:spacing w:after="0"/>
              <w:rPr>
                <w:sz w:val="1"/>
                <w:szCs w:val="1"/>
                <w:color w:val="auto"/>
              </w:rPr>
            </w:pPr>
          </w:p>
        </w:tc>
      </w:tr>
      <w:tr>
        <w:trPr>
          <w:trHeight w:val="211"/>
        </w:trPr>
        <w:tc>
          <w:tcPr>
            <w:tcW w:w="8700" w:type="dxa"/>
            <w:vAlign w:val="bottom"/>
          </w:tcPr>
          <w:p>
            <w:pPr>
              <w:ind w:left="200"/>
              <w:spacing w:after="0"/>
              <w:rPr>
                <w:sz w:val="20"/>
                <w:szCs w:val="20"/>
                <w:color w:val="auto"/>
              </w:rPr>
            </w:pPr>
            <w:r>
              <w:rPr>
                <w:rFonts w:ascii="Arial" w:cs="Arial" w:eastAsia="Arial" w:hAnsi="Arial"/>
                <w:sz w:val="18"/>
                <w:szCs w:val="18"/>
                <w:color w:val="auto"/>
              </w:rPr>
              <w:t>Other investments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2,829,078</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700" w:type="dxa"/>
            <w:vAlign w:val="bottom"/>
            <w:shd w:val="clear" w:color="auto" w:fill="CCEEFF"/>
          </w:tcPr>
          <w:p>
            <w:pPr>
              <w:ind w:left="400"/>
              <w:spacing w:after="0" w:line="205" w:lineRule="exact"/>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w w:val="97"/>
              </w:rPr>
              <w:t>196,360,542</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w w:val="93"/>
              </w:rPr>
              <w:t>199,308,428</w:t>
            </w:r>
          </w:p>
        </w:tc>
        <w:tc>
          <w:tcPr>
            <w:tcW w:w="0" w:type="dxa"/>
            <w:vAlign w:val="bottom"/>
          </w:tcPr>
          <w:p>
            <w:pPr>
              <w:spacing w:after="0"/>
              <w:rPr>
                <w:sz w:val="1"/>
                <w:szCs w:val="1"/>
                <w:color w:val="auto"/>
              </w:rPr>
            </w:pPr>
          </w:p>
        </w:tc>
      </w:tr>
      <w:tr>
        <w:trPr>
          <w:trHeight w:val="211"/>
        </w:trPr>
        <w:tc>
          <w:tcPr>
            <w:tcW w:w="87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24,388,103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32,391,485</w:t>
            </w:r>
          </w:p>
        </w:tc>
        <w:tc>
          <w:tcPr>
            <w:tcW w:w="0" w:type="dxa"/>
            <w:vAlign w:val="bottom"/>
          </w:tcPr>
          <w:p>
            <w:pPr>
              <w:spacing w:after="0"/>
              <w:rPr>
                <w:sz w:val="1"/>
                <w:szCs w:val="1"/>
                <w:color w:val="auto"/>
              </w:rPr>
            </w:pPr>
          </w:p>
        </w:tc>
      </w:tr>
      <w:tr>
        <w:trPr>
          <w:trHeight w:val="211"/>
        </w:trPr>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receivable,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13,883,708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12,706,411</w:t>
            </w:r>
          </w:p>
        </w:tc>
        <w:tc>
          <w:tcPr>
            <w:tcW w:w="0" w:type="dxa"/>
            <w:vAlign w:val="bottom"/>
          </w:tcPr>
          <w:p>
            <w:pPr>
              <w:spacing w:after="0"/>
              <w:rPr>
                <w:sz w:val="1"/>
                <w:szCs w:val="1"/>
                <w:color w:val="auto"/>
              </w:rPr>
            </w:pPr>
          </w:p>
        </w:tc>
      </w:tr>
      <w:tr>
        <w:trPr>
          <w:trHeight w:val="211"/>
        </w:trPr>
        <w:tc>
          <w:tcPr>
            <w:tcW w:w="8700" w:type="dxa"/>
            <w:vAlign w:val="bottom"/>
          </w:tcPr>
          <w:p>
            <w:pPr>
              <w:ind w:left="200"/>
              <w:spacing w:after="0"/>
              <w:rPr>
                <w:sz w:val="20"/>
                <w:szCs w:val="20"/>
                <w:color w:val="auto"/>
              </w:rPr>
            </w:pPr>
            <w:r>
              <w:rPr>
                <w:rFonts w:ascii="Arial" w:cs="Arial" w:eastAsia="Arial" w:hAnsi="Arial"/>
                <w:sz w:val="18"/>
                <w:szCs w:val="18"/>
                <w:color w:val="auto"/>
              </w:rPr>
              <w:t>Reinsurance receivables, net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55,529,408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40,750,538</w:t>
            </w:r>
          </w:p>
        </w:tc>
        <w:tc>
          <w:tcPr>
            <w:tcW w:w="0" w:type="dxa"/>
            <w:vAlign w:val="bottom"/>
          </w:tcPr>
          <w:p>
            <w:pPr>
              <w:spacing w:after="0"/>
              <w:rPr>
                <w:sz w:val="1"/>
                <w:szCs w:val="1"/>
                <w:color w:val="auto"/>
              </w:rPr>
            </w:pPr>
          </w:p>
        </w:tc>
      </w:tr>
      <w:tr>
        <w:trPr>
          <w:trHeight w:val="211"/>
        </w:trPr>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policy acquisition costs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19,916,325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20,634,378</w:t>
            </w:r>
          </w:p>
        </w:tc>
        <w:tc>
          <w:tcPr>
            <w:tcW w:w="0" w:type="dxa"/>
            <w:vAlign w:val="bottom"/>
          </w:tcPr>
          <w:p>
            <w:pPr>
              <w:spacing w:after="0"/>
              <w:rPr>
                <w:sz w:val="1"/>
                <w:szCs w:val="1"/>
                <w:color w:val="auto"/>
              </w:rPr>
            </w:pPr>
          </w:p>
        </w:tc>
      </w:tr>
      <w:tr>
        <w:trPr>
          <w:trHeight w:val="211"/>
        </w:trPr>
        <w:tc>
          <w:tcPr>
            <w:tcW w:w="8700" w:type="dxa"/>
            <w:vAlign w:val="bottom"/>
          </w:tcPr>
          <w:p>
            <w:pPr>
              <w:ind w:left="20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1"/>
        </w:trPr>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7,788,633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7,620,636</w:t>
            </w:r>
          </w:p>
        </w:tc>
        <w:tc>
          <w:tcPr>
            <w:tcW w:w="0" w:type="dxa"/>
            <w:vAlign w:val="bottom"/>
          </w:tcPr>
          <w:p>
            <w:pPr>
              <w:spacing w:after="0"/>
              <w:rPr>
                <w:sz w:val="1"/>
                <w:szCs w:val="1"/>
                <w:color w:val="auto"/>
              </w:rPr>
            </w:pPr>
          </w:p>
        </w:tc>
      </w:tr>
      <w:tr>
        <w:trPr>
          <w:trHeight w:val="211"/>
        </w:trPr>
        <w:tc>
          <w:tcPr>
            <w:tcW w:w="8700" w:type="dxa"/>
            <w:vAlign w:val="bottom"/>
          </w:tcPr>
          <w:p>
            <w:pPr>
              <w:ind w:left="200"/>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311,052</w:t>
            </w:r>
          </w:p>
        </w:tc>
        <w:tc>
          <w:tcPr>
            <w:tcW w:w="0" w:type="dxa"/>
            <w:vAlign w:val="bottom"/>
          </w:tcPr>
          <w:p>
            <w:pPr>
              <w:spacing w:after="0"/>
              <w:rPr>
                <w:sz w:val="1"/>
                <w:szCs w:val="1"/>
                <w:color w:val="auto"/>
              </w:rPr>
            </w:pPr>
          </w:p>
        </w:tc>
      </w:tr>
      <w:tr>
        <w:trPr>
          <w:trHeight w:val="68"/>
        </w:trPr>
        <w:tc>
          <w:tcPr>
            <w:tcW w:w="8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40"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8,992,936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6,979,884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80" w:type="dxa"/>
            <w:vAlign w:val="bottom"/>
          </w:tcPr>
          <w:p>
            <w:pPr>
              <w:spacing w:after="0" w:line="205" w:lineRule="exact"/>
              <w:rPr>
                <w:sz w:val="20"/>
                <w:szCs w:val="20"/>
                <w:color w:val="auto"/>
              </w:rPr>
            </w:pPr>
            <w:r>
              <w:rPr>
                <w:rFonts w:ascii="Arial" w:cs="Arial" w:eastAsia="Arial" w:hAnsi="Arial"/>
                <w:sz w:val="18"/>
                <w:szCs w:val="18"/>
                <w:b w:val="1"/>
                <w:bCs w:val="1"/>
                <w:color w:val="auto"/>
              </w:rPr>
              <w:t>Total assets</w:t>
            </w:r>
          </w:p>
        </w:tc>
        <w:tc>
          <w:tcPr>
            <w:tcW w:w="16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5" w:lineRule="exact"/>
              <w:rPr>
                <w:sz w:val="20"/>
                <w:szCs w:val="20"/>
                <w:color w:val="auto"/>
              </w:rPr>
            </w:pPr>
            <w:r>
              <w:rPr>
                <w:rFonts w:ascii="Arial" w:cs="Arial" w:eastAsia="Arial" w:hAnsi="Arial"/>
                <w:sz w:val="18"/>
                <w:szCs w:val="18"/>
                <w:color w:val="auto"/>
                <w:w w:val="93"/>
              </w:rPr>
              <w:t>327,359,655</w:t>
            </w:r>
          </w:p>
        </w:tc>
        <w:tc>
          <w:tcPr>
            <w:tcW w:w="200" w:type="dxa"/>
            <w:vAlign w:val="bottom"/>
          </w:tcPr>
          <w:p>
            <w:pPr>
              <w:spacing w:after="0"/>
              <w:rPr>
                <w:sz w:val="17"/>
                <w:szCs w:val="17"/>
                <w:color w:val="auto"/>
              </w:rPr>
            </w:pPr>
          </w:p>
        </w:tc>
        <w:tc>
          <w:tcPr>
            <w:tcW w:w="16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w w:val="93"/>
              </w:rPr>
              <w:t>321,202,812</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87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and loss adjustment expense reserves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84,979,024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80,498,611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ind w:left="180"/>
              <w:spacing w:after="0"/>
              <w:rPr>
                <w:sz w:val="20"/>
                <w:szCs w:val="20"/>
                <w:color w:val="auto"/>
              </w:rPr>
            </w:pPr>
            <w:r>
              <w:rPr>
                <w:rFonts w:ascii="Arial" w:cs="Arial" w:eastAsia="Arial" w:hAnsi="Arial"/>
                <w:sz w:val="18"/>
                <w:szCs w:val="18"/>
                <w:color w:val="auto"/>
              </w:rPr>
              <w:t>Unearned premiums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88,167,636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90,383,238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 premiums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4,919,256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3,191,512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ind w:left="180"/>
              <w:spacing w:after="0"/>
              <w:rPr>
                <w:sz w:val="20"/>
                <w:szCs w:val="20"/>
                <w:color w:val="auto"/>
              </w:rPr>
            </w:pPr>
            <w:r>
              <w:rPr>
                <w:rFonts w:ascii="Arial" w:cs="Arial" w:eastAsia="Arial" w:hAnsi="Arial"/>
                <w:sz w:val="18"/>
                <w:szCs w:val="18"/>
                <w:color w:val="auto"/>
              </w:rPr>
              <w:t>Reinsurance balances payable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10,062,649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11,714,724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ceding commission revenue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7,207,142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7,735,398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ind w:left="180"/>
              <w:spacing w:after="0"/>
              <w:rPr>
                <w:sz w:val="20"/>
                <w:szCs w:val="20"/>
                <w:color w:val="auto"/>
              </w:rPr>
            </w:pPr>
            <w:r>
              <w:rPr>
                <w:rFonts w:ascii="Arial" w:cs="Arial" w:eastAsia="Arial" w:hAnsi="Arial"/>
                <w:sz w:val="18"/>
                <w:szCs w:val="18"/>
                <w:color w:val="auto"/>
              </w:rPr>
              <w:t>Accounts payable, accrued expenses and other liabilities</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11,134,175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9,986,317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1,972,782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ind w:left="180"/>
              <w:spacing w:after="0"/>
              <w:rPr>
                <w:sz w:val="20"/>
                <w:szCs w:val="20"/>
                <w:color w:val="auto"/>
              </w:rPr>
            </w:pPr>
            <w:r>
              <w:rPr>
                <w:rFonts w:ascii="Arial" w:cs="Arial" w:eastAsia="Arial" w:hAnsi="Arial"/>
                <w:sz w:val="18"/>
                <w:szCs w:val="18"/>
                <w:color w:val="auto"/>
              </w:rPr>
              <w:t>Long-term debt, net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29,603,566</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29,471,431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8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93"/>
              </w:rPr>
              <w:t>238,046,230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w w:val="93"/>
              </w:rPr>
              <w:t>232,981,231</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86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ind w:left="180"/>
              <w:spacing w:after="0"/>
              <w:rPr>
                <w:sz w:val="20"/>
                <w:szCs w:val="20"/>
                <w:color w:val="auto"/>
              </w:rPr>
            </w:pPr>
            <w:r>
              <w:rPr>
                <w:rFonts w:ascii="Arial" w:cs="Arial" w:eastAsia="Arial" w:hAnsi="Arial"/>
                <w:sz w:val="18"/>
                <w:szCs w:val="18"/>
                <w:color w:val="auto"/>
              </w:rPr>
              <w:t>Preferred stock, $.01 par value; authorized 2,500,000 shares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680" w:type="dxa"/>
            <w:vAlign w:val="bottom"/>
            <w:shd w:val="clear" w:color="auto" w:fill="CCEEFF"/>
          </w:tcPr>
          <w:p>
            <w:pPr>
              <w:ind w:left="180"/>
              <w:spacing w:after="0" w:line="199" w:lineRule="exact"/>
              <w:rPr>
                <w:sz w:val="20"/>
                <w:szCs w:val="20"/>
                <w:color w:val="auto"/>
              </w:rPr>
            </w:pPr>
            <w:r>
              <w:rPr>
                <w:rFonts w:ascii="Arial" w:cs="Arial" w:eastAsia="Arial" w:hAnsi="Arial"/>
                <w:sz w:val="18"/>
                <w:szCs w:val="18"/>
                <w:color w:val="auto"/>
                <w:w w:val="91"/>
              </w:rPr>
              <w:t>Common stock, $.01 par value; authorized 20,000,000 shares; issued 11,871,307 shares at September 30, 2020 and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11,824,889 at December 31, 2019; outstanding 10,675,198 shares at September 30, 2020 and 10,797,450 shares at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2019</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118,713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118,248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ind w:left="180"/>
              <w:spacing w:after="0"/>
              <w:rPr>
                <w:sz w:val="20"/>
                <w:szCs w:val="20"/>
                <w:color w:val="auto"/>
              </w:rPr>
            </w:pPr>
            <w:r>
              <w:rPr>
                <w:rFonts w:ascii="Arial" w:cs="Arial" w:eastAsia="Arial" w:hAnsi="Arial"/>
                <w:sz w:val="18"/>
                <w:szCs w:val="18"/>
                <w:color w:val="auto"/>
              </w:rPr>
              <w:t>Capital in excess of par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70,372,799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69,133,918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9,017,415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4,768,870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13,318,838</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16,913,097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Stockholder equity before treasury stock</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92,827,765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90,934,133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Treasury stock, at cost, 1,196,109 shares at September 30, 2020 and 1,027,439 shares at December 31, 2019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(3,514,340)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(2,712,552)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80" w:type="dxa"/>
            <w:vAlign w:val="bottom"/>
            <w:tcBorders>
              <w:top w:val="single" w:sz="8" w:color="CCEEFF"/>
            </w:tcBorders>
          </w:tcPr>
          <w:p>
            <w:pPr>
              <w:spacing w:after="0" w:line="205" w:lineRule="exact"/>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89,313,425</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88,221,581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8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327,359,655</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321,202,812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0" w:lineRule="exact"/>
        <w:rPr>
          <w:sz w:val="20"/>
          <w:szCs w:val="20"/>
          <w:color w:val="auto"/>
        </w:rPr>
      </w:pPr>
    </w:p>
    <w:p>
      <w:pPr>
        <w:ind w:left="690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54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4"/>
              </w:rPr>
              <w:t>For the Three Months Ended</w:t>
            </w:r>
          </w:p>
        </w:tc>
        <w:tc>
          <w:tcPr>
            <w:tcW w:w="254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6"/>
              </w:rPr>
              <w:t>For the Nine Months Ended</w:t>
            </w:r>
          </w:p>
        </w:tc>
      </w:tr>
      <w:tr>
        <w:trPr>
          <w:trHeight w:val="229"/>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25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292"/>
              <w:spacing w:after="0" w:line="206" w:lineRule="exact"/>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92"/>
              <w:spacing w:after="0" w:line="206" w:lineRule="exact"/>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292"/>
              <w:spacing w:after="0" w:line="206" w:lineRule="exact"/>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92"/>
              <w:spacing w:after="0" w:line="206"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r>
      <w:tr>
        <w:trPr>
          <w:trHeight w:val="415"/>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premiums earned</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27,521,081</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34,220,010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   81,099,387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95,017,178</w:t>
            </w:r>
          </w:p>
        </w:tc>
      </w:tr>
      <w:tr>
        <w:trPr>
          <w:trHeight w:val="211"/>
        </w:trPr>
        <w:tc>
          <w:tcPr>
            <w:tcW w:w="5960" w:type="dxa"/>
            <w:vAlign w:val="bottom"/>
          </w:tcPr>
          <w:p>
            <w:pPr>
              <w:ind w:left="220"/>
              <w:spacing w:after="0"/>
              <w:rPr>
                <w:sz w:val="20"/>
                <w:szCs w:val="20"/>
                <w:color w:val="auto"/>
              </w:rPr>
            </w:pPr>
            <w:r>
              <w:rPr>
                <w:rFonts w:ascii="Arial" w:cs="Arial" w:eastAsia="Arial" w:hAnsi="Arial"/>
                <w:sz w:val="18"/>
                <w:szCs w:val="18"/>
                <w:color w:val="auto"/>
              </w:rPr>
              <w:t>Ceding commission revenue</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3,448,774</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1,029,582</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10,760,087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2,982,960</w:t>
            </w:r>
          </w:p>
        </w:tc>
      </w:tr>
      <w:tr>
        <w:trPr>
          <w:trHeight w:val="211"/>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income</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1,494,086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1,856,553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4,771,936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5,200,034</w:t>
            </w:r>
          </w:p>
        </w:tc>
      </w:tr>
      <w:tr>
        <w:trPr>
          <w:trHeight w:val="211"/>
        </w:trPr>
        <w:tc>
          <w:tcPr>
            <w:tcW w:w="5960" w:type="dxa"/>
            <w:vAlign w:val="bottom"/>
          </w:tcPr>
          <w:p>
            <w:pPr>
              <w:ind w:left="220"/>
              <w:spacing w:after="0"/>
              <w:rPr>
                <w:sz w:val="20"/>
                <w:szCs w:val="20"/>
                <w:color w:val="auto"/>
              </w:rPr>
            </w:pPr>
            <w:r>
              <w:rPr>
                <w:rFonts w:ascii="Arial" w:cs="Arial" w:eastAsia="Arial" w:hAnsi="Arial"/>
                <w:sz w:val="18"/>
                <w:szCs w:val="18"/>
                <w:color w:val="auto"/>
              </w:rPr>
              <w:t>Net gains (losses) on investments</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2,107,876</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998,162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(1,638,674)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3,712,180</w:t>
            </w:r>
          </w:p>
        </w:tc>
      </w:tr>
      <w:tr>
        <w:trPr>
          <w:trHeight w:val="211"/>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250,654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343,391</w:t>
            </w: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772,672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998,927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5960" w:type="dxa"/>
            <w:vAlign w:val="bottom"/>
          </w:tcPr>
          <w:p>
            <w:pPr>
              <w:ind w:left="400"/>
              <w:spacing w:after="0" w:line="205" w:lineRule="exact"/>
              <w:rPr>
                <w:sz w:val="20"/>
                <w:szCs w:val="20"/>
                <w:color w:val="auto"/>
              </w:rPr>
            </w:pPr>
            <w:r>
              <w:rPr>
                <w:rFonts w:ascii="Arial" w:cs="Arial" w:eastAsia="Arial" w:hAnsi="Arial"/>
                <w:sz w:val="18"/>
                <w:szCs w:val="18"/>
                <w:color w:val="auto"/>
              </w:rPr>
              <w:t>Total revenues</w:t>
            </w:r>
          </w:p>
        </w:tc>
        <w:tc>
          <w:tcPr>
            <w:tcW w:w="1420" w:type="dxa"/>
            <w:vAlign w:val="bottom"/>
            <w:gridSpan w:val="3"/>
          </w:tcPr>
          <w:p>
            <w:pPr>
              <w:jc w:val="right"/>
              <w:ind w:right="200"/>
              <w:spacing w:after="0" w:line="205" w:lineRule="exact"/>
              <w:rPr>
                <w:sz w:val="20"/>
                <w:szCs w:val="20"/>
                <w:color w:val="auto"/>
              </w:rPr>
            </w:pPr>
            <w:r>
              <w:rPr>
                <w:rFonts w:ascii="Arial" w:cs="Arial" w:eastAsia="Arial" w:hAnsi="Arial"/>
                <w:sz w:val="18"/>
                <w:szCs w:val="18"/>
                <w:color w:val="auto"/>
              </w:rPr>
              <w:t>34,822,471</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w w:val="99"/>
              </w:rPr>
              <w:t>38,447,698</w:t>
            </w:r>
          </w:p>
        </w:tc>
        <w:tc>
          <w:tcPr>
            <w:tcW w:w="132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95,765,408</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w w:val="93"/>
              </w:rPr>
              <w:t>107,911,279</w:t>
            </w:r>
          </w:p>
        </w:tc>
      </w:tr>
      <w:tr>
        <w:trPr>
          <w:trHeight w:val="204"/>
        </w:trPr>
        <w:tc>
          <w:tcPr>
            <w:tcW w:w="5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and loss adjustment expenses</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20,117,975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24,781,318</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49,317,427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71,587,850</w:t>
            </w:r>
          </w:p>
        </w:tc>
      </w:tr>
      <w:tr>
        <w:trPr>
          <w:trHeight w:val="211"/>
        </w:trPr>
        <w:tc>
          <w:tcPr>
            <w:tcW w:w="5960" w:type="dxa"/>
            <w:vAlign w:val="bottom"/>
          </w:tcPr>
          <w:p>
            <w:pPr>
              <w:ind w:left="220"/>
              <w:spacing w:after="0"/>
              <w:rPr>
                <w:sz w:val="20"/>
                <w:szCs w:val="20"/>
                <w:color w:val="auto"/>
              </w:rPr>
            </w:pPr>
            <w:r>
              <w:rPr>
                <w:rFonts w:ascii="Arial" w:cs="Arial" w:eastAsia="Arial" w:hAnsi="Arial"/>
                <w:sz w:val="18"/>
                <w:szCs w:val="18"/>
                <w:color w:val="auto"/>
              </w:rPr>
              <w:t>Commission expense</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8,036,298</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7,722,825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23,652,765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21,866,420</w:t>
            </w:r>
          </w:p>
        </w:tc>
      </w:tr>
      <w:tr>
        <w:trPr>
          <w:trHeight w:val="211"/>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underwriting expenses</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6,346,846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6,430,734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19,434,110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17,983,174</w:t>
            </w:r>
          </w:p>
        </w:tc>
      </w:tr>
      <w:tr>
        <w:trPr>
          <w:trHeight w:val="211"/>
        </w:trPr>
        <w:tc>
          <w:tcPr>
            <w:tcW w:w="596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1,038,453</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609,924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3,364,483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2,647,221</w:t>
            </w:r>
          </w:p>
        </w:tc>
      </w:tr>
      <w:tr>
        <w:trPr>
          <w:trHeight w:val="211"/>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710,181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646,201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2,070,435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1,876,202</w:t>
            </w:r>
          </w:p>
        </w:tc>
      </w:tr>
      <w:tr>
        <w:trPr>
          <w:trHeight w:val="211"/>
        </w:trPr>
        <w:tc>
          <w:tcPr>
            <w:tcW w:w="59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456,545</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456,545</w:t>
            </w: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1,369,635</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1,369,635</w:t>
            </w:r>
          </w:p>
        </w:tc>
        <w:tc>
          <w:tcPr>
            <w:tcW w:w="100" w:type="dxa"/>
            <w:vAlign w:val="bottom"/>
          </w:tcPr>
          <w:p>
            <w:pPr>
              <w:spacing w:after="0"/>
              <w:rPr>
                <w:sz w:val="18"/>
                <w:szCs w:val="18"/>
                <w:color w:val="auto"/>
              </w:rPr>
            </w:pPr>
          </w:p>
        </w:tc>
      </w:tr>
      <w:tr>
        <w:trPr>
          <w:trHeight w:val="204"/>
        </w:trPr>
        <w:tc>
          <w:tcPr>
            <w:tcW w:w="5960" w:type="dxa"/>
            <w:vAlign w:val="bottom"/>
            <w:shd w:val="clear" w:color="auto" w:fill="CCEEFF"/>
          </w:tcPr>
          <w:p>
            <w:pPr>
              <w:ind w:left="400"/>
              <w:spacing w:after="0" w:line="205" w:lineRule="exact"/>
              <w:rPr>
                <w:sz w:val="20"/>
                <w:szCs w:val="20"/>
                <w:color w:val="auto"/>
              </w:rPr>
            </w:pPr>
            <w:r>
              <w:rPr>
                <w:rFonts w:ascii="Arial" w:cs="Arial" w:eastAsia="Arial" w:hAnsi="Arial"/>
                <w:sz w:val="18"/>
                <w:szCs w:val="18"/>
                <w:color w:val="auto"/>
              </w:rPr>
              <w:t>Total expenses</w:t>
            </w:r>
          </w:p>
        </w:tc>
        <w:tc>
          <w:tcPr>
            <w:tcW w:w="1420" w:type="dxa"/>
            <w:vAlign w:val="bottom"/>
            <w:gridSpan w:val="3"/>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36,706,298</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w w:val="99"/>
              </w:rPr>
              <w:t>40,647,547</w:t>
            </w:r>
          </w:p>
        </w:tc>
        <w:tc>
          <w:tcPr>
            <w:tcW w:w="132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99,208,855</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w w:val="93"/>
              </w:rPr>
              <w:t>117,330,502</w:t>
            </w:r>
          </w:p>
        </w:tc>
      </w:tr>
      <w:tr>
        <w:trPr>
          <w:trHeight w:val="204"/>
        </w:trPr>
        <w:tc>
          <w:tcPr>
            <w:tcW w:w="59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1"/>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 before income taxes</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(1,883,827)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(2,199,849)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(3,443,447)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(9,419,223)</w:t>
            </w:r>
          </w:p>
        </w:tc>
      </w:tr>
      <w:tr>
        <w:trPr>
          <w:trHeight w:val="211"/>
        </w:trPr>
        <w:tc>
          <w:tcPr>
            <w:tcW w:w="5960" w:type="dxa"/>
            <w:vAlign w:val="bottom"/>
          </w:tcPr>
          <w:p>
            <w:pPr>
              <w:ind w:left="220"/>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(655,971)</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(474,687)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(1,379,578)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(1,998,251)</w:t>
            </w: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59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(1,227,856)</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(1,725,162)</w:t>
            </w:r>
          </w:p>
        </w:tc>
        <w:tc>
          <w:tcPr>
            <w:tcW w:w="132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(2,063,869)</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(7,420,972)</w:t>
            </w:r>
          </w:p>
        </w:tc>
      </w:tr>
      <w:tr>
        <w:trPr>
          <w:trHeight w:val="204"/>
        </w:trPr>
        <w:tc>
          <w:tcPr>
            <w:tcW w:w="59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1"/>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net of tax</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change in unrealized gains on available-for-sale-securities</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1,778,478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1,323,626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5,938,600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9,191,817</w:t>
            </w:r>
          </w:p>
        </w:tc>
      </w:tr>
      <w:tr>
        <w:trPr>
          <w:trHeight w:val="211"/>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adjustment for (gains) losses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5960" w:type="dxa"/>
            <w:vAlign w:val="bottom"/>
          </w:tcPr>
          <w:p>
            <w:pPr>
              <w:ind w:left="400"/>
              <w:spacing w:after="0"/>
              <w:rPr>
                <w:sz w:val="20"/>
                <w:szCs w:val="20"/>
                <w:color w:val="auto"/>
              </w:rPr>
            </w:pPr>
            <w:r>
              <w:rPr>
                <w:rFonts w:ascii="Arial" w:cs="Arial" w:eastAsia="Arial" w:hAnsi="Arial"/>
                <w:sz w:val="18"/>
                <w:szCs w:val="18"/>
                <w:color w:val="auto"/>
              </w:rPr>
              <w:t>included in net loss</w:t>
            </w: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(606,969)</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46,841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(560,696)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81,636</w:t>
            </w:r>
          </w:p>
        </w:tc>
      </w:tr>
      <w:tr>
        <w:trPr>
          <w:trHeight w:val="204"/>
        </w:trPr>
        <w:tc>
          <w:tcPr>
            <w:tcW w:w="5960" w:type="dxa"/>
            <w:vAlign w:val="bottom"/>
            <w:shd w:val="clear" w:color="auto" w:fill="CCEEFF"/>
          </w:tcPr>
          <w:p>
            <w:pPr>
              <w:ind w:left="580"/>
              <w:spacing w:after="0" w:line="205" w:lineRule="exact"/>
              <w:rPr>
                <w:sz w:val="20"/>
                <w:szCs w:val="20"/>
                <w:color w:val="auto"/>
              </w:rPr>
            </w:pPr>
            <w:r>
              <w:rPr>
                <w:rFonts w:ascii="Arial" w:cs="Arial" w:eastAsia="Arial" w:hAnsi="Arial"/>
                <w:sz w:val="18"/>
                <w:szCs w:val="18"/>
                <w:color w:val="auto"/>
              </w:rPr>
              <w:t>Net change in unrealized gains</w:t>
            </w:r>
          </w:p>
        </w:tc>
        <w:tc>
          <w:tcPr>
            <w:tcW w:w="1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1,171,509</w:t>
            </w: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1,370,467</w:t>
            </w:r>
          </w:p>
        </w:tc>
        <w:tc>
          <w:tcPr>
            <w:tcW w:w="2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5,377,904</w:t>
            </w: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9,273,453</w:t>
            </w:r>
          </w:p>
        </w:tc>
        <w:tc>
          <w:tcPr>
            <w:tcW w:w="100" w:type="dxa"/>
            <w:vAlign w:val="bottom"/>
            <w:shd w:val="clear" w:color="auto" w:fill="CCEEFF"/>
          </w:tcPr>
          <w:p>
            <w:pPr>
              <w:spacing w:after="0"/>
              <w:rPr>
                <w:sz w:val="17"/>
                <w:szCs w:val="17"/>
                <w:color w:val="auto"/>
              </w:rPr>
            </w:pPr>
          </w:p>
        </w:tc>
      </w:tr>
      <w:tr>
        <w:trPr>
          <w:trHeight w:val="211"/>
        </w:trPr>
        <w:tc>
          <w:tcPr>
            <w:tcW w:w="5960" w:type="dxa"/>
            <w:vAlign w:val="bottom"/>
          </w:tcPr>
          <w:p>
            <w:pPr>
              <w:ind w:left="220"/>
              <w:spacing w:after="0"/>
              <w:rPr>
                <w:sz w:val="20"/>
                <w:szCs w:val="20"/>
                <w:color w:val="auto"/>
              </w:rPr>
            </w:pPr>
            <w:r>
              <w:rPr>
                <w:rFonts w:ascii="Arial" w:cs="Arial" w:eastAsia="Arial" w:hAnsi="Arial"/>
                <w:sz w:val="18"/>
                <w:szCs w:val="18"/>
                <w:color w:val="auto"/>
              </w:rPr>
              <w:t>Income tax expense related to items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5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of other comprehensive income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(246,017)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(287,798)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(1,129,359)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(1,947,424)</w:t>
            </w:r>
          </w:p>
        </w:tc>
      </w:tr>
      <w:tr>
        <w:trPr>
          <w:trHeight w:val="204"/>
        </w:trPr>
        <w:tc>
          <w:tcPr>
            <w:tcW w:w="5960" w:type="dxa"/>
            <w:vAlign w:val="bottom"/>
            <w:tcBorders>
              <w:top w:val="single" w:sz="8" w:color="CCEEFF"/>
            </w:tcBorders>
          </w:tcPr>
          <w:p>
            <w:pPr>
              <w:ind w:left="40"/>
              <w:spacing w:after="0" w:line="205" w:lineRule="exact"/>
              <w:rPr>
                <w:sz w:val="20"/>
                <w:szCs w:val="20"/>
                <w:color w:val="auto"/>
              </w:rPr>
            </w:pPr>
            <w:r>
              <w:rPr>
                <w:rFonts w:ascii="Arial" w:cs="Arial" w:eastAsia="Arial" w:hAnsi="Arial"/>
                <w:sz w:val="18"/>
                <w:szCs w:val="18"/>
                <w:b w:val="1"/>
                <w:bCs w:val="1"/>
                <w:color w:val="auto"/>
              </w:rPr>
              <w:t>Other comprehensive income, net of tax</w:t>
            </w: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925,492</w:t>
            </w: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1,082,669</w:t>
            </w: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4,248,545</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7,326,029</w:t>
            </w:r>
          </w:p>
        </w:tc>
        <w:tc>
          <w:tcPr>
            <w:tcW w:w="100" w:type="dxa"/>
            <w:vAlign w:val="bottom"/>
            <w:tcBorders>
              <w:top w:val="single" w:sz="8" w:color="CCEEFF"/>
            </w:tcBorders>
          </w:tcPr>
          <w:p>
            <w:pPr>
              <w:spacing w:after="0"/>
              <w:rPr>
                <w:sz w:val="17"/>
                <w:szCs w:val="17"/>
                <w:color w:val="auto"/>
              </w:rPr>
            </w:pPr>
          </w:p>
        </w:tc>
      </w:tr>
      <w:tr>
        <w:trPr>
          <w:trHeight w:val="180"/>
        </w:trPr>
        <w:tc>
          <w:tcPr>
            <w:tcW w:w="5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bl>
    <w:p>
      <w:pPr>
        <w:sectPr>
          <w:pgSz w:w="11900" w:h="16900" w:orient="portrait"/>
          <w:cols w:equalWidth="0" w:num="1">
            <w:col w:w="11240"/>
          </w:cols>
          <w:pgMar w:left="320" w:top="140" w:right="3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Comprehensive (loss) income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(302,364)</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(642,493)</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2,184,676</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(94,943)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restart"/>
          </w:tcPr>
          <w:p>
            <w:pPr>
              <w:spacing w:after="0"/>
              <w:rPr>
                <w:sz w:val="16"/>
                <w:szCs w:val="16"/>
                <w:color w:val="auto"/>
              </w:rPr>
            </w:pPr>
          </w:p>
        </w:tc>
        <w:tc>
          <w:tcPr>
            <w:tcW w:w="6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Earnings (loss) per common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040" w:type="dxa"/>
            <w:vAlign w:val="bottom"/>
          </w:tcPr>
          <w:p>
            <w:pPr>
              <w:ind w:left="160"/>
              <w:spacing w:after="0" w:line="191" w:lineRule="exact"/>
              <w:rPr>
                <w:sz w:val="20"/>
                <w:szCs w:val="20"/>
                <w:color w:val="auto"/>
              </w:rPr>
            </w:pPr>
            <w:r>
              <w:rPr>
                <w:rFonts w:ascii="Arial" w:cs="Arial" w:eastAsia="Arial" w:hAnsi="Arial"/>
                <w:sz w:val="18"/>
                <w:szCs w:val="18"/>
                <w:color w:val="auto"/>
              </w:rPr>
              <w:t>Diluted</w:t>
            </w:r>
          </w:p>
        </w:tc>
        <w:tc>
          <w:tcPr>
            <w:tcW w:w="200" w:type="dxa"/>
            <w:vAlign w:val="bottom"/>
          </w:tcPr>
          <w:p>
            <w:pPr>
              <w:jc w:val="right"/>
              <w:ind w:right="12"/>
              <w:spacing w:after="0" w:line="191"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line="191" w:lineRule="exact"/>
              <w:rPr>
                <w:sz w:val="20"/>
                <w:szCs w:val="20"/>
                <w:color w:val="auto"/>
              </w:rPr>
            </w:pPr>
            <w:r>
              <w:rPr>
                <w:rFonts w:ascii="Arial" w:cs="Arial" w:eastAsia="Arial" w:hAnsi="Arial"/>
                <w:sz w:val="18"/>
                <w:szCs w:val="18"/>
                <w:color w:val="auto"/>
              </w:rPr>
              <w:t>(0.12)</w:t>
            </w:r>
          </w:p>
        </w:tc>
        <w:tc>
          <w:tcPr>
            <w:tcW w:w="200" w:type="dxa"/>
            <w:vAlign w:val="bottom"/>
          </w:tcPr>
          <w:p>
            <w:pPr>
              <w:jc w:val="right"/>
              <w:ind w:right="12"/>
              <w:spacing w:after="0" w:line="191"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line="191" w:lineRule="exact"/>
              <w:rPr>
                <w:sz w:val="20"/>
                <w:szCs w:val="20"/>
                <w:color w:val="auto"/>
              </w:rPr>
            </w:pPr>
            <w:r>
              <w:rPr>
                <w:rFonts w:ascii="Arial" w:cs="Arial" w:eastAsia="Arial" w:hAnsi="Arial"/>
                <w:sz w:val="18"/>
                <w:szCs w:val="18"/>
                <w:color w:val="auto"/>
              </w:rPr>
              <w:t>(0.16)</w:t>
            </w:r>
          </w:p>
        </w:tc>
        <w:tc>
          <w:tcPr>
            <w:tcW w:w="200" w:type="dxa"/>
            <w:vAlign w:val="bottom"/>
          </w:tcPr>
          <w:p>
            <w:pPr>
              <w:jc w:val="right"/>
              <w:ind w:right="12"/>
              <w:spacing w:after="0" w:line="191"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line="191" w:lineRule="exact"/>
              <w:rPr>
                <w:sz w:val="20"/>
                <w:szCs w:val="20"/>
                <w:color w:val="auto"/>
              </w:rPr>
            </w:pPr>
            <w:r>
              <w:rPr>
                <w:rFonts w:ascii="Arial" w:cs="Arial" w:eastAsia="Arial" w:hAnsi="Arial"/>
                <w:sz w:val="18"/>
                <w:szCs w:val="18"/>
                <w:color w:val="auto"/>
              </w:rPr>
              <w:t>(0.19)</w:t>
            </w:r>
          </w:p>
        </w:tc>
        <w:tc>
          <w:tcPr>
            <w:tcW w:w="220" w:type="dxa"/>
            <w:vAlign w:val="bottom"/>
          </w:tcPr>
          <w:p>
            <w:pPr>
              <w:jc w:val="right"/>
              <w:ind w:right="32"/>
              <w:spacing w:after="0" w:line="191"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line="191" w:lineRule="exact"/>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restart"/>
          </w:tcPr>
          <w:p>
            <w:pPr>
              <w:spacing w:after="0"/>
              <w:rPr>
                <w:sz w:val="16"/>
                <w:szCs w:val="16"/>
                <w:color w:val="auto"/>
              </w:rPr>
            </w:pPr>
          </w:p>
        </w:tc>
        <w:tc>
          <w:tcPr>
            <w:tcW w:w="6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10,673,077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10,779,641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10,737,853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10,769,817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40" w:type="dxa"/>
            <w:vAlign w:val="bottom"/>
          </w:tcPr>
          <w:p>
            <w:pPr>
              <w:ind w:left="160"/>
              <w:spacing w:after="0" w:line="191" w:lineRule="exact"/>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Arial" w:cs="Arial" w:eastAsia="Arial" w:hAnsi="Arial"/>
                <w:sz w:val="18"/>
                <w:szCs w:val="18"/>
                <w:color w:val="auto"/>
                <w:w w:val="99"/>
              </w:rPr>
              <w:t>10,673,077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200"/>
              <w:spacing w:after="0" w:line="191" w:lineRule="exact"/>
              <w:rPr>
                <w:sz w:val="20"/>
                <w:szCs w:val="20"/>
                <w:color w:val="auto"/>
              </w:rPr>
            </w:pPr>
            <w:r>
              <w:rPr>
                <w:rFonts w:ascii="Arial" w:cs="Arial" w:eastAsia="Arial" w:hAnsi="Arial"/>
                <w:sz w:val="18"/>
                <w:szCs w:val="18"/>
                <w:color w:val="auto"/>
                <w:w w:val="99"/>
              </w:rPr>
              <w:t>10,779,641</w:t>
            </w:r>
          </w:p>
        </w:tc>
        <w:tc>
          <w:tcPr>
            <w:tcW w:w="200" w:type="dxa"/>
            <w:vAlign w:val="bottom"/>
          </w:tcPr>
          <w:p>
            <w:pPr>
              <w:spacing w:after="0"/>
              <w:rPr>
                <w:sz w:val="16"/>
                <w:szCs w:val="16"/>
                <w:color w:val="auto"/>
              </w:rPr>
            </w:pPr>
          </w:p>
        </w:tc>
        <w:tc>
          <w:tcPr>
            <w:tcW w:w="1120" w:type="dxa"/>
            <w:vAlign w:val="bottom"/>
            <w:gridSpan w:val="2"/>
          </w:tcPr>
          <w:p>
            <w:pPr>
              <w:jc w:val="right"/>
              <w:ind w:right="200"/>
              <w:spacing w:after="0" w:line="191" w:lineRule="exact"/>
              <w:rPr>
                <w:sz w:val="20"/>
                <w:szCs w:val="20"/>
                <w:color w:val="auto"/>
              </w:rPr>
            </w:pPr>
            <w:r>
              <w:rPr>
                <w:rFonts w:ascii="Arial" w:cs="Arial" w:eastAsia="Arial" w:hAnsi="Arial"/>
                <w:sz w:val="18"/>
                <w:szCs w:val="18"/>
                <w:color w:val="auto"/>
                <w:w w:val="99"/>
              </w:rPr>
              <w:t>10,737,853</w:t>
            </w:r>
          </w:p>
        </w:tc>
        <w:tc>
          <w:tcPr>
            <w:tcW w:w="220" w:type="dxa"/>
            <w:vAlign w:val="bottom"/>
          </w:tcPr>
          <w:p>
            <w:pPr>
              <w:spacing w:after="0"/>
              <w:rPr>
                <w:sz w:val="16"/>
                <w:szCs w:val="16"/>
                <w:color w:val="auto"/>
              </w:rPr>
            </w:pPr>
          </w:p>
        </w:tc>
        <w:tc>
          <w:tcPr>
            <w:tcW w:w="1000" w:type="dxa"/>
            <w:vAlign w:val="bottom"/>
            <w:gridSpan w:val="2"/>
          </w:tcPr>
          <w:p>
            <w:pPr>
              <w:jc w:val="right"/>
              <w:ind w:right="100"/>
              <w:spacing w:after="0" w:line="191" w:lineRule="exact"/>
              <w:rPr>
                <w:sz w:val="20"/>
                <w:szCs w:val="20"/>
                <w:color w:val="auto"/>
              </w:rPr>
            </w:pPr>
            <w:r>
              <w:rPr>
                <w:rFonts w:ascii="Arial" w:cs="Arial" w:eastAsia="Arial" w:hAnsi="Arial"/>
                <w:sz w:val="18"/>
                <w:szCs w:val="18"/>
                <w:color w:val="auto"/>
                <w:w w:val="97"/>
              </w:rPr>
              <w:t>10,769,817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restart"/>
          </w:tcPr>
          <w:p>
            <w:pPr>
              <w:spacing w:after="0"/>
              <w:rPr>
                <w:sz w:val="16"/>
                <w:szCs w:val="16"/>
                <w:color w:val="auto"/>
              </w:rPr>
            </w:pPr>
          </w:p>
        </w:tc>
        <w:tc>
          <w:tcPr>
            <w:tcW w:w="6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Dividends declared and paid per common share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0.0400</w:t>
            </w:r>
          </w:p>
        </w:tc>
        <w:tc>
          <w:tcPr>
            <w:tcW w:w="2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0.0625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0.1425</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54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0"/>
              </w:rPr>
              <w:t>Accumulated</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8"/>
                <w:szCs w:val="18"/>
                <w:color w:val="auto"/>
                <w:w w:val="92"/>
              </w:rPr>
              <w:t>Preferred Stock</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gridSpan w:val="5"/>
            <w:vMerge w:val="restart"/>
          </w:tcPr>
          <w:p>
            <w:pPr>
              <w:jc w:val="right"/>
              <w:ind w:right="40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9"/>
                <w:szCs w:val="19"/>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Capital</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center"/>
              <w:ind w:right="172"/>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in Excess</w:t>
            </w:r>
          </w:p>
        </w:tc>
        <w:tc>
          <w:tcPr>
            <w:tcW w:w="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7"/>
              </w:rPr>
              <w:t>Comprehensive</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Retained</w:t>
            </w:r>
          </w:p>
        </w:tc>
        <w:tc>
          <w:tcPr>
            <w:tcW w:w="80" w:type="dxa"/>
            <w:vAlign w:val="bottom"/>
          </w:tcPr>
          <w:p>
            <w:pPr>
              <w:spacing w:after="0"/>
              <w:rPr>
                <w:sz w:val="18"/>
                <w:szCs w:val="18"/>
                <w:color w:val="auto"/>
              </w:rPr>
            </w:pPr>
          </w:p>
        </w:tc>
        <w:tc>
          <w:tcPr>
            <w:tcW w:w="1920" w:type="dxa"/>
            <w:vAlign w:val="bottom"/>
            <w:gridSpan w:val="4"/>
          </w:tcPr>
          <w:p>
            <w:pPr>
              <w:jc w:val="right"/>
              <w:ind w:right="480"/>
              <w:spacing w:after="0"/>
              <w:rPr>
                <w:sz w:val="20"/>
                <w:szCs w:val="20"/>
                <w:color w:val="auto"/>
              </w:rPr>
            </w:pPr>
            <w:r>
              <w:rPr>
                <w:rFonts w:ascii="Arial" w:cs="Arial" w:eastAsia="Arial" w:hAnsi="Arial"/>
                <w:sz w:val="18"/>
                <w:szCs w:val="18"/>
                <w:color w:val="auto"/>
              </w:rPr>
              <w:t>Treasury Stock</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32"/>
              <w:spacing w:after="0" w:line="205" w:lineRule="exact"/>
              <w:rPr>
                <w:sz w:val="20"/>
                <w:szCs w:val="20"/>
                <w:color w:val="auto"/>
              </w:rPr>
            </w:pPr>
            <w:r>
              <w:rPr>
                <w:rFonts w:ascii="Arial" w:cs="Arial" w:eastAsia="Arial" w:hAnsi="Arial"/>
                <w:sz w:val="18"/>
                <w:szCs w:val="18"/>
                <w:color w:val="auto"/>
                <w:w w:val="80"/>
              </w:rPr>
              <w:t>Shares</w:t>
            </w:r>
          </w:p>
        </w:tc>
        <w:tc>
          <w:tcPr>
            <w:tcW w:w="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gridSpan w:val="2"/>
          </w:tcPr>
          <w:p>
            <w:pPr>
              <w:spacing w:after="0" w:line="205" w:lineRule="exact"/>
              <w:rPr>
                <w:sz w:val="20"/>
                <w:szCs w:val="20"/>
                <w:color w:val="auto"/>
              </w:rPr>
            </w:pPr>
            <w:r>
              <w:rPr>
                <w:rFonts w:ascii="Arial" w:cs="Arial" w:eastAsia="Arial" w:hAnsi="Arial"/>
                <w:sz w:val="18"/>
                <w:szCs w:val="18"/>
                <w:color w:val="auto"/>
              </w:rPr>
              <w:t>Amount</w:t>
            </w:r>
          </w:p>
        </w:tc>
        <w:tc>
          <w:tcPr>
            <w:tcW w:w="20" w:type="dxa"/>
            <w:vAlign w:val="bottom"/>
            <w:tcBorders>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12"/>
              <w:spacing w:after="0" w:line="205" w:lineRule="exact"/>
              <w:rPr>
                <w:sz w:val="20"/>
                <w:szCs w:val="20"/>
                <w:color w:val="auto"/>
              </w:rPr>
            </w:pPr>
            <w:r>
              <w:rPr>
                <w:rFonts w:ascii="Arial" w:cs="Arial" w:eastAsia="Arial" w:hAnsi="Arial"/>
                <w:sz w:val="18"/>
                <w:szCs w:val="18"/>
                <w:color w:val="auto"/>
              </w:rPr>
              <w:t>Shares</w:t>
            </w: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9"/>
              </w:rPr>
              <w:t>Amount</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spacing w:after="0" w:line="204" w:lineRule="exact"/>
              <w:rPr>
                <w:sz w:val="20"/>
                <w:szCs w:val="20"/>
                <w:color w:val="auto"/>
              </w:rPr>
            </w:pPr>
            <w:r>
              <w:rPr>
                <w:rFonts w:ascii="Arial" w:cs="Arial" w:eastAsia="Arial" w:hAnsi="Arial"/>
                <w:sz w:val="18"/>
                <w:szCs w:val="18"/>
                <w:color w:val="auto"/>
                <w:w w:val="91"/>
              </w:rPr>
              <w:t>of Par</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72"/>
              <w:spacing w:after="0" w:line="204" w:lineRule="exact"/>
              <w:rPr>
                <w:sz w:val="20"/>
                <w:szCs w:val="20"/>
                <w:color w:val="auto"/>
              </w:rPr>
            </w:pPr>
            <w:r>
              <w:rPr>
                <w:rFonts w:ascii="Arial" w:cs="Arial" w:eastAsia="Arial" w:hAnsi="Arial"/>
                <w:sz w:val="18"/>
                <w:szCs w:val="18"/>
                <w:color w:val="auto"/>
                <w:w w:val="88"/>
              </w:rPr>
              <w:t>Income</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
              <w:spacing w:after="0" w:line="204" w:lineRule="exact"/>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52"/>
              <w:spacing w:after="0" w:line="204" w:lineRule="exact"/>
              <w:rPr>
                <w:sz w:val="20"/>
                <w:szCs w:val="20"/>
                <w:color w:val="auto"/>
              </w:rPr>
            </w:pPr>
            <w:r>
              <w:rPr>
                <w:rFonts w:ascii="Arial" w:cs="Arial" w:eastAsia="Arial" w:hAnsi="Arial"/>
                <w:sz w:val="18"/>
                <w:szCs w:val="18"/>
                <w:color w:val="auto"/>
              </w:rPr>
              <w:t>Shares</w:t>
            </w: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2"/>
              <w:spacing w:after="0" w:line="204" w:lineRule="exact"/>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260"/>
              <w:spacing w:after="0" w:line="204"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Balance, July 1,</w:t>
            </w:r>
          </w:p>
        </w:tc>
        <w:tc>
          <w:tcPr>
            <w:tcW w:w="780" w:type="dxa"/>
            <w:vAlign w:val="bottom"/>
            <w:tcBorders>
              <w:right w:val="single" w:sz="8" w:color="CCEEFF"/>
            </w:tcBorders>
            <w:gridSpan w:val="2"/>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80" w:type="dxa"/>
            <w:vAlign w:val="bottom"/>
            <w:tcBorders>
              <w:right w:val="single" w:sz="8" w:color="CCEEFF"/>
            </w:tcBorders>
            <w:gridSpan w:val="2"/>
            <w:vMerge w:val="continue"/>
            <w:shd w:val="clear" w:color="auto" w:fill="CCEEFF"/>
          </w:tcPr>
          <w:p>
            <w:pPr>
              <w:spacing w:after="0"/>
              <w:rPr>
                <w:sz w:val="19"/>
                <w:szCs w:val="19"/>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11,802,087</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$118,020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$68,373,590</w:t>
            </w: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3,359,047</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$18,531,657</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1,027,439</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$(2,712,552)</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87,669,762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80" w:type="dxa"/>
            <w:vAlign w:val="bottom"/>
          </w:tcPr>
          <w:p>
            <w:pPr>
              <w:spacing w:after="0" w:line="199" w:lineRule="exact"/>
              <w:rPr>
                <w:sz w:val="20"/>
                <w:szCs w:val="20"/>
                <w:color w:val="auto"/>
              </w:rPr>
            </w:pPr>
            <w:r>
              <w:rPr>
                <w:rFonts w:ascii="Arial" w:cs="Arial" w:eastAsia="Arial" w:hAnsi="Arial"/>
                <w:sz w:val="18"/>
                <w:szCs w:val="18"/>
                <w:color w:val="auto"/>
              </w:rPr>
              <w:t>Stock-based</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0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407,714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407,714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Vesting of</w:t>
            </w: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awards</w:t>
            </w:r>
          </w:p>
        </w:tc>
        <w:tc>
          <w:tcPr>
            <w:tcW w:w="780" w:type="dxa"/>
            <w:vAlign w:val="bottom"/>
            <w:tcBorders>
              <w:right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12,050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80" w:type="dxa"/>
            <w:vAlign w:val="bottom"/>
          </w:tcPr>
          <w:p>
            <w:pPr>
              <w:spacing w:after="0" w:line="199" w:lineRule="exact"/>
              <w:rPr>
                <w:sz w:val="20"/>
                <w:szCs w:val="20"/>
                <w:color w:val="auto"/>
              </w:rPr>
            </w:pPr>
            <w:r>
              <w:rPr>
                <w:rFonts w:ascii="Arial" w:cs="Arial" w:eastAsia="Arial" w:hAnsi="Arial"/>
                <w:sz w:val="18"/>
                <w:szCs w:val="18"/>
                <w:color w:val="auto"/>
                <w:w w:val="99"/>
              </w:rPr>
              <w:t>Shares deducted</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00" w:type="dxa"/>
            <w:vAlign w:val="bottom"/>
            <w:gridSpan w:val="2"/>
          </w:tcPr>
          <w:p>
            <w:pPr>
              <w:spacing w:after="0"/>
              <w:rPr>
                <w:sz w:val="20"/>
                <w:szCs w:val="20"/>
                <w:color w:val="auto"/>
              </w:rPr>
            </w:pPr>
            <w:r>
              <w:rPr>
                <w:rFonts w:ascii="Arial" w:cs="Arial" w:eastAsia="Arial" w:hAnsi="Arial"/>
                <w:sz w:val="18"/>
                <w:szCs w:val="18"/>
                <w:color w:val="auto"/>
              </w:rPr>
              <w:t>from restricted</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00" w:type="dxa"/>
            <w:vAlign w:val="bottom"/>
            <w:gridSpan w:val="2"/>
          </w:tcPr>
          <w:p>
            <w:pPr>
              <w:spacing w:after="0"/>
              <w:rPr>
                <w:sz w:val="20"/>
                <w:szCs w:val="20"/>
                <w:color w:val="auto"/>
              </w:rPr>
            </w:pPr>
            <w:r>
              <w:rPr>
                <w:rFonts w:ascii="Arial" w:cs="Arial" w:eastAsia="Arial" w:hAnsi="Arial"/>
                <w:sz w:val="18"/>
                <w:szCs w:val="18"/>
                <w:color w:val="auto"/>
              </w:rPr>
              <w:t>stock awards for</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00" w:type="dxa"/>
            <w:vAlign w:val="bottom"/>
            <w:gridSpan w:val="2"/>
          </w:tcPr>
          <w:p>
            <w:pPr>
              <w:spacing w:after="0"/>
              <w:rPr>
                <w:sz w:val="20"/>
                <w:szCs w:val="20"/>
                <w:color w:val="auto"/>
              </w:rPr>
            </w:pPr>
            <w:r>
              <w:rPr>
                <w:rFonts w:ascii="Arial" w:cs="Arial" w:eastAsia="Arial" w:hAnsi="Arial"/>
                <w:sz w:val="18"/>
                <w:szCs w:val="18"/>
                <w:color w:val="auto"/>
              </w:rPr>
              <w:t>payment of</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00" w:type="dxa"/>
            <w:vAlign w:val="bottom"/>
            <w:gridSpan w:val="2"/>
          </w:tcPr>
          <w:p>
            <w:pPr>
              <w:spacing w:after="0"/>
              <w:rPr>
                <w:sz w:val="20"/>
                <w:szCs w:val="20"/>
                <w:color w:val="auto"/>
              </w:rPr>
            </w:pPr>
            <w:r>
              <w:rPr>
                <w:rFonts w:ascii="Arial" w:cs="Arial" w:eastAsia="Arial" w:hAnsi="Arial"/>
                <w:sz w:val="18"/>
                <w:szCs w:val="18"/>
                <w:color w:val="auto"/>
                <w:w w:val="99"/>
              </w:rPr>
              <w:t>withholding taxes</w:t>
            </w:r>
          </w:p>
        </w:tc>
        <w:tc>
          <w:tcPr>
            <w:tcW w:w="7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(3,126)</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(25,408)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(25,438)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(637,927)</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(637,927)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(1,725,162)</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(1,725,162)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Change in</w:t>
            </w: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on available-for-</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1"/>
              </w:rPr>
              <w:t>sale securities, net</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CCEEFF"/>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1,082,669</w:t>
            </w:r>
          </w:p>
        </w:tc>
        <w:tc>
          <w:tcPr>
            <w:tcW w:w="10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1,082,669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of tax</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vMerge w:val="continue"/>
            <w:shd w:val="clear" w:color="auto" w:fill="CCEEFF"/>
          </w:tcPr>
          <w:p>
            <w:pPr>
              <w:spacing w:after="0"/>
              <w:rPr>
                <w:sz w:val="18"/>
                <w:szCs w:val="18"/>
                <w:color w:val="auto"/>
              </w:rPr>
            </w:pPr>
          </w:p>
        </w:tc>
        <w:tc>
          <w:tcPr>
            <w:tcW w:w="108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tcBorders>
              <w:top w:val="single" w:sz="8" w:color="CCEEFF"/>
            </w:tcBorders>
          </w:tcPr>
          <w:p>
            <w:pPr>
              <w:spacing w:after="0" w:line="192" w:lineRule="exact"/>
              <w:rPr>
                <w:sz w:val="20"/>
                <w:szCs w:val="20"/>
                <w:color w:val="auto"/>
              </w:rPr>
            </w:pPr>
            <w:r>
              <w:rPr>
                <w:rFonts w:ascii="Arial" w:cs="Arial" w:eastAsia="Arial" w:hAnsi="Arial"/>
                <w:sz w:val="18"/>
                <w:szCs w:val="18"/>
                <w:color w:val="auto"/>
              </w:rPr>
              <w:t>Balance,</w:t>
            </w: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400" w:type="dxa"/>
            <w:vAlign w:val="bottom"/>
            <w:gridSpan w:val="2"/>
          </w:tcPr>
          <w:p>
            <w:pPr>
              <w:spacing w:after="0"/>
              <w:rPr>
                <w:sz w:val="20"/>
                <w:szCs w:val="20"/>
                <w:color w:val="auto"/>
              </w:rPr>
            </w:pPr>
            <w:r>
              <w:rPr>
                <w:rFonts w:ascii="Arial" w:cs="Arial" w:eastAsia="Arial" w:hAnsi="Arial"/>
                <w:sz w:val="18"/>
                <w:szCs w:val="18"/>
                <w:color w:val="auto"/>
              </w:rPr>
              <w:t>September 30,</w:t>
            </w:r>
          </w:p>
        </w:tc>
        <w:tc>
          <w:tcPr>
            <w:tcW w:w="780" w:type="dxa"/>
            <w:vAlign w:val="bottom"/>
            <w:gridSpan w:val="2"/>
            <w:vMerge w:val="restart"/>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3"/>
              </w:rPr>
              <w:t>11,811,011</w:t>
            </w:r>
          </w:p>
        </w:tc>
        <w:tc>
          <w:tcPr>
            <w:tcW w:w="8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w w:val="92"/>
              </w:rPr>
              <w:t>$ 118,110</w:t>
            </w:r>
          </w:p>
        </w:tc>
        <w:tc>
          <w:tcPr>
            <w:tcW w:w="1060" w:type="dxa"/>
            <w:vAlign w:val="bottom"/>
            <w:gridSpan w:val="3"/>
            <w:vMerge w:val="restart"/>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68,755,776</w:t>
            </w:r>
          </w:p>
        </w:tc>
        <w:tc>
          <w:tcPr>
            <w:tcW w:w="280" w:type="dxa"/>
            <w:vAlign w:val="bottom"/>
            <w:gridSpan w:val="2"/>
            <w:vMerge w:val="restart"/>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4,441,716</w:t>
            </w:r>
          </w:p>
        </w:tc>
        <w:tc>
          <w:tcPr>
            <w:tcW w:w="1080" w:type="dxa"/>
            <w:vAlign w:val="bottom"/>
            <w:gridSpan w:val="3"/>
            <w:vMerge w:val="restart"/>
          </w:tcPr>
          <w:p>
            <w:pPr>
              <w:jc w:val="right"/>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16,168,568</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1,027,439</w:t>
            </w:r>
          </w:p>
        </w:tc>
        <w:tc>
          <w:tcPr>
            <w:tcW w:w="1060" w:type="dxa"/>
            <w:vAlign w:val="bottom"/>
            <w:gridSpan w:val="3"/>
            <w:vMerge w:val="restart"/>
          </w:tcPr>
          <w:p>
            <w:pPr>
              <w:jc w:val="right"/>
              <w:ind w:right="4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(2,712,552)</w:t>
            </w:r>
          </w:p>
        </w:tc>
        <w:tc>
          <w:tcPr>
            <w:tcW w:w="1060" w:type="dxa"/>
            <w:vAlign w:val="bottom"/>
            <w:gridSpan w:val="3"/>
            <w:vMerge w:val="restart"/>
          </w:tcPr>
          <w:p>
            <w:pPr>
              <w:jc w:val="right"/>
              <w:ind w:right="8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86,771,618</w:t>
            </w:r>
          </w:p>
        </w:tc>
        <w:tc>
          <w:tcPr>
            <w:tcW w:w="0" w:type="dxa"/>
            <w:vAlign w:val="bottom"/>
          </w:tcPr>
          <w:p>
            <w:pPr>
              <w:spacing w:after="0"/>
              <w:rPr>
                <w:sz w:val="1"/>
                <w:szCs w:val="1"/>
                <w:color w:val="auto"/>
              </w:rPr>
            </w:pPr>
          </w:p>
        </w:tc>
      </w:tr>
      <w:tr>
        <w:trPr>
          <w:trHeight w:val="184"/>
        </w:trPr>
        <w:tc>
          <w:tcPr>
            <w:tcW w:w="1400" w:type="dxa"/>
            <w:vAlign w:val="bottom"/>
            <w:gridSpan w:val="2"/>
          </w:tcPr>
          <w:p>
            <w:pPr>
              <w:spacing w:after="0" w:line="184" w:lineRule="exact"/>
              <w:rPr>
                <w:sz w:val="20"/>
                <w:szCs w:val="20"/>
                <w:color w:val="auto"/>
              </w:rPr>
            </w:pPr>
            <w:r>
              <w:rPr>
                <w:rFonts w:ascii="Arial" w:cs="Arial" w:eastAsia="Arial" w:hAnsi="Arial"/>
                <w:sz w:val="18"/>
                <w:szCs w:val="18"/>
                <w:color w:val="auto"/>
              </w:rPr>
              <w:t>2019</w:t>
            </w:r>
          </w:p>
        </w:tc>
        <w:tc>
          <w:tcPr>
            <w:tcW w:w="78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0"/>
              </w:rPr>
              <w:t>Accumulated</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8"/>
                <w:szCs w:val="18"/>
                <w:color w:val="auto"/>
                <w:w w:val="94"/>
              </w:rPr>
              <w:t>Preferred Stock</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gridSpan w:val="5"/>
            <w:vMerge w:val="restart"/>
          </w:tcPr>
          <w:p>
            <w:pPr>
              <w:jc w:val="right"/>
              <w:ind w:right="40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9"/>
                <w:szCs w:val="19"/>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Capital</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center"/>
              <w:ind w:right="172"/>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4"/>
            <w:vMerge w:val="restart"/>
          </w:tcPr>
          <w:p>
            <w:pPr>
              <w:jc w:val="right"/>
              <w:ind w:right="480"/>
              <w:spacing w:after="0"/>
              <w:rPr>
                <w:sz w:val="20"/>
                <w:szCs w:val="20"/>
                <w:color w:val="auto"/>
              </w:rPr>
            </w:pPr>
            <w:r>
              <w:rPr>
                <w:rFonts w:ascii="Arial" w:cs="Arial" w:eastAsia="Arial" w:hAnsi="Arial"/>
                <w:sz w:val="18"/>
                <w:szCs w:val="18"/>
                <w:color w:val="auto"/>
              </w:rPr>
              <w:t>Treasury Stock</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in Excess</w:t>
            </w:r>
          </w:p>
        </w:tc>
        <w:tc>
          <w:tcPr>
            <w:tcW w:w="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7"/>
              </w:rPr>
              <w:t>Comprehensive</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Retained</w:t>
            </w:r>
          </w:p>
        </w:tc>
        <w:tc>
          <w:tcPr>
            <w:tcW w:w="80" w:type="dxa"/>
            <w:vAlign w:val="bottom"/>
          </w:tcPr>
          <w:p>
            <w:pPr>
              <w:spacing w:after="0"/>
              <w:rPr>
                <w:sz w:val="18"/>
                <w:szCs w:val="18"/>
                <w:color w:val="auto"/>
              </w:rPr>
            </w:pPr>
          </w:p>
        </w:tc>
        <w:tc>
          <w:tcPr>
            <w:tcW w:w="192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tcBorders>
          </w:tcPr>
          <w:p>
            <w:pPr>
              <w:jc w:val="right"/>
              <w:ind w:right="112"/>
              <w:spacing w:after="0" w:line="205" w:lineRule="exact"/>
              <w:rPr>
                <w:sz w:val="20"/>
                <w:szCs w:val="20"/>
                <w:color w:val="auto"/>
              </w:rPr>
            </w:pPr>
            <w:r>
              <w:rPr>
                <w:rFonts w:ascii="Arial" w:cs="Arial" w:eastAsia="Arial" w:hAnsi="Arial"/>
                <w:sz w:val="18"/>
                <w:szCs w:val="18"/>
                <w:color w:val="auto"/>
                <w:w w:val="84"/>
              </w:rPr>
              <w:t>Shares</w:t>
            </w:r>
          </w:p>
        </w:tc>
        <w:tc>
          <w:tcPr>
            <w:tcW w:w="780" w:type="dxa"/>
            <w:vAlign w:val="bottom"/>
            <w:tcBorders>
              <w:top w:val="single" w:sz="8" w:color="auto"/>
            </w:tcBorders>
            <w:gridSpan w:val="3"/>
          </w:tcPr>
          <w:p>
            <w:pPr>
              <w:ind w:left="20"/>
              <w:spacing w:after="0" w:line="205" w:lineRule="exact"/>
              <w:rPr>
                <w:sz w:val="20"/>
                <w:szCs w:val="20"/>
                <w:color w:val="auto"/>
              </w:rPr>
            </w:pPr>
            <w:r>
              <w:rPr>
                <w:rFonts w:ascii="Arial" w:cs="Arial" w:eastAsia="Arial" w:hAnsi="Arial"/>
                <w:sz w:val="18"/>
                <w:szCs w:val="18"/>
                <w:color w:val="auto"/>
              </w:rPr>
              <w:t>Amount</w:t>
            </w:r>
          </w:p>
        </w:tc>
        <w:tc>
          <w:tcPr>
            <w:tcW w:w="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ind w:right="280"/>
              <w:spacing w:after="0" w:line="205" w:lineRule="exact"/>
              <w:rPr>
                <w:sz w:val="20"/>
                <w:szCs w:val="20"/>
                <w:color w:val="auto"/>
              </w:rPr>
            </w:pPr>
            <w:r>
              <w:rPr>
                <w:rFonts w:ascii="Arial" w:cs="Arial" w:eastAsia="Arial" w:hAnsi="Arial"/>
                <w:sz w:val="18"/>
                <w:szCs w:val="18"/>
                <w:color w:val="auto"/>
              </w:rPr>
              <w:t>Shares</w:t>
            </w: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w w:val="99"/>
              </w:rPr>
              <w:t>Amount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100"/>
              <w:spacing w:after="0" w:line="204" w:lineRule="exact"/>
              <w:rPr>
                <w:sz w:val="20"/>
                <w:szCs w:val="20"/>
                <w:color w:val="auto"/>
              </w:rPr>
            </w:pPr>
            <w:r>
              <w:rPr>
                <w:rFonts w:ascii="Arial" w:cs="Arial" w:eastAsia="Arial" w:hAnsi="Arial"/>
                <w:sz w:val="18"/>
                <w:szCs w:val="18"/>
                <w:color w:val="auto"/>
                <w:w w:val="91"/>
              </w:rPr>
              <w:t>of Par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center"/>
              <w:ind w:right="172"/>
              <w:spacing w:after="0" w:line="204" w:lineRule="exact"/>
              <w:rPr>
                <w:sz w:val="20"/>
                <w:szCs w:val="20"/>
                <w:color w:val="auto"/>
              </w:rPr>
            </w:pPr>
            <w:r>
              <w:rPr>
                <w:rFonts w:ascii="Arial" w:cs="Arial" w:eastAsia="Arial" w:hAnsi="Arial"/>
                <w:sz w:val="18"/>
                <w:szCs w:val="18"/>
                <w:color w:val="auto"/>
                <w:w w:val="88"/>
              </w:rPr>
              <w:t>Income</w:t>
            </w:r>
          </w:p>
        </w:tc>
        <w:tc>
          <w:tcPr>
            <w:tcW w:w="80" w:type="dxa"/>
            <w:vAlign w:val="bottom"/>
          </w:tcPr>
          <w:p>
            <w:pPr>
              <w:spacing w:after="0"/>
              <w:rPr>
                <w:sz w:val="17"/>
                <w:szCs w:val="17"/>
                <w:color w:val="auto"/>
              </w:rPr>
            </w:pPr>
          </w:p>
        </w:tc>
        <w:tc>
          <w:tcPr>
            <w:tcW w:w="1000" w:type="dxa"/>
            <w:vAlign w:val="bottom"/>
            <w:gridSpan w:val="2"/>
          </w:tcPr>
          <w:p>
            <w:pPr>
              <w:jc w:val="right"/>
              <w:ind w:right="220"/>
              <w:spacing w:after="0" w:line="204" w:lineRule="exact"/>
              <w:rPr>
                <w:sz w:val="20"/>
                <w:szCs w:val="20"/>
                <w:color w:val="auto"/>
              </w:rPr>
            </w:pPr>
            <w:r>
              <w:rPr>
                <w:rFonts w:ascii="Arial" w:cs="Arial" w:eastAsia="Arial" w:hAnsi="Arial"/>
                <w:sz w:val="18"/>
                <w:szCs w:val="18"/>
                <w:color w:val="auto"/>
              </w:rPr>
              <w:t>Earnings</w:t>
            </w:r>
          </w:p>
        </w:tc>
        <w:tc>
          <w:tcPr>
            <w:tcW w:w="80" w:type="dxa"/>
            <w:vAlign w:val="bottom"/>
          </w:tcPr>
          <w:p>
            <w:pPr>
              <w:spacing w:after="0"/>
              <w:rPr>
                <w:sz w:val="17"/>
                <w:szCs w:val="17"/>
                <w:color w:val="auto"/>
              </w:rPr>
            </w:pPr>
          </w:p>
        </w:tc>
        <w:tc>
          <w:tcPr>
            <w:tcW w:w="860" w:type="dxa"/>
            <w:vAlign w:val="bottom"/>
            <w:tcBorders>
              <w:top w:val="single" w:sz="8" w:color="auto"/>
            </w:tcBorders>
          </w:tcPr>
          <w:p>
            <w:pPr>
              <w:jc w:val="right"/>
              <w:ind w:right="152"/>
              <w:spacing w:after="0" w:line="205" w:lineRule="exact"/>
              <w:rPr>
                <w:sz w:val="20"/>
                <w:szCs w:val="20"/>
                <w:color w:val="auto"/>
              </w:rPr>
            </w:pPr>
            <w:r>
              <w:rPr>
                <w:rFonts w:ascii="Arial" w:cs="Arial" w:eastAsia="Arial" w:hAnsi="Arial"/>
                <w:sz w:val="18"/>
                <w:szCs w:val="18"/>
                <w:color w:val="auto"/>
              </w:rPr>
              <w:t>Shares</w:t>
            </w: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52"/>
              <w:spacing w:after="0" w:line="205" w:lineRule="exact"/>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ind w:left="260"/>
              <w:spacing w:after="0" w:line="204"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Balance, July 1,</w:t>
            </w:r>
          </w:p>
        </w:tc>
        <w:tc>
          <w:tcPr>
            <w:tcW w:w="80" w:type="dxa"/>
            <w:vAlign w:val="bottom"/>
            <w:shd w:val="clear" w:color="auto" w:fill="CCEEFF"/>
          </w:tcPr>
          <w:p>
            <w:pPr>
              <w:spacing w:after="0"/>
              <w:rPr>
                <w:sz w:val="16"/>
                <w:szCs w:val="16"/>
                <w:color w:val="auto"/>
              </w:rPr>
            </w:pPr>
          </w:p>
        </w:tc>
        <w:tc>
          <w:tcPr>
            <w:tcW w:w="700" w:type="dxa"/>
            <w:vAlign w:val="bottom"/>
            <w:tcBorders>
              <w:top w:val="single" w:sz="8" w:color="auto"/>
              <w:right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right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8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240" w:type="dxa"/>
            <w:vAlign w:val="bottom"/>
            <w:tcBorders>
              <w:righ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11,866,254</w:t>
            </w:r>
          </w:p>
        </w:tc>
        <w:tc>
          <w:tcPr>
            <w:tcW w:w="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$118,662</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$69,951,549</w:t>
            </w: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8,091,923</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$14,973,684</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1,196,109</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$(3,514,340)</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$89,621,478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80" w:type="dxa"/>
            <w:vAlign w:val="bottom"/>
          </w:tcPr>
          <w:p>
            <w:pPr>
              <w:spacing w:after="0" w:line="199" w:lineRule="exact"/>
              <w:rPr>
                <w:sz w:val="20"/>
                <w:szCs w:val="20"/>
                <w:color w:val="auto"/>
              </w:rPr>
            </w:pPr>
            <w:r>
              <w:rPr>
                <w:rFonts w:ascii="Arial" w:cs="Arial" w:eastAsia="Arial" w:hAnsi="Arial"/>
                <w:sz w:val="18"/>
                <w:szCs w:val="18"/>
                <w:color w:val="auto"/>
              </w:rPr>
              <w:t>Stock-based</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0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7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430,896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430,896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Vesting of</w:t>
            </w: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awards</w:t>
            </w:r>
          </w:p>
        </w:tc>
        <w:tc>
          <w:tcPr>
            <w:tcW w:w="78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w:t>
            </w:r>
          </w:p>
        </w:tc>
        <w:tc>
          <w:tcPr>
            <w:tcW w:w="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80" w:type="dxa"/>
            <w:vAlign w:val="bottom"/>
          </w:tcPr>
          <w:p>
            <w:pPr>
              <w:spacing w:after="0" w:line="199" w:lineRule="exact"/>
              <w:rPr>
                <w:sz w:val="20"/>
                <w:szCs w:val="20"/>
                <w:color w:val="auto"/>
              </w:rPr>
            </w:pPr>
            <w:r>
              <w:rPr>
                <w:rFonts w:ascii="Arial" w:cs="Arial" w:eastAsia="Arial" w:hAnsi="Arial"/>
                <w:sz w:val="18"/>
                <w:szCs w:val="18"/>
                <w:color w:val="auto"/>
                <w:w w:val="99"/>
              </w:rPr>
              <w:t>Shares deducted</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00" w:type="dxa"/>
            <w:vAlign w:val="bottom"/>
            <w:gridSpan w:val="2"/>
          </w:tcPr>
          <w:p>
            <w:pPr>
              <w:spacing w:after="0"/>
              <w:rPr>
                <w:sz w:val="20"/>
                <w:szCs w:val="20"/>
                <w:color w:val="auto"/>
              </w:rPr>
            </w:pPr>
            <w:r>
              <w:rPr>
                <w:rFonts w:ascii="Arial" w:cs="Arial" w:eastAsia="Arial" w:hAnsi="Arial"/>
                <w:sz w:val="18"/>
                <w:szCs w:val="18"/>
                <w:color w:val="auto"/>
              </w:rPr>
              <w:t>from restricted</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00" w:type="dxa"/>
            <w:vAlign w:val="bottom"/>
            <w:gridSpan w:val="2"/>
          </w:tcPr>
          <w:p>
            <w:pPr>
              <w:spacing w:after="0"/>
              <w:rPr>
                <w:sz w:val="20"/>
                <w:szCs w:val="20"/>
                <w:color w:val="auto"/>
              </w:rPr>
            </w:pPr>
            <w:r>
              <w:rPr>
                <w:rFonts w:ascii="Arial" w:cs="Arial" w:eastAsia="Arial" w:hAnsi="Arial"/>
                <w:sz w:val="18"/>
                <w:szCs w:val="18"/>
                <w:color w:val="auto"/>
              </w:rPr>
              <w:t>stock awards for</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00" w:type="dxa"/>
            <w:vAlign w:val="bottom"/>
            <w:gridSpan w:val="2"/>
          </w:tcPr>
          <w:p>
            <w:pPr>
              <w:spacing w:after="0"/>
              <w:rPr>
                <w:sz w:val="20"/>
                <w:szCs w:val="20"/>
                <w:color w:val="auto"/>
              </w:rPr>
            </w:pPr>
            <w:r>
              <w:rPr>
                <w:rFonts w:ascii="Arial" w:cs="Arial" w:eastAsia="Arial" w:hAnsi="Arial"/>
                <w:sz w:val="18"/>
                <w:szCs w:val="18"/>
                <w:color w:val="auto"/>
              </w:rPr>
              <w:t>payment of</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00" w:type="dxa"/>
            <w:vAlign w:val="bottom"/>
            <w:gridSpan w:val="2"/>
          </w:tcPr>
          <w:p>
            <w:pPr>
              <w:spacing w:after="0"/>
              <w:rPr>
                <w:sz w:val="20"/>
                <w:szCs w:val="20"/>
                <w:color w:val="auto"/>
              </w:rPr>
            </w:pPr>
            <w:r>
              <w:rPr>
                <w:rFonts w:ascii="Arial" w:cs="Arial" w:eastAsia="Arial" w:hAnsi="Arial"/>
                <w:sz w:val="18"/>
                <w:szCs w:val="18"/>
                <w:color w:val="auto"/>
                <w:w w:val="99"/>
              </w:rPr>
              <w:t>withholding taxes</w:t>
            </w:r>
          </w:p>
        </w:tc>
        <w:tc>
          <w:tcPr>
            <w:tcW w:w="7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(1,737)</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(9,577)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(9,595)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(426,990)</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(426,990)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(1,227,856)</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(1,227,856)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Change in</w:t>
            </w: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87"/>
              </w:rPr>
              <w:t>unrealized gains on</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available-</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3"/>
              </w:rPr>
              <w:t>for-sale securities,</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CCEEFF"/>
            </w:tcBorders>
            <w:vMerge w:val="restart"/>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925,492</w:t>
            </w:r>
          </w:p>
        </w:tc>
        <w:tc>
          <w:tcPr>
            <w:tcW w:w="10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925,492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net of tax</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vMerge w:val="continue"/>
            <w:shd w:val="clear" w:color="auto" w:fill="CCEEFF"/>
          </w:tcPr>
          <w:p>
            <w:pPr>
              <w:spacing w:after="0"/>
              <w:rPr>
                <w:sz w:val="18"/>
                <w:szCs w:val="18"/>
                <w:color w:val="auto"/>
              </w:rPr>
            </w:pPr>
          </w:p>
        </w:tc>
        <w:tc>
          <w:tcPr>
            <w:tcW w:w="108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Balance,</w:t>
            </w:r>
          </w:p>
        </w:tc>
        <w:tc>
          <w:tcPr>
            <w:tcW w:w="80" w:type="dxa"/>
            <w:vAlign w:val="bottom"/>
          </w:tcPr>
          <w:p>
            <w:pPr>
              <w:spacing w:after="0"/>
              <w:rPr>
                <w:sz w:val="18"/>
                <w:szCs w:val="18"/>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52"/>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11,871,307</w:t>
            </w:r>
          </w:p>
        </w:tc>
        <w:tc>
          <w:tcPr>
            <w:tcW w:w="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$118,713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$70,372,799</w:t>
            </w:r>
          </w:p>
        </w:tc>
        <w:tc>
          <w:tcPr>
            <w:tcW w:w="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9,017,415</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$13,318,838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1,196,109</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$(3,514,340)</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$89,313,425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September 30,</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-38100</wp:posOffset>
            </wp:positionV>
            <wp:extent cx="6146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46165" cy="4191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54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0"/>
              </w:rPr>
              <w:t>Accumulated</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1260" w:type="dxa"/>
            <w:vAlign w:val="bottom"/>
            <w:gridSpan w:val="5"/>
            <w:vMerge w:val="restart"/>
          </w:tcPr>
          <w:p>
            <w:pPr>
              <w:ind w:left="120"/>
              <w:spacing w:after="0"/>
              <w:rPr>
                <w:sz w:val="20"/>
                <w:szCs w:val="20"/>
                <w:color w:val="auto"/>
              </w:rPr>
            </w:pPr>
            <w:r>
              <w:rPr>
                <w:rFonts w:ascii="Arial" w:cs="Arial" w:eastAsia="Arial" w:hAnsi="Arial"/>
                <w:sz w:val="18"/>
                <w:szCs w:val="18"/>
                <w:color w:val="auto"/>
                <w:w w:val="89"/>
              </w:rPr>
              <w:t>Preferred Stock</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gridSpan w:val="5"/>
            <w:vMerge w:val="restart"/>
          </w:tcPr>
          <w:p>
            <w:pPr>
              <w:jc w:val="right"/>
              <w:ind w:right="40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Capital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center"/>
              <w:ind w:right="212"/>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4"/>
            <w:vMerge w:val="restart"/>
          </w:tcPr>
          <w:p>
            <w:pPr>
              <w:jc w:val="right"/>
              <w:ind w:right="480"/>
              <w:spacing w:after="0"/>
              <w:rPr>
                <w:sz w:val="20"/>
                <w:szCs w:val="20"/>
                <w:color w:val="auto"/>
              </w:rPr>
            </w:pPr>
            <w:r>
              <w:rPr>
                <w:rFonts w:ascii="Arial" w:cs="Arial" w:eastAsia="Arial" w:hAnsi="Arial"/>
                <w:sz w:val="18"/>
                <w:szCs w:val="18"/>
                <w:color w:val="auto"/>
              </w:rPr>
              <w:t>Treasury Stock</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40" w:type="dxa"/>
            <w:vAlign w:val="bottom"/>
          </w:tcPr>
          <w:p>
            <w:pPr>
              <w:spacing w:after="0"/>
              <w:rPr>
                <w:sz w:val="18"/>
                <w:szCs w:val="18"/>
                <w:color w:val="auto"/>
              </w:rPr>
            </w:pPr>
          </w:p>
        </w:tc>
        <w:tc>
          <w:tcPr>
            <w:tcW w:w="126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5"/>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in Excess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7"/>
              </w:rPr>
              <w:t>Comprehensive</w:t>
            </w:r>
          </w:p>
        </w:tc>
        <w:tc>
          <w:tcPr>
            <w:tcW w:w="80" w:type="dxa"/>
            <w:vAlign w:val="bottom"/>
          </w:tcPr>
          <w:p>
            <w:pPr>
              <w:spacing w:after="0"/>
              <w:rPr>
                <w:sz w:val="18"/>
                <w:szCs w:val="18"/>
                <w:color w:val="auto"/>
              </w:rPr>
            </w:pPr>
          </w:p>
        </w:tc>
        <w:tc>
          <w:tcPr>
            <w:tcW w:w="1080" w:type="dxa"/>
            <w:vAlign w:val="bottom"/>
            <w:gridSpan w:val="3"/>
          </w:tcPr>
          <w:p>
            <w:pPr>
              <w:ind w:left="140"/>
              <w:spacing w:after="0"/>
              <w:rPr>
                <w:sz w:val="20"/>
                <w:szCs w:val="20"/>
                <w:color w:val="auto"/>
              </w:rPr>
            </w:pPr>
            <w:r>
              <w:rPr>
                <w:rFonts w:ascii="Arial" w:cs="Arial" w:eastAsia="Arial" w:hAnsi="Arial"/>
                <w:sz w:val="18"/>
                <w:szCs w:val="18"/>
                <w:color w:val="auto"/>
              </w:rPr>
              <w:t>Retained</w:t>
            </w:r>
          </w:p>
        </w:tc>
        <w:tc>
          <w:tcPr>
            <w:tcW w:w="192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440" w:type="dxa"/>
            <w:vAlign w:val="bottom"/>
          </w:tcPr>
          <w:p>
            <w:pPr>
              <w:spacing w:after="0"/>
              <w:rPr>
                <w:sz w:val="17"/>
                <w:szCs w:val="17"/>
                <w:color w:val="auto"/>
              </w:rPr>
            </w:pPr>
          </w:p>
        </w:tc>
        <w:tc>
          <w:tcPr>
            <w:tcW w:w="540" w:type="dxa"/>
            <w:vAlign w:val="bottom"/>
            <w:tcBorders>
              <w:top w:val="single" w:sz="8" w:color="auto"/>
              <w:bottom w:val="single" w:sz="8" w:color="auto"/>
            </w:tcBorders>
          </w:tcPr>
          <w:p>
            <w:pPr>
              <w:ind w:left="60"/>
              <w:spacing w:after="0" w:line="205" w:lineRule="exact"/>
              <w:rPr>
                <w:sz w:val="20"/>
                <w:szCs w:val="20"/>
                <w:color w:val="auto"/>
              </w:rPr>
            </w:pPr>
            <w:r>
              <w:rPr>
                <w:rFonts w:ascii="Arial" w:cs="Arial" w:eastAsia="Arial" w:hAnsi="Arial"/>
                <w:sz w:val="18"/>
                <w:szCs w:val="18"/>
                <w:color w:val="auto"/>
                <w:w w:val="80"/>
              </w:rPr>
              <w:t>Shares</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2"/>
          </w:tcPr>
          <w:p>
            <w:pPr>
              <w:ind w:left="20"/>
              <w:spacing w:after="0" w:line="205" w:lineRule="exact"/>
              <w:rPr>
                <w:sz w:val="20"/>
                <w:szCs w:val="20"/>
                <w:color w:val="auto"/>
              </w:rPr>
            </w:pPr>
            <w:r>
              <w:rPr>
                <w:rFonts w:ascii="Arial" w:cs="Arial" w:eastAsia="Arial" w:hAnsi="Arial"/>
                <w:sz w:val="18"/>
                <w:szCs w:val="18"/>
                <w:color w:val="auto"/>
                <w:w w:val="90"/>
              </w:rPr>
              <w:t>Amount</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12"/>
              <w:spacing w:after="0" w:line="205" w:lineRule="exact"/>
              <w:rPr>
                <w:sz w:val="20"/>
                <w:szCs w:val="20"/>
                <w:color w:val="auto"/>
              </w:rPr>
            </w:pPr>
            <w:r>
              <w:rPr>
                <w:rFonts w:ascii="Arial" w:cs="Arial" w:eastAsia="Arial" w:hAnsi="Arial"/>
                <w:sz w:val="18"/>
                <w:szCs w:val="18"/>
                <w:color w:val="auto"/>
              </w:rPr>
              <w:t>Shares</w:t>
            </w: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6"/>
              </w:rPr>
              <w:t>Amount</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spacing w:after="0" w:line="204" w:lineRule="exact"/>
              <w:rPr>
                <w:sz w:val="20"/>
                <w:szCs w:val="20"/>
                <w:color w:val="auto"/>
              </w:rPr>
            </w:pPr>
            <w:r>
              <w:rPr>
                <w:rFonts w:ascii="Arial" w:cs="Arial" w:eastAsia="Arial" w:hAnsi="Arial"/>
                <w:sz w:val="18"/>
                <w:szCs w:val="18"/>
                <w:color w:val="auto"/>
                <w:w w:val="87"/>
              </w:rPr>
              <w:t>of Par</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spacing w:after="0" w:line="204" w:lineRule="exact"/>
              <w:rPr>
                <w:sz w:val="20"/>
                <w:szCs w:val="20"/>
                <w:color w:val="auto"/>
              </w:rPr>
            </w:pPr>
            <w:r>
              <w:rPr>
                <w:rFonts w:ascii="Arial" w:cs="Arial" w:eastAsia="Arial" w:hAnsi="Arial"/>
                <w:sz w:val="18"/>
                <w:szCs w:val="18"/>
                <w:color w:val="auto"/>
                <w:w w:val="89"/>
              </w:rPr>
              <w:t>Income (Loss)</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40"/>
              <w:spacing w:after="0" w:line="204" w:lineRule="exact"/>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52"/>
              <w:spacing w:after="0" w:line="205" w:lineRule="exact"/>
              <w:rPr>
                <w:sz w:val="20"/>
                <w:szCs w:val="20"/>
                <w:color w:val="auto"/>
              </w:rPr>
            </w:pPr>
            <w:r>
              <w:rPr>
                <w:rFonts w:ascii="Arial" w:cs="Arial" w:eastAsia="Arial" w:hAnsi="Arial"/>
                <w:sz w:val="18"/>
                <w:szCs w:val="18"/>
                <w:color w:val="auto"/>
              </w:rPr>
              <w:t>Shares</w:t>
            </w:r>
          </w:p>
        </w:tc>
        <w:tc>
          <w:tcPr>
            <w:tcW w:w="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52"/>
              <w:spacing w:after="0" w:line="205" w:lineRule="exact"/>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260"/>
              <w:spacing w:after="0" w:line="204"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98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Balance, January</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1, 2019</w:t>
            </w:r>
          </w:p>
        </w:tc>
        <w:tc>
          <w:tcPr>
            <w:tcW w:w="540" w:type="dxa"/>
            <w:vAlign w:val="bottom"/>
            <w:shd w:val="clear" w:color="auto" w:fill="CCEEFF"/>
          </w:tcPr>
          <w:p>
            <w:pPr>
              <w:spacing w:after="0"/>
              <w:rPr>
                <w:sz w:val="19"/>
                <w:szCs w:val="19"/>
                <w:color w:val="auto"/>
              </w:rPr>
            </w:pPr>
          </w:p>
        </w:tc>
        <w:tc>
          <w:tcPr>
            <w:tcW w:w="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11,775,148</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$117,751</w:t>
            </w:r>
          </w:p>
        </w:tc>
        <w:tc>
          <w:tcPr>
            <w:tcW w:w="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$67,763,940</w:t>
            </w:r>
          </w:p>
        </w:tc>
        <w:tc>
          <w:tcPr>
            <w:tcW w:w="8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(2,884,313)</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$26,380,816</w:t>
            </w:r>
          </w:p>
        </w:tc>
        <w:tc>
          <w:tcPr>
            <w:tcW w:w="8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1,027,439</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$(2,712,552)</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88,665,642</w:t>
            </w:r>
          </w:p>
        </w:tc>
        <w:tc>
          <w:tcPr>
            <w:tcW w:w="0" w:type="dxa"/>
            <w:vAlign w:val="bottom"/>
          </w:tcPr>
          <w:p>
            <w:pPr>
              <w:spacing w:after="0"/>
              <w:rPr>
                <w:sz w:val="1"/>
                <w:szCs w:val="1"/>
                <w:color w:val="auto"/>
              </w:rPr>
            </w:pPr>
          </w:p>
        </w:tc>
      </w:tr>
      <w:tr>
        <w:trPr>
          <w:trHeight w:val="199"/>
        </w:trPr>
        <w:tc>
          <w:tcPr>
            <w:tcW w:w="1980" w:type="dxa"/>
            <w:vAlign w:val="bottom"/>
            <w:gridSpan w:val="2"/>
          </w:tcPr>
          <w:p>
            <w:pPr>
              <w:spacing w:after="0" w:line="199" w:lineRule="exact"/>
              <w:rPr>
                <w:sz w:val="20"/>
                <w:szCs w:val="20"/>
                <w:color w:val="auto"/>
              </w:rPr>
            </w:pPr>
            <w:r>
              <w:rPr>
                <w:rFonts w:ascii="Arial" w:cs="Arial" w:eastAsia="Arial" w:hAnsi="Arial"/>
                <w:sz w:val="18"/>
                <w:szCs w:val="18"/>
                <w:color w:val="auto"/>
              </w:rPr>
              <w:t>Stock-based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98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1,116,921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1,116,921</w:t>
            </w:r>
          </w:p>
        </w:tc>
        <w:tc>
          <w:tcPr>
            <w:tcW w:w="0" w:type="dxa"/>
            <w:vAlign w:val="bottom"/>
          </w:tcPr>
          <w:p>
            <w:pPr>
              <w:spacing w:after="0"/>
              <w:rPr>
                <w:sz w:val="1"/>
                <w:szCs w:val="1"/>
                <w:color w:val="auto"/>
              </w:rPr>
            </w:pPr>
          </w:p>
        </w:tc>
      </w:tr>
      <w:tr>
        <w:trPr>
          <w:trHeight w:val="200"/>
        </w:trPr>
        <w:tc>
          <w:tcPr>
            <w:tcW w:w="198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Vesting of</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awards</w:t>
            </w:r>
          </w:p>
        </w:tc>
        <w:tc>
          <w:tcPr>
            <w:tcW w:w="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43,596</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8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(434)</w:t>
            </w:r>
          </w:p>
        </w:tc>
        <w:tc>
          <w:tcPr>
            <w:tcW w:w="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1980" w:type="dxa"/>
            <w:vAlign w:val="bottom"/>
            <w:gridSpan w:val="2"/>
          </w:tcPr>
          <w:p>
            <w:pPr>
              <w:spacing w:after="0" w:line="199" w:lineRule="exact"/>
              <w:rPr>
                <w:sz w:val="20"/>
                <w:szCs w:val="20"/>
                <w:color w:val="auto"/>
              </w:rPr>
            </w:pPr>
            <w:r>
              <w:rPr>
                <w:rFonts w:ascii="Arial" w:cs="Arial" w:eastAsia="Arial" w:hAnsi="Arial"/>
                <w:sz w:val="18"/>
                <w:szCs w:val="18"/>
                <w:color w:val="auto"/>
              </w:rPr>
              <w:t>Shares deducted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980" w:type="dxa"/>
            <w:vAlign w:val="bottom"/>
            <w:gridSpan w:val="2"/>
          </w:tcPr>
          <w:p>
            <w:pPr>
              <w:spacing w:after="0"/>
              <w:rPr>
                <w:sz w:val="20"/>
                <w:szCs w:val="20"/>
                <w:color w:val="auto"/>
              </w:rPr>
            </w:pPr>
            <w:r>
              <w:rPr>
                <w:rFonts w:ascii="Arial" w:cs="Arial" w:eastAsia="Arial" w:hAnsi="Arial"/>
                <w:sz w:val="18"/>
                <w:szCs w:val="18"/>
                <w:color w:val="auto"/>
              </w:rPr>
              <w:t>from restricted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80" w:type="dxa"/>
            <w:vAlign w:val="bottom"/>
            <w:gridSpan w:val="2"/>
          </w:tcPr>
          <w:p>
            <w:pPr>
              <w:spacing w:after="0"/>
              <w:rPr>
                <w:sz w:val="20"/>
                <w:szCs w:val="20"/>
                <w:color w:val="auto"/>
              </w:rPr>
            </w:pPr>
            <w:r>
              <w:rPr>
                <w:rFonts w:ascii="Arial" w:cs="Arial" w:eastAsia="Arial" w:hAnsi="Arial"/>
                <w:sz w:val="18"/>
                <w:szCs w:val="18"/>
                <w:color w:val="auto"/>
              </w:rPr>
              <w:t>stock awards for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80" w:type="dxa"/>
            <w:vAlign w:val="bottom"/>
            <w:gridSpan w:val="2"/>
          </w:tcPr>
          <w:p>
            <w:pPr>
              <w:spacing w:after="0"/>
              <w:rPr>
                <w:sz w:val="20"/>
                <w:szCs w:val="20"/>
                <w:color w:val="auto"/>
              </w:rPr>
            </w:pPr>
            <w:r>
              <w:rPr>
                <w:rFonts w:ascii="Arial" w:cs="Arial" w:eastAsia="Arial" w:hAnsi="Arial"/>
                <w:sz w:val="18"/>
                <w:szCs w:val="18"/>
                <w:color w:val="auto"/>
              </w:rPr>
              <w:t>payment of</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80" w:type="dxa"/>
            <w:vAlign w:val="bottom"/>
            <w:gridSpan w:val="2"/>
          </w:tcPr>
          <w:p>
            <w:pPr>
              <w:spacing w:after="0"/>
              <w:rPr>
                <w:sz w:val="20"/>
                <w:szCs w:val="20"/>
                <w:color w:val="auto"/>
              </w:rPr>
            </w:pPr>
            <w:r>
              <w:rPr>
                <w:rFonts w:ascii="Arial" w:cs="Arial" w:eastAsia="Arial" w:hAnsi="Arial"/>
                <w:sz w:val="18"/>
                <w:szCs w:val="18"/>
                <w:color w:val="auto"/>
              </w:rPr>
              <w:t>withholding taxes</w:t>
            </w:r>
          </w:p>
        </w:tc>
        <w:tc>
          <w:tcPr>
            <w:tcW w:w="60" w:type="dxa"/>
            <w:vAlign w:val="bottom"/>
          </w:tcPr>
          <w:p>
            <w:pPr>
              <w:jc w:val="right"/>
              <w:spacing w:after="0"/>
              <w:rPr>
                <w:sz w:val="20"/>
                <w:szCs w:val="20"/>
                <w:color w:val="auto"/>
              </w:rPr>
            </w:pPr>
            <w:r>
              <w:rPr>
                <w:rFonts w:ascii="Arial" w:cs="Arial" w:eastAsia="Arial" w:hAnsi="Arial"/>
                <w:sz w:val="15"/>
                <w:szCs w:val="15"/>
                <w:color w:val="auto"/>
                <w:w w:val="79"/>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(10,733)</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(105)</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(148,173)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(148,278)</w:t>
            </w:r>
          </w:p>
        </w:tc>
        <w:tc>
          <w:tcPr>
            <w:tcW w:w="0" w:type="dxa"/>
            <w:vAlign w:val="bottom"/>
          </w:tcPr>
          <w:p>
            <w:pPr>
              <w:spacing w:after="0"/>
              <w:rPr>
                <w:sz w:val="1"/>
                <w:szCs w:val="1"/>
                <w:color w:val="auto"/>
              </w:rPr>
            </w:pPr>
          </w:p>
        </w:tc>
      </w:tr>
      <w:tr>
        <w:trPr>
          <w:trHeight w:val="200"/>
        </w:trPr>
        <w:tc>
          <w:tcPr>
            <w:tcW w:w="198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Exercise of stock</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w:t>
            </w:r>
          </w:p>
        </w:tc>
        <w:tc>
          <w:tcPr>
            <w:tcW w:w="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23,522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23,552</w:t>
            </w:r>
          </w:p>
        </w:tc>
        <w:tc>
          <w:tcPr>
            <w:tcW w:w="0" w:type="dxa"/>
            <w:vAlign w:val="bottom"/>
          </w:tcPr>
          <w:p>
            <w:pPr>
              <w:spacing w:after="0"/>
              <w:rPr>
                <w:sz w:val="1"/>
                <w:szCs w:val="1"/>
                <w:color w:val="auto"/>
              </w:rPr>
            </w:pPr>
          </w:p>
        </w:tc>
      </w:tr>
      <w:tr>
        <w:trPr>
          <w:trHeight w:val="211"/>
        </w:trPr>
        <w:tc>
          <w:tcPr>
            <w:tcW w:w="1980" w:type="dxa"/>
            <w:vAlign w:val="bottom"/>
            <w:gridSpan w:val="2"/>
          </w:tcPr>
          <w:p>
            <w:pPr>
              <w:spacing w:after="0"/>
              <w:rPr>
                <w:sz w:val="20"/>
                <w:szCs w:val="20"/>
                <w:color w:val="auto"/>
              </w:rPr>
            </w:pPr>
            <w:r>
              <w:rPr>
                <w:rFonts w:ascii="Arial" w:cs="Arial" w:eastAsia="Arial" w:hAnsi="Arial"/>
                <w:sz w:val="18"/>
                <w:szCs w:val="18"/>
                <w:color w:val="auto"/>
              </w:rPr>
              <w:t>Dividends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(2,827,276)</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(2,827,276)</w:t>
            </w:r>
          </w:p>
        </w:tc>
        <w:tc>
          <w:tcPr>
            <w:tcW w:w="0" w:type="dxa"/>
            <w:vAlign w:val="bottom"/>
          </w:tcPr>
          <w:p>
            <w:pPr>
              <w:spacing w:after="0"/>
              <w:rPr>
                <w:sz w:val="1"/>
                <w:szCs w:val="1"/>
                <w:color w:val="auto"/>
              </w:rPr>
            </w:pPr>
          </w:p>
        </w:tc>
      </w:tr>
      <w:tr>
        <w:trPr>
          <w:trHeight w:val="211"/>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(7,420,972)</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(7,420,972)</w:t>
            </w:r>
          </w:p>
        </w:tc>
        <w:tc>
          <w:tcPr>
            <w:tcW w:w="0" w:type="dxa"/>
            <w:vAlign w:val="bottom"/>
          </w:tcPr>
          <w:p>
            <w:pPr>
              <w:spacing w:after="0"/>
              <w:rPr>
                <w:sz w:val="1"/>
                <w:szCs w:val="1"/>
                <w:color w:val="auto"/>
              </w:rPr>
            </w:pPr>
          </w:p>
        </w:tc>
      </w:tr>
      <w:tr>
        <w:trPr>
          <w:trHeight w:val="199"/>
        </w:trPr>
        <w:tc>
          <w:tcPr>
            <w:tcW w:w="1980" w:type="dxa"/>
            <w:vAlign w:val="bottom"/>
            <w:gridSpan w:val="2"/>
          </w:tcPr>
          <w:p>
            <w:pPr>
              <w:spacing w:after="0" w:line="199" w:lineRule="exact"/>
              <w:rPr>
                <w:sz w:val="20"/>
                <w:szCs w:val="20"/>
                <w:color w:val="auto"/>
              </w:rPr>
            </w:pPr>
            <w:r>
              <w:rPr>
                <w:rFonts w:ascii="Arial" w:cs="Arial" w:eastAsia="Arial" w:hAnsi="Arial"/>
                <w:sz w:val="18"/>
                <w:szCs w:val="18"/>
                <w:color w:val="auto"/>
              </w:rPr>
              <w:t>Change in</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980" w:type="dxa"/>
            <w:vAlign w:val="bottom"/>
            <w:gridSpan w:val="2"/>
          </w:tcPr>
          <w:p>
            <w:pPr>
              <w:spacing w:after="0"/>
              <w:rPr>
                <w:sz w:val="20"/>
                <w:szCs w:val="20"/>
                <w:color w:val="auto"/>
              </w:rPr>
            </w:pPr>
            <w:r>
              <w:rPr>
                <w:rFonts w:ascii="Arial" w:cs="Arial" w:eastAsia="Arial" w:hAnsi="Arial"/>
                <w:sz w:val="18"/>
                <w:szCs w:val="18"/>
                <w:color w:val="auto"/>
              </w:rPr>
              <w:t>unrealized gains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80" w:type="dxa"/>
            <w:vAlign w:val="bottom"/>
            <w:gridSpan w:val="2"/>
          </w:tcPr>
          <w:p>
            <w:pPr>
              <w:spacing w:after="0"/>
              <w:rPr>
                <w:sz w:val="20"/>
                <w:szCs w:val="20"/>
                <w:color w:val="auto"/>
              </w:rPr>
            </w:pPr>
            <w:r>
              <w:rPr>
                <w:rFonts w:ascii="Arial" w:cs="Arial" w:eastAsia="Arial" w:hAnsi="Arial"/>
                <w:sz w:val="18"/>
                <w:szCs w:val="18"/>
                <w:color w:val="auto"/>
              </w:rPr>
              <w:t>on available-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80" w:type="dxa"/>
            <w:vAlign w:val="bottom"/>
            <w:gridSpan w:val="2"/>
          </w:tcPr>
          <w:p>
            <w:pPr>
              <w:spacing w:after="0"/>
              <w:rPr>
                <w:sz w:val="20"/>
                <w:szCs w:val="20"/>
                <w:color w:val="auto"/>
              </w:rPr>
            </w:pPr>
            <w:r>
              <w:rPr>
                <w:rFonts w:ascii="Arial" w:cs="Arial" w:eastAsia="Arial" w:hAnsi="Arial"/>
                <w:sz w:val="18"/>
                <w:szCs w:val="18"/>
                <w:color w:val="auto"/>
              </w:rPr>
              <w:t>for-sale securities,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7,326,029</w:t>
            </w:r>
          </w:p>
        </w:tc>
        <w:tc>
          <w:tcPr>
            <w:tcW w:w="10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7,326,029</w:t>
            </w:r>
          </w:p>
        </w:tc>
        <w:tc>
          <w:tcPr>
            <w:tcW w:w="0" w:type="dxa"/>
            <w:vAlign w:val="bottom"/>
          </w:tcPr>
          <w:p>
            <w:pPr>
              <w:spacing w:after="0"/>
              <w:rPr>
                <w:sz w:val="1"/>
                <w:szCs w:val="1"/>
                <w:color w:val="auto"/>
              </w:rPr>
            </w:pPr>
          </w:p>
        </w:tc>
      </w:tr>
      <w:tr>
        <w:trPr>
          <w:trHeight w:val="210"/>
        </w:trPr>
        <w:tc>
          <w:tcPr>
            <w:tcW w:w="1440" w:type="dxa"/>
            <w:vAlign w:val="bottom"/>
          </w:tcPr>
          <w:p>
            <w:pPr>
              <w:spacing w:after="0"/>
              <w:rPr>
                <w:sz w:val="20"/>
                <w:szCs w:val="20"/>
                <w:color w:val="auto"/>
              </w:rPr>
            </w:pPr>
            <w:r>
              <w:rPr>
                <w:rFonts w:ascii="Arial" w:cs="Arial" w:eastAsia="Arial" w:hAnsi="Arial"/>
                <w:sz w:val="18"/>
                <w:szCs w:val="18"/>
                <w:color w:val="auto"/>
              </w:rPr>
              <w:t>net of tax</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440" w:type="dxa"/>
            <w:vAlign w:val="bottom"/>
            <w:tcBorders>
              <w:right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Balance,</w:t>
            </w: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80" w:type="dxa"/>
            <w:vAlign w:val="bottom"/>
            <w:shd w:val="clear" w:color="auto" w:fill="CCEEFF"/>
          </w:tcPr>
          <w:p>
            <w:pPr>
              <w:spacing w:after="0"/>
              <w:rPr>
                <w:sz w:val="18"/>
                <w:szCs w:val="18"/>
                <w:color w:val="auto"/>
              </w:rPr>
            </w:pPr>
          </w:p>
        </w:tc>
        <w:tc>
          <w:tcPr>
            <w:tcW w:w="58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5"/>
              </w:rPr>
              <w:t>11,811,011</w:t>
            </w:r>
          </w:p>
        </w:tc>
        <w:tc>
          <w:tcPr>
            <w:tcW w:w="76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$ 118,110</w:t>
            </w:r>
          </w:p>
        </w:tc>
        <w:tc>
          <w:tcPr>
            <w:tcW w:w="80" w:type="dxa"/>
            <w:vAlign w:val="bottom"/>
            <w:shd w:val="clear" w:color="auto" w:fill="CCEEFF"/>
          </w:tcPr>
          <w:p>
            <w:pPr>
              <w:spacing w:after="0"/>
              <w:rPr>
                <w:sz w:val="18"/>
                <w:szCs w:val="18"/>
                <w:color w:val="auto"/>
              </w:rPr>
            </w:pPr>
          </w:p>
        </w:tc>
        <w:tc>
          <w:tcPr>
            <w:tcW w:w="9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68,755,776</w:t>
            </w:r>
          </w:p>
        </w:tc>
        <w:tc>
          <w:tcPr>
            <w:tcW w:w="80" w:type="dxa"/>
            <w:vAlign w:val="bottom"/>
            <w:shd w:val="clear" w:color="auto" w:fill="CCEEFF"/>
          </w:tcPr>
          <w:p>
            <w:pPr>
              <w:spacing w:after="0"/>
              <w:rPr>
                <w:sz w:val="18"/>
                <w:szCs w:val="18"/>
                <w:color w:val="auto"/>
              </w:rPr>
            </w:pPr>
          </w:p>
        </w:tc>
        <w:tc>
          <w:tcPr>
            <w:tcW w:w="300" w:type="dxa"/>
            <w:vAlign w:val="bottom"/>
            <w:gridSpan w:val="3"/>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4,441,716</w:t>
            </w:r>
          </w:p>
        </w:tc>
        <w:tc>
          <w:tcPr>
            <w:tcW w:w="10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16,132,568</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1,027,439</w:t>
            </w:r>
          </w:p>
        </w:tc>
        <w:tc>
          <w:tcPr>
            <w:tcW w:w="10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(2,712,552)</w:t>
            </w:r>
          </w:p>
        </w:tc>
        <w:tc>
          <w:tcPr>
            <w:tcW w:w="10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86,735,618</w:t>
            </w:r>
          </w:p>
        </w:tc>
        <w:tc>
          <w:tcPr>
            <w:tcW w:w="0" w:type="dxa"/>
            <w:vAlign w:val="bottom"/>
          </w:tcPr>
          <w:p>
            <w:pPr>
              <w:spacing w:after="0"/>
              <w:rPr>
                <w:sz w:val="1"/>
                <w:szCs w:val="1"/>
                <w:color w:val="auto"/>
              </w:rPr>
            </w:pPr>
          </w:p>
        </w:tc>
      </w:tr>
      <w:tr>
        <w:trPr>
          <w:trHeight w:val="224"/>
        </w:trPr>
        <w:tc>
          <w:tcPr>
            <w:tcW w:w="1440" w:type="dxa"/>
            <w:vAlign w:val="bottom"/>
            <w:tcBorders>
              <w:right w:val="single" w:sz="8" w:color="CCEEFF"/>
            </w:tcBorders>
            <w:shd w:val="clear" w:color="auto" w:fill="CCEEFF"/>
          </w:tcPr>
          <w:p>
            <w:pPr>
              <w:spacing w:after="0" w:line="184" w:lineRule="exact"/>
              <w:rPr>
                <w:sz w:val="20"/>
                <w:szCs w:val="20"/>
                <w:color w:val="auto"/>
              </w:rPr>
            </w:pPr>
            <w:r>
              <w:rPr>
                <w:rFonts w:ascii="Arial" w:cs="Arial" w:eastAsia="Arial" w:hAnsi="Arial"/>
                <w:sz w:val="18"/>
                <w:szCs w:val="18"/>
                <w:color w:val="auto"/>
              </w:rPr>
              <w:t>2019</w:t>
            </w:r>
          </w:p>
        </w:tc>
        <w:tc>
          <w:tcPr>
            <w:tcW w:w="540" w:type="dxa"/>
            <w:vAlign w:val="bottom"/>
            <w:shd w:val="clear" w:color="auto" w:fill="CCEEFF"/>
          </w:tcPr>
          <w:p>
            <w:pPr>
              <w:spacing w:after="0"/>
              <w:rPr>
                <w:sz w:val="19"/>
                <w:szCs w:val="19"/>
                <w:color w:val="auto"/>
              </w:rPr>
            </w:pPr>
          </w:p>
        </w:tc>
        <w:tc>
          <w:tcPr>
            <w:tcW w:w="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760" w:type="dxa"/>
            <w:vAlign w:val="bottom"/>
            <w:tcBorders>
              <w:right w:val="single" w:sz="8" w:color="CCEEFF"/>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3"/>
            <w:vMerge w:val="continue"/>
            <w:shd w:val="clear" w:color="auto" w:fill="CCEEFF"/>
          </w:tcPr>
          <w:p>
            <w:pPr>
              <w:spacing w:after="0"/>
              <w:rPr>
                <w:sz w:val="19"/>
                <w:szCs w:val="19"/>
                <w:color w:val="auto"/>
              </w:rPr>
            </w:pPr>
          </w:p>
        </w:tc>
        <w:tc>
          <w:tcPr>
            <w:tcW w:w="980" w:type="dxa"/>
            <w:vAlign w:val="bottom"/>
            <w:tcBorders>
              <w:right w:val="single" w:sz="8" w:color="CCEEFF"/>
            </w:tcBorders>
            <w:vMerge w:val="continue"/>
            <w:shd w:val="clear" w:color="auto" w:fill="CCEEFF"/>
          </w:tcPr>
          <w:p>
            <w:pPr>
              <w:spacing w:after="0"/>
              <w:rPr>
                <w:sz w:val="19"/>
                <w:szCs w:val="19"/>
                <w:color w:val="auto"/>
              </w:rPr>
            </w:pPr>
          </w:p>
        </w:tc>
        <w:tc>
          <w:tcPr>
            <w:tcW w:w="108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tcBorders>
              <w:right w:val="single" w:sz="8" w:color="CCEEFF"/>
            </w:tcBorders>
            <w:vMerge w:val="continue"/>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144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Accumulated</w:t>
            </w:r>
          </w:p>
        </w:tc>
        <w:tc>
          <w:tcPr>
            <w:tcW w:w="8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1260" w:type="dxa"/>
            <w:vAlign w:val="bottom"/>
            <w:gridSpan w:val="5"/>
            <w:vMerge w:val="restart"/>
          </w:tcPr>
          <w:p>
            <w:pPr>
              <w:ind w:left="120"/>
              <w:spacing w:after="0"/>
              <w:rPr>
                <w:sz w:val="20"/>
                <w:szCs w:val="20"/>
                <w:color w:val="auto"/>
              </w:rPr>
            </w:pPr>
            <w:r>
              <w:rPr>
                <w:rFonts w:ascii="Arial" w:cs="Arial" w:eastAsia="Arial" w:hAnsi="Arial"/>
                <w:sz w:val="18"/>
                <w:szCs w:val="18"/>
                <w:color w:val="auto"/>
                <w:w w:val="89"/>
              </w:rPr>
              <w:t>Preferred Stock</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gridSpan w:val="5"/>
            <w:vMerge w:val="restart"/>
          </w:tcPr>
          <w:p>
            <w:pPr>
              <w:jc w:val="right"/>
              <w:ind w:right="38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Capital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center"/>
              <w:ind w:right="172"/>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4"/>
            <w:vMerge w:val="restart"/>
          </w:tcPr>
          <w:p>
            <w:pPr>
              <w:jc w:val="right"/>
              <w:ind w:right="480"/>
              <w:spacing w:after="0"/>
              <w:rPr>
                <w:sz w:val="20"/>
                <w:szCs w:val="20"/>
                <w:color w:val="auto"/>
              </w:rPr>
            </w:pPr>
            <w:r>
              <w:rPr>
                <w:rFonts w:ascii="Arial" w:cs="Arial" w:eastAsia="Arial" w:hAnsi="Arial"/>
                <w:sz w:val="18"/>
                <w:szCs w:val="18"/>
                <w:color w:val="auto"/>
              </w:rPr>
              <w:t>Treasury Stock</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40" w:type="dxa"/>
            <w:vAlign w:val="bottom"/>
          </w:tcPr>
          <w:p>
            <w:pPr>
              <w:spacing w:after="0"/>
              <w:rPr>
                <w:sz w:val="18"/>
                <w:szCs w:val="18"/>
                <w:color w:val="auto"/>
              </w:rPr>
            </w:pPr>
          </w:p>
        </w:tc>
        <w:tc>
          <w:tcPr>
            <w:tcW w:w="126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5"/>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in Excess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7"/>
              </w:rPr>
              <w:t>Comprehensive</w:t>
            </w:r>
          </w:p>
        </w:tc>
        <w:tc>
          <w:tcPr>
            <w:tcW w:w="80" w:type="dxa"/>
            <w:vAlign w:val="bottom"/>
          </w:tcPr>
          <w:p>
            <w:pPr>
              <w:spacing w:after="0"/>
              <w:rPr>
                <w:sz w:val="18"/>
                <w:szCs w:val="18"/>
                <w:color w:val="auto"/>
              </w:rPr>
            </w:pPr>
          </w:p>
        </w:tc>
        <w:tc>
          <w:tcPr>
            <w:tcW w:w="1080" w:type="dxa"/>
            <w:vAlign w:val="bottom"/>
            <w:gridSpan w:val="3"/>
          </w:tcPr>
          <w:p>
            <w:pPr>
              <w:ind w:left="140"/>
              <w:spacing w:after="0"/>
              <w:rPr>
                <w:sz w:val="20"/>
                <w:szCs w:val="20"/>
                <w:color w:val="auto"/>
              </w:rPr>
            </w:pPr>
            <w:r>
              <w:rPr>
                <w:rFonts w:ascii="Arial" w:cs="Arial" w:eastAsia="Arial" w:hAnsi="Arial"/>
                <w:sz w:val="18"/>
                <w:szCs w:val="18"/>
                <w:color w:val="auto"/>
              </w:rPr>
              <w:t>Retained</w:t>
            </w:r>
          </w:p>
        </w:tc>
        <w:tc>
          <w:tcPr>
            <w:tcW w:w="192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440" w:type="dxa"/>
            <w:vAlign w:val="bottom"/>
          </w:tcPr>
          <w:p>
            <w:pPr>
              <w:spacing w:after="0"/>
              <w:rPr>
                <w:sz w:val="17"/>
                <w:szCs w:val="17"/>
                <w:color w:val="auto"/>
              </w:rPr>
            </w:pPr>
          </w:p>
        </w:tc>
        <w:tc>
          <w:tcPr>
            <w:tcW w:w="540" w:type="dxa"/>
            <w:vAlign w:val="bottom"/>
            <w:tcBorders>
              <w:top w:val="single" w:sz="8" w:color="auto"/>
              <w:bottom w:val="single" w:sz="8" w:color="auto"/>
            </w:tcBorders>
          </w:tcPr>
          <w:p>
            <w:pPr>
              <w:ind w:left="60"/>
              <w:spacing w:after="0" w:line="205" w:lineRule="exact"/>
              <w:rPr>
                <w:sz w:val="20"/>
                <w:szCs w:val="20"/>
                <w:color w:val="auto"/>
              </w:rPr>
            </w:pPr>
            <w:r>
              <w:rPr>
                <w:rFonts w:ascii="Arial" w:cs="Arial" w:eastAsia="Arial" w:hAnsi="Arial"/>
                <w:sz w:val="18"/>
                <w:szCs w:val="18"/>
                <w:color w:val="auto"/>
                <w:w w:val="80"/>
              </w:rPr>
              <w:t>Shares</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2"/>
          </w:tcPr>
          <w:p>
            <w:pPr>
              <w:ind w:left="20"/>
              <w:spacing w:after="0" w:line="205" w:lineRule="exact"/>
              <w:rPr>
                <w:sz w:val="20"/>
                <w:szCs w:val="20"/>
                <w:color w:val="auto"/>
              </w:rPr>
            </w:pPr>
            <w:r>
              <w:rPr>
                <w:rFonts w:ascii="Arial" w:cs="Arial" w:eastAsia="Arial" w:hAnsi="Arial"/>
                <w:sz w:val="18"/>
                <w:szCs w:val="18"/>
                <w:color w:val="auto"/>
                <w:w w:val="90"/>
              </w:rPr>
              <w:t>Amount</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12"/>
              <w:spacing w:after="0" w:line="205" w:lineRule="exact"/>
              <w:rPr>
                <w:sz w:val="20"/>
                <w:szCs w:val="20"/>
                <w:color w:val="auto"/>
              </w:rPr>
            </w:pPr>
            <w:r>
              <w:rPr>
                <w:rFonts w:ascii="Arial" w:cs="Arial" w:eastAsia="Arial" w:hAnsi="Arial"/>
                <w:sz w:val="18"/>
                <w:szCs w:val="18"/>
                <w:color w:val="auto"/>
              </w:rPr>
              <w:t>Shares</w:t>
            </w: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99"/>
              </w:rPr>
              <w:t>Amount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spacing w:after="0" w:line="204" w:lineRule="exact"/>
              <w:rPr>
                <w:sz w:val="20"/>
                <w:szCs w:val="20"/>
                <w:color w:val="auto"/>
              </w:rPr>
            </w:pPr>
            <w:r>
              <w:rPr>
                <w:rFonts w:ascii="Arial" w:cs="Arial" w:eastAsia="Arial" w:hAnsi="Arial"/>
                <w:sz w:val="18"/>
                <w:szCs w:val="18"/>
                <w:color w:val="auto"/>
                <w:w w:val="91"/>
              </w:rPr>
              <w:t>of Par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72"/>
              <w:spacing w:after="0" w:line="204" w:lineRule="exact"/>
              <w:rPr>
                <w:sz w:val="20"/>
                <w:szCs w:val="20"/>
                <w:color w:val="auto"/>
              </w:rPr>
            </w:pPr>
            <w:r>
              <w:rPr>
                <w:rFonts w:ascii="Arial" w:cs="Arial" w:eastAsia="Arial" w:hAnsi="Arial"/>
                <w:sz w:val="18"/>
                <w:szCs w:val="18"/>
                <w:color w:val="auto"/>
                <w:w w:val="88"/>
              </w:rPr>
              <w:t>Income</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40"/>
              <w:spacing w:after="0" w:line="204" w:lineRule="exact"/>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52"/>
              <w:spacing w:after="0" w:line="205" w:lineRule="exact"/>
              <w:rPr>
                <w:sz w:val="20"/>
                <w:szCs w:val="20"/>
                <w:color w:val="auto"/>
              </w:rPr>
            </w:pPr>
            <w:r>
              <w:rPr>
                <w:rFonts w:ascii="Arial" w:cs="Arial" w:eastAsia="Arial" w:hAnsi="Arial"/>
                <w:sz w:val="18"/>
                <w:szCs w:val="18"/>
                <w:color w:val="auto"/>
              </w:rPr>
              <w:t>Shares</w:t>
            </w:r>
          </w:p>
        </w:tc>
        <w:tc>
          <w:tcPr>
            <w:tcW w:w="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52"/>
              <w:spacing w:after="0" w:line="205" w:lineRule="exact"/>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260"/>
              <w:spacing w:after="0" w:line="204"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98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Balance, January</w:t>
            </w:r>
          </w:p>
        </w:tc>
        <w:tc>
          <w:tcPr>
            <w:tcW w:w="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w w:val="79"/>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1, 2020</w:t>
            </w:r>
          </w:p>
        </w:tc>
        <w:tc>
          <w:tcPr>
            <w:tcW w:w="540" w:type="dxa"/>
            <w:vAlign w:val="bottom"/>
            <w:shd w:val="clear" w:color="auto" w:fill="CCEEFF"/>
          </w:tcPr>
          <w:p>
            <w:pPr>
              <w:spacing w:after="0"/>
              <w:rPr>
                <w:sz w:val="19"/>
                <w:szCs w:val="19"/>
                <w:color w:val="auto"/>
              </w:rPr>
            </w:pPr>
          </w:p>
        </w:tc>
        <w:tc>
          <w:tcPr>
            <w:tcW w:w="140" w:type="dxa"/>
            <w:vAlign w:val="bottom"/>
            <w:gridSpan w:val="2"/>
            <w:vMerge w:val="continue"/>
            <w:shd w:val="clear" w:color="auto" w:fill="CCEEFF"/>
          </w:tcPr>
          <w:p>
            <w:pPr>
              <w:spacing w:after="0"/>
              <w:rPr>
                <w:sz w:val="19"/>
                <w:szCs w:val="19"/>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11,824,889</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$118,248</w:t>
            </w: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5"/>
              </w:rPr>
              <w:t>$69,133,918</w:t>
            </w:r>
          </w:p>
        </w:tc>
        <w:tc>
          <w:tcPr>
            <w:tcW w:w="3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4,768,870</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$16,913,097</w:t>
            </w:r>
          </w:p>
        </w:tc>
        <w:tc>
          <w:tcPr>
            <w:tcW w:w="8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1,027,439</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$(2,712,552)</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$88,221,581</w:t>
            </w:r>
          </w:p>
        </w:tc>
        <w:tc>
          <w:tcPr>
            <w:tcW w:w="0" w:type="dxa"/>
            <w:vAlign w:val="bottom"/>
          </w:tcPr>
          <w:p>
            <w:pPr>
              <w:spacing w:after="0"/>
              <w:rPr>
                <w:sz w:val="1"/>
                <w:szCs w:val="1"/>
                <w:color w:val="auto"/>
              </w:rPr>
            </w:pPr>
          </w:p>
        </w:tc>
      </w:tr>
      <w:tr>
        <w:trPr>
          <w:trHeight w:val="199"/>
        </w:trPr>
        <w:tc>
          <w:tcPr>
            <w:tcW w:w="1980" w:type="dxa"/>
            <w:vAlign w:val="bottom"/>
            <w:gridSpan w:val="2"/>
          </w:tcPr>
          <w:p>
            <w:pPr>
              <w:spacing w:after="0" w:line="199" w:lineRule="exact"/>
              <w:rPr>
                <w:sz w:val="20"/>
                <w:szCs w:val="20"/>
                <w:color w:val="auto"/>
              </w:rPr>
            </w:pPr>
            <w:r>
              <w:rPr>
                <w:rFonts w:ascii="Arial" w:cs="Arial" w:eastAsia="Arial" w:hAnsi="Arial"/>
                <w:sz w:val="18"/>
                <w:szCs w:val="18"/>
                <w:color w:val="auto"/>
              </w:rPr>
              <w:t>Stock-based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98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1,373,283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1,373,283</w:t>
            </w:r>
          </w:p>
        </w:tc>
        <w:tc>
          <w:tcPr>
            <w:tcW w:w="0" w:type="dxa"/>
            <w:vAlign w:val="bottom"/>
          </w:tcPr>
          <w:p>
            <w:pPr>
              <w:spacing w:after="0"/>
              <w:rPr>
                <w:sz w:val="1"/>
                <w:szCs w:val="1"/>
                <w:color w:val="auto"/>
              </w:rPr>
            </w:pPr>
          </w:p>
        </w:tc>
      </w:tr>
      <w:tr>
        <w:trPr>
          <w:trHeight w:val="200"/>
        </w:trPr>
        <w:tc>
          <w:tcPr>
            <w:tcW w:w="198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Vesting of</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awards</w:t>
            </w:r>
          </w:p>
        </w:tc>
        <w:tc>
          <w:tcPr>
            <w:tcW w:w="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67,686</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676</w:t>
            </w: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(676)</w:t>
            </w:r>
          </w:p>
        </w:tc>
        <w:tc>
          <w:tcPr>
            <w:tcW w:w="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1980" w:type="dxa"/>
            <w:vAlign w:val="bottom"/>
            <w:gridSpan w:val="2"/>
          </w:tcPr>
          <w:p>
            <w:pPr>
              <w:spacing w:after="0" w:line="199" w:lineRule="exact"/>
              <w:rPr>
                <w:sz w:val="20"/>
                <w:szCs w:val="20"/>
                <w:color w:val="auto"/>
              </w:rPr>
            </w:pPr>
            <w:r>
              <w:rPr>
                <w:rFonts w:ascii="Arial" w:cs="Arial" w:eastAsia="Arial" w:hAnsi="Arial"/>
                <w:sz w:val="18"/>
                <w:szCs w:val="18"/>
                <w:color w:val="auto"/>
              </w:rPr>
              <w:t>Shares deducted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980" w:type="dxa"/>
            <w:vAlign w:val="bottom"/>
            <w:gridSpan w:val="2"/>
          </w:tcPr>
          <w:p>
            <w:pPr>
              <w:spacing w:after="0"/>
              <w:rPr>
                <w:sz w:val="20"/>
                <w:szCs w:val="20"/>
                <w:color w:val="auto"/>
              </w:rPr>
            </w:pPr>
            <w:r>
              <w:rPr>
                <w:rFonts w:ascii="Arial" w:cs="Arial" w:eastAsia="Arial" w:hAnsi="Arial"/>
                <w:sz w:val="18"/>
                <w:szCs w:val="18"/>
                <w:color w:val="auto"/>
              </w:rPr>
              <w:t>from restricted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80" w:type="dxa"/>
            <w:vAlign w:val="bottom"/>
            <w:gridSpan w:val="2"/>
          </w:tcPr>
          <w:p>
            <w:pPr>
              <w:spacing w:after="0"/>
              <w:rPr>
                <w:sz w:val="20"/>
                <w:szCs w:val="20"/>
                <w:color w:val="auto"/>
              </w:rPr>
            </w:pPr>
            <w:r>
              <w:rPr>
                <w:rFonts w:ascii="Arial" w:cs="Arial" w:eastAsia="Arial" w:hAnsi="Arial"/>
                <w:sz w:val="18"/>
                <w:szCs w:val="18"/>
                <w:color w:val="auto"/>
              </w:rPr>
              <w:t>stock awards for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80" w:type="dxa"/>
            <w:vAlign w:val="bottom"/>
            <w:gridSpan w:val="2"/>
          </w:tcPr>
          <w:p>
            <w:pPr>
              <w:spacing w:after="0"/>
              <w:rPr>
                <w:sz w:val="20"/>
                <w:szCs w:val="20"/>
                <w:color w:val="auto"/>
              </w:rPr>
            </w:pPr>
            <w:r>
              <w:rPr>
                <w:rFonts w:ascii="Arial" w:cs="Arial" w:eastAsia="Arial" w:hAnsi="Arial"/>
                <w:sz w:val="18"/>
                <w:szCs w:val="18"/>
                <w:color w:val="auto"/>
              </w:rPr>
              <w:t>payment of</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80" w:type="dxa"/>
            <w:vAlign w:val="bottom"/>
            <w:gridSpan w:val="2"/>
          </w:tcPr>
          <w:p>
            <w:pPr>
              <w:spacing w:after="0"/>
              <w:rPr>
                <w:sz w:val="20"/>
                <w:szCs w:val="20"/>
                <w:color w:val="auto"/>
              </w:rPr>
            </w:pPr>
            <w:r>
              <w:rPr>
                <w:rFonts w:ascii="Arial" w:cs="Arial" w:eastAsia="Arial" w:hAnsi="Arial"/>
                <w:sz w:val="18"/>
                <w:szCs w:val="18"/>
                <w:color w:val="auto"/>
              </w:rPr>
              <w:t>withholding taxes</w:t>
            </w:r>
          </w:p>
        </w:tc>
        <w:tc>
          <w:tcPr>
            <w:tcW w:w="60" w:type="dxa"/>
            <w:vAlign w:val="bottom"/>
          </w:tcPr>
          <w:p>
            <w:pPr>
              <w:jc w:val="right"/>
              <w:spacing w:after="0"/>
              <w:rPr>
                <w:sz w:val="20"/>
                <w:szCs w:val="20"/>
                <w:color w:val="auto"/>
              </w:rPr>
            </w:pPr>
            <w:r>
              <w:rPr>
                <w:rFonts w:ascii="Arial" w:cs="Arial" w:eastAsia="Arial" w:hAnsi="Arial"/>
                <w:sz w:val="15"/>
                <w:szCs w:val="15"/>
                <w:color w:val="auto"/>
                <w:w w:val="79"/>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(21,268)</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(211)</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(133,726)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(133,937)</w:t>
            </w:r>
          </w:p>
        </w:tc>
        <w:tc>
          <w:tcPr>
            <w:tcW w:w="0" w:type="dxa"/>
            <w:vAlign w:val="bottom"/>
          </w:tcPr>
          <w:p>
            <w:pPr>
              <w:spacing w:after="0"/>
              <w:rPr>
                <w:sz w:val="1"/>
                <w:szCs w:val="1"/>
                <w:color w:val="auto"/>
              </w:rPr>
            </w:pPr>
          </w:p>
        </w:tc>
      </w:tr>
      <w:tr>
        <w:trPr>
          <w:trHeight w:val="200"/>
        </w:trPr>
        <w:tc>
          <w:tcPr>
            <w:tcW w:w="198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Acquisition of</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168,670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(801,788)</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(801,788)</w:t>
            </w:r>
          </w:p>
        </w:tc>
        <w:tc>
          <w:tcPr>
            <w:tcW w:w="0" w:type="dxa"/>
            <w:vAlign w:val="bottom"/>
          </w:tcPr>
          <w:p>
            <w:pPr>
              <w:spacing w:after="0"/>
              <w:rPr>
                <w:sz w:val="1"/>
                <w:szCs w:val="1"/>
                <w:color w:val="auto"/>
              </w:rPr>
            </w:pPr>
          </w:p>
        </w:tc>
      </w:tr>
      <w:tr>
        <w:trPr>
          <w:trHeight w:val="211"/>
        </w:trPr>
        <w:tc>
          <w:tcPr>
            <w:tcW w:w="1980" w:type="dxa"/>
            <w:vAlign w:val="bottom"/>
            <w:gridSpan w:val="2"/>
          </w:tcPr>
          <w:p>
            <w:pPr>
              <w:spacing w:after="0"/>
              <w:rPr>
                <w:sz w:val="20"/>
                <w:szCs w:val="20"/>
                <w:color w:val="auto"/>
              </w:rPr>
            </w:pPr>
            <w:r>
              <w:rPr>
                <w:rFonts w:ascii="Arial" w:cs="Arial" w:eastAsia="Arial" w:hAnsi="Arial"/>
                <w:sz w:val="18"/>
                <w:szCs w:val="18"/>
                <w:color w:val="auto"/>
              </w:rPr>
              <w:t>Dividends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(1,530,390)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(1,530,390)</w:t>
            </w:r>
          </w:p>
        </w:tc>
        <w:tc>
          <w:tcPr>
            <w:tcW w:w="0" w:type="dxa"/>
            <w:vAlign w:val="bottom"/>
          </w:tcPr>
          <w:p>
            <w:pPr>
              <w:spacing w:after="0"/>
              <w:rPr>
                <w:sz w:val="1"/>
                <w:szCs w:val="1"/>
                <w:color w:val="auto"/>
              </w:rPr>
            </w:pPr>
          </w:p>
        </w:tc>
      </w:tr>
      <w:tr>
        <w:trPr>
          <w:trHeight w:val="211"/>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(2,063,869)</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(2,063,869)</w:t>
            </w:r>
          </w:p>
        </w:tc>
        <w:tc>
          <w:tcPr>
            <w:tcW w:w="0" w:type="dxa"/>
            <w:vAlign w:val="bottom"/>
          </w:tcPr>
          <w:p>
            <w:pPr>
              <w:spacing w:after="0"/>
              <w:rPr>
                <w:sz w:val="1"/>
                <w:szCs w:val="1"/>
                <w:color w:val="auto"/>
              </w:rPr>
            </w:pPr>
          </w:p>
        </w:tc>
      </w:tr>
      <w:tr>
        <w:trPr>
          <w:trHeight w:val="199"/>
        </w:trPr>
        <w:tc>
          <w:tcPr>
            <w:tcW w:w="1980" w:type="dxa"/>
            <w:vAlign w:val="bottom"/>
            <w:gridSpan w:val="2"/>
          </w:tcPr>
          <w:p>
            <w:pPr>
              <w:spacing w:after="0" w:line="199" w:lineRule="exact"/>
              <w:rPr>
                <w:sz w:val="20"/>
                <w:szCs w:val="20"/>
                <w:color w:val="auto"/>
              </w:rPr>
            </w:pPr>
            <w:r>
              <w:rPr>
                <w:rFonts w:ascii="Arial" w:cs="Arial" w:eastAsia="Arial" w:hAnsi="Arial"/>
                <w:sz w:val="18"/>
                <w:szCs w:val="18"/>
                <w:color w:val="auto"/>
              </w:rPr>
              <w:t>Change in</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980" w:type="dxa"/>
            <w:vAlign w:val="bottom"/>
            <w:gridSpan w:val="2"/>
          </w:tcPr>
          <w:p>
            <w:pPr>
              <w:spacing w:after="0"/>
              <w:rPr>
                <w:sz w:val="20"/>
                <w:szCs w:val="20"/>
                <w:color w:val="auto"/>
              </w:rPr>
            </w:pPr>
            <w:r>
              <w:rPr>
                <w:rFonts w:ascii="Arial" w:cs="Arial" w:eastAsia="Arial" w:hAnsi="Arial"/>
                <w:sz w:val="18"/>
                <w:szCs w:val="18"/>
                <w:color w:val="auto"/>
              </w:rPr>
              <w:t>unrealized gains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80" w:type="dxa"/>
            <w:vAlign w:val="bottom"/>
            <w:gridSpan w:val="2"/>
          </w:tcPr>
          <w:p>
            <w:pPr>
              <w:spacing w:after="0"/>
              <w:rPr>
                <w:sz w:val="20"/>
                <w:szCs w:val="20"/>
                <w:color w:val="auto"/>
              </w:rPr>
            </w:pPr>
            <w:r>
              <w:rPr>
                <w:rFonts w:ascii="Arial" w:cs="Arial" w:eastAsia="Arial" w:hAnsi="Arial"/>
                <w:sz w:val="18"/>
                <w:szCs w:val="18"/>
                <w:color w:val="auto"/>
              </w:rPr>
              <w:t>on available-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80" w:type="dxa"/>
            <w:vAlign w:val="bottom"/>
            <w:gridSpan w:val="2"/>
          </w:tcPr>
          <w:p>
            <w:pPr>
              <w:spacing w:after="0"/>
              <w:rPr>
                <w:sz w:val="20"/>
                <w:szCs w:val="20"/>
                <w:color w:val="auto"/>
              </w:rPr>
            </w:pPr>
            <w:r>
              <w:rPr>
                <w:rFonts w:ascii="Arial" w:cs="Arial" w:eastAsia="Arial" w:hAnsi="Arial"/>
                <w:sz w:val="18"/>
                <w:szCs w:val="18"/>
                <w:color w:val="auto"/>
              </w:rPr>
              <w:t>for-sale securities,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4,248,545</w:t>
            </w:r>
          </w:p>
        </w:tc>
        <w:tc>
          <w:tcPr>
            <w:tcW w:w="10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4,248,545</w:t>
            </w:r>
          </w:p>
        </w:tc>
        <w:tc>
          <w:tcPr>
            <w:tcW w:w="0" w:type="dxa"/>
            <w:vAlign w:val="bottom"/>
          </w:tcPr>
          <w:p>
            <w:pPr>
              <w:spacing w:after="0"/>
              <w:rPr>
                <w:sz w:val="1"/>
                <w:szCs w:val="1"/>
                <w:color w:val="auto"/>
              </w:rPr>
            </w:pPr>
          </w:p>
        </w:tc>
      </w:tr>
      <w:tr>
        <w:trPr>
          <w:trHeight w:val="210"/>
        </w:trPr>
        <w:tc>
          <w:tcPr>
            <w:tcW w:w="1440" w:type="dxa"/>
            <w:vAlign w:val="bottom"/>
          </w:tcPr>
          <w:p>
            <w:pPr>
              <w:spacing w:after="0"/>
              <w:rPr>
                <w:sz w:val="20"/>
                <w:szCs w:val="20"/>
                <w:color w:val="auto"/>
              </w:rPr>
            </w:pPr>
            <w:r>
              <w:rPr>
                <w:rFonts w:ascii="Arial" w:cs="Arial" w:eastAsia="Arial" w:hAnsi="Arial"/>
                <w:sz w:val="18"/>
                <w:szCs w:val="18"/>
                <w:color w:val="auto"/>
              </w:rPr>
              <w:t>net of tax</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440" w:type="dxa"/>
            <w:vAlign w:val="bottom"/>
            <w:tcBorders>
              <w:right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Balance,</w:t>
            </w: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80" w:type="dxa"/>
            <w:vAlign w:val="bottom"/>
            <w:shd w:val="clear" w:color="auto" w:fill="CCEEFF"/>
          </w:tcPr>
          <w:p>
            <w:pPr>
              <w:spacing w:after="0"/>
              <w:rPr>
                <w:sz w:val="18"/>
                <w:szCs w:val="18"/>
                <w:color w:val="auto"/>
              </w:rPr>
            </w:pPr>
          </w:p>
        </w:tc>
        <w:tc>
          <w:tcPr>
            <w:tcW w:w="58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5"/>
              </w:rPr>
              <w:t>11,871,307</w:t>
            </w:r>
          </w:p>
        </w:tc>
        <w:tc>
          <w:tcPr>
            <w:tcW w:w="8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118,713</w:t>
            </w:r>
          </w:p>
        </w:tc>
        <w:tc>
          <w:tcPr>
            <w:tcW w:w="106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70,372,799</w:t>
            </w:r>
          </w:p>
        </w:tc>
        <w:tc>
          <w:tcPr>
            <w:tcW w:w="300" w:type="dxa"/>
            <w:vAlign w:val="bottom"/>
            <w:gridSpan w:val="3"/>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9,017,415</w:t>
            </w:r>
          </w:p>
        </w:tc>
        <w:tc>
          <w:tcPr>
            <w:tcW w:w="10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13,318,838</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1,196,109</w:t>
            </w:r>
          </w:p>
        </w:tc>
        <w:tc>
          <w:tcPr>
            <w:tcW w:w="10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(3,514,340)</w:t>
            </w:r>
          </w:p>
        </w:tc>
        <w:tc>
          <w:tcPr>
            <w:tcW w:w="10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89,313,425</w:t>
            </w:r>
          </w:p>
        </w:tc>
        <w:tc>
          <w:tcPr>
            <w:tcW w:w="0" w:type="dxa"/>
            <w:vAlign w:val="bottom"/>
          </w:tcPr>
          <w:p>
            <w:pPr>
              <w:spacing w:after="0"/>
              <w:rPr>
                <w:sz w:val="1"/>
                <w:szCs w:val="1"/>
                <w:color w:val="auto"/>
              </w:rPr>
            </w:pPr>
          </w:p>
        </w:tc>
      </w:tr>
      <w:tr>
        <w:trPr>
          <w:trHeight w:val="204"/>
        </w:trPr>
        <w:tc>
          <w:tcPr>
            <w:tcW w:w="1440" w:type="dxa"/>
            <w:vAlign w:val="bottom"/>
            <w:tcBorders>
              <w:right w:val="single" w:sz="8" w:color="CCEEFF"/>
            </w:tcBorders>
            <w:shd w:val="clear" w:color="auto" w:fill="CCEEFF"/>
          </w:tcPr>
          <w:p>
            <w:pPr>
              <w:spacing w:after="0" w:line="184" w:lineRule="exact"/>
              <w:rPr>
                <w:sz w:val="20"/>
                <w:szCs w:val="20"/>
                <w:color w:val="auto"/>
              </w:rPr>
            </w:pPr>
            <w:r>
              <w:rPr>
                <w:rFonts w:ascii="Arial" w:cs="Arial" w:eastAsia="Arial" w:hAnsi="Arial"/>
                <w:sz w:val="18"/>
                <w:szCs w:val="18"/>
                <w:color w:val="auto"/>
              </w:rPr>
              <w:t>2020</w:t>
            </w:r>
          </w:p>
        </w:tc>
        <w:tc>
          <w:tcPr>
            <w:tcW w:w="540" w:type="dxa"/>
            <w:vAlign w:val="bottom"/>
            <w:shd w:val="clear" w:color="auto" w:fill="CCEEFF"/>
          </w:tcPr>
          <w:p>
            <w:pPr>
              <w:spacing w:after="0"/>
              <w:rPr>
                <w:sz w:val="17"/>
                <w:szCs w:val="17"/>
                <w:color w:val="auto"/>
              </w:rPr>
            </w:pPr>
          </w:p>
        </w:tc>
        <w:tc>
          <w:tcPr>
            <w:tcW w:w="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840" w:type="dxa"/>
            <w:vAlign w:val="bottom"/>
            <w:gridSpan w:val="3"/>
            <w:vMerge w:val="continue"/>
            <w:shd w:val="clear" w:color="auto" w:fill="CCEEFF"/>
          </w:tcPr>
          <w:p>
            <w:pPr>
              <w:spacing w:after="0"/>
              <w:rPr>
                <w:sz w:val="17"/>
                <w:szCs w:val="17"/>
                <w:color w:val="auto"/>
              </w:rPr>
            </w:pPr>
          </w:p>
        </w:tc>
        <w:tc>
          <w:tcPr>
            <w:tcW w:w="1060" w:type="dxa"/>
            <w:vAlign w:val="bottom"/>
            <w:gridSpan w:val="4"/>
            <w:vMerge w:val="continue"/>
            <w:shd w:val="clear" w:color="auto" w:fill="CCEEFF"/>
          </w:tcPr>
          <w:p>
            <w:pPr>
              <w:spacing w:after="0"/>
              <w:rPr>
                <w:sz w:val="17"/>
                <w:szCs w:val="17"/>
                <w:color w:val="auto"/>
              </w:rPr>
            </w:pPr>
          </w:p>
        </w:tc>
        <w:tc>
          <w:tcPr>
            <w:tcW w:w="300" w:type="dxa"/>
            <w:vAlign w:val="bottom"/>
            <w:gridSpan w:val="3"/>
            <w:vMerge w:val="continue"/>
            <w:shd w:val="clear" w:color="auto" w:fill="CCEEFF"/>
          </w:tcPr>
          <w:p>
            <w:pPr>
              <w:spacing w:after="0"/>
              <w:rPr>
                <w:sz w:val="17"/>
                <w:szCs w:val="17"/>
                <w:color w:val="auto"/>
              </w:rPr>
            </w:pPr>
          </w:p>
        </w:tc>
        <w:tc>
          <w:tcPr>
            <w:tcW w:w="980" w:type="dxa"/>
            <w:vAlign w:val="bottom"/>
            <w:tcBorders>
              <w:right w:val="single" w:sz="8" w:color="CCEEFF"/>
            </w:tcBorders>
            <w:vMerge w:val="continue"/>
            <w:shd w:val="clear" w:color="auto" w:fill="CCEEFF"/>
          </w:tcPr>
          <w:p>
            <w:pPr>
              <w:spacing w:after="0"/>
              <w:rPr>
                <w:sz w:val="17"/>
                <w:szCs w:val="17"/>
                <w:color w:val="auto"/>
              </w:rPr>
            </w:pPr>
          </w:p>
        </w:tc>
        <w:tc>
          <w:tcPr>
            <w:tcW w:w="108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vMerge w:val="continue"/>
            <w:shd w:val="clear" w:color="auto" w:fill="CCEEFF"/>
          </w:tcPr>
          <w:p>
            <w:pPr>
              <w:spacing w:after="0"/>
              <w:rPr>
                <w:sz w:val="17"/>
                <w:szCs w:val="17"/>
                <w:color w:val="auto"/>
              </w:rPr>
            </w:pPr>
          </w:p>
        </w:tc>
        <w:tc>
          <w:tcPr>
            <w:tcW w:w="1060" w:type="dxa"/>
            <w:vAlign w:val="bottom"/>
            <w:gridSpan w:val="3"/>
            <w:vMerge w:val="continue"/>
            <w:shd w:val="clear" w:color="auto" w:fill="CCEEFF"/>
          </w:tcPr>
          <w:p>
            <w:pPr>
              <w:spacing w:after="0"/>
              <w:rPr>
                <w:sz w:val="17"/>
                <w:szCs w:val="17"/>
                <w:color w:val="auto"/>
              </w:rPr>
            </w:pPr>
          </w:p>
        </w:tc>
        <w:tc>
          <w:tcPr>
            <w:tcW w:w="10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27" w:right="339"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40005</wp:posOffset>
            </wp:positionV>
            <wp:extent cx="71354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127" w:right="339" w:bottom="0" w:gutter="0" w:footer="0" w:header="0"/>
          <w:type w:val="continuous"/>
        </w:sectPr>
      </w:pPr>
    </w:p>
    <w:bookmarkStart w:id="5" w:name="page6"/>
    <w:bookmarkEnd w:id="5"/>
    <w:p>
      <w:pPr>
        <w:spacing w:after="0" w:line="2"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54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(2,063,869)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(7,420,972)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Adjustments to reconcile net loss to net cash flows (used in) provided by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(gains) losses on sale of investments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(857,650)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54,759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ind w:left="180"/>
              <w:spacing w:after="0"/>
              <w:rPr>
                <w:sz w:val="20"/>
                <w:szCs w:val="20"/>
                <w:color w:val="auto"/>
              </w:rPr>
            </w:pPr>
            <w:r>
              <w:rPr>
                <w:rFonts w:ascii="Arial" w:cs="Arial" w:eastAsia="Arial" w:hAnsi="Arial"/>
                <w:sz w:val="18"/>
                <w:szCs w:val="18"/>
                <w:color w:val="auto"/>
              </w:rPr>
              <w:t>Net unrealized losses (gains) on equity investments</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2,740,489</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(3,196,260)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gains of other investments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(244,165)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(570,679)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2,070,435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1,876,202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70,666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ind w:left="180"/>
              <w:spacing w:after="0"/>
              <w:rPr>
                <w:sz w:val="20"/>
                <w:szCs w:val="20"/>
                <w:color w:val="auto"/>
              </w:rPr>
            </w:pPr>
            <w:r>
              <w:rPr>
                <w:rFonts w:ascii="Arial" w:cs="Arial" w:eastAsia="Arial" w:hAnsi="Arial"/>
                <w:sz w:val="18"/>
                <w:szCs w:val="18"/>
                <w:color w:val="auto"/>
              </w:rPr>
              <w:t>Amortization of bond premium, net</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518,146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283,620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discount and issuance costs on long-term debt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132,135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132,135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1,373,283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1,116,921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expense (benefit)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1,154,475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(2,133,486)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(Increase) decrease in operating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Premiums receivable, net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(1,247,963)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(390,922)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ind w:left="180"/>
              <w:spacing w:after="0"/>
              <w:rPr>
                <w:sz w:val="20"/>
                <w:szCs w:val="20"/>
                <w:color w:val="auto"/>
              </w:rPr>
            </w:pPr>
            <w:r>
              <w:rPr>
                <w:rFonts w:ascii="Arial" w:cs="Arial" w:eastAsia="Arial" w:hAnsi="Arial"/>
                <w:sz w:val="18"/>
                <w:szCs w:val="18"/>
                <w:color w:val="auto"/>
              </w:rPr>
              <w:t>Reinsurance receivables, net</w:t>
            </w: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(14,778,870)</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(213,334)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policy acquisition costs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718,053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(2,583,831)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(2,010,253)</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(882,320)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operating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ind w:left="180"/>
              <w:spacing w:after="0"/>
              <w:rPr>
                <w:sz w:val="20"/>
                <w:szCs w:val="20"/>
                <w:color w:val="auto"/>
              </w:rPr>
            </w:pPr>
            <w:r>
              <w:rPr>
                <w:rFonts w:ascii="Arial" w:cs="Arial" w:eastAsia="Arial" w:hAnsi="Arial"/>
                <w:sz w:val="18"/>
                <w:szCs w:val="18"/>
                <w:color w:val="auto"/>
              </w:rPr>
              <w:t>Loss and loss adjustment expense reserves</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4,480,413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21,212,317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Unearned premiums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(2,215,602)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11,036,552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ind w:left="180"/>
              <w:spacing w:after="0"/>
              <w:rPr>
                <w:sz w:val="20"/>
                <w:szCs w:val="20"/>
                <w:color w:val="auto"/>
              </w:rPr>
            </w:pPr>
            <w:r>
              <w:rPr>
                <w:rFonts w:ascii="Arial" w:cs="Arial" w:eastAsia="Arial" w:hAnsi="Arial"/>
                <w:sz w:val="18"/>
                <w:szCs w:val="18"/>
                <w:color w:val="auto"/>
              </w:rPr>
              <w:t>Advance premiums</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1,727,744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1,629,862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Reinsurance balances payable</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(1,652,075)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(1,123,540)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ind w:left="180"/>
              <w:spacing w:after="0"/>
              <w:rPr>
                <w:sz w:val="20"/>
                <w:szCs w:val="20"/>
                <w:color w:val="auto"/>
              </w:rPr>
            </w:pPr>
            <w:r>
              <w:rPr>
                <w:rFonts w:ascii="Arial" w:cs="Arial" w:eastAsia="Arial" w:hAnsi="Arial"/>
                <w:sz w:val="18"/>
                <w:szCs w:val="18"/>
                <w:color w:val="auto"/>
              </w:rPr>
              <w:t>Deferred ceding commission revenue</w:t>
            </w: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(528,256)</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(857,805)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accrued expenses and 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1,147,858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1,568,746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80" w:type="dxa"/>
            <w:vAlign w:val="bottom"/>
          </w:tcPr>
          <w:p>
            <w:pPr>
              <w:spacing w:after="0" w:line="205" w:lineRule="exact"/>
              <w:rPr>
                <w:sz w:val="20"/>
                <w:szCs w:val="20"/>
                <w:color w:val="auto"/>
              </w:rPr>
            </w:pPr>
            <w:r>
              <w:rPr>
                <w:rFonts w:ascii="Arial" w:cs="Arial" w:eastAsia="Arial" w:hAnsi="Arial"/>
                <w:sz w:val="18"/>
                <w:szCs w:val="18"/>
                <w:b w:val="1"/>
                <w:bCs w:val="1"/>
                <w:color w:val="auto"/>
              </w:rPr>
              <w:t>Net cash flows (used in) provided by operating activities</w:t>
            </w:r>
          </w:p>
        </w:tc>
        <w:tc>
          <w:tcPr>
            <w:tcW w:w="180" w:type="dxa"/>
            <w:vAlign w:val="bottom"/>
          </w:tcPr>
          <w:p>
            <w:pPr>
              <w:spacing w:after="0"/>
              <w:rPr>
                <w:sz w:val="17"/>
                <w:szCs w:val="17"/>
                <w:color w:val="auto"/>
              </w:rPr>
            </w:pPr>
          </w:p>
        </w:tc>
        <w:tc>
          <w:tcPr>
            <w:tcW w:w="1140" w:type="dxa"/>
            <w:vAlign w:val="bottom"/>
            <w:gridSpan w:val="2"/>
          </w:tcPr>
          <w:p>
            <w:pPr>
              <w:jc w:val="right"/>
              <w:ind w:right="140"/>
              <w:spacing w:after="0" w:line="205" w:lineRule="exact"/>
              <w:rPr>
                <w:sz w:val="20"/>
                <w:szCs w:val="20"/>
                <w:color w:val="auto"/>
              </w:rPr>
            </w:pPr>
            <w:r>
              <w:rPr>
                <w:rFonts w:ascii="Arial" w:cs="Arial" w:eastAsia="Arial" w:hAnsi="Arial"/>
                <w:sz w:val="18"/>
                <w:szCs w:val="18"/>
                <w:color w:val="auto"/>
              </w:rPr>
              <w:t>(9,465,006)</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19,537,965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86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 - fixed-maturity securities held-to-maturity</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(4,041,750)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Purchase - fixed-maturity securities available-for-sale</w:t>
            </w: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(12,447,259)</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(15,373,113)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 - equity securities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(15,614,675)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(6,657,676)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Sale and redemption - fixed-maturity securities held-to-maturity</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500,000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Sale or maturity - fixed-maturity securities available-for-sale</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29,666,158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9,835,464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Sale - equity securities</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8,103,697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2,941,492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property and equipment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(2,238,432)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(3,231,483)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8680" w:type="dxa"/>
            <w:vAlign w:val="bottom"/>
          </w:tcPr>
          <w:p>
            <w:pPr>
              <w:spacing w:after="0" w:line="205" w:lineRule="exact"/>
              <w:rPr>
                <w:sz w:val="20"/>
                <w:szCs w:val="20"/>
                <w:color w:val="auto"/>
              </w:rPr>
            </w:pPr>
            <w:r>
              <w:rPr>
                <w:rFonts w:ascii="Arial" w:cs="Arial" w:eastAsia="Arial" w:hAnsi="Arial"/>
                <w:sz w:val="18"/>
                <w:szCs w:val="18"/>
                <w:b w:val="1"/>
                <w:bCs w:val="1"/>
                <w:color w:val="auto"/>
              </w:rPr>
              <w:t>Net cash flows provided by (used in) investing activities</w:t>
            </w:r>
          </w:p>
        </w:tc>
        <w:tc>
          <w:tcPr>
            <w:tcW w:w="180" w:type="dxa"/>
            <w:vAlign w:val="bottom"/>
          </w:tcPr>
          <w:p>
            <w:pPr>
              <w:spacing w:after="0"/>
              <w:rPr>
                <w:sz w:val="17"/>
                <w:szCs w:val="17"/>
                <w:color w:val="auto"/>
              </w:rPr>
            </w:pPr>
          </w:p>
        </w:tc>
        <w:tc>
          <w:tcPr>
            <w:tcW w:w="940" w:type="dxa"/>
            <w:vAlign w:val="bottom"/>
          </w:tcPr>
          <w:p>
            <w:pPr>
              <w:jc w:val="right"/>
              <w:spacing w:after="0" w:line="205" w:lineRule="exact"/>
              <w:rPr>
                <w:sz w:val="20"/>
                <w:szCs w:val="20"/>
                <w:color w:val="auto"/>
              </w:rPr>
            </w:pPr>
            <w:r>
              <w:rPr>
                <w:rFonts w:ascii="Arial" w:cs="Arial" w:eastAsia="Arial" w:hAnsi="Arial"/>
                <w:sz w:val="18"/>
                <w:szCs w:val="18"/>
                <w:color w:val="auto"/>
              </w:rPr>
              <w:t>3,927,739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w w:val="95"/>
              </w:rPr>
              <w:t>(12,085,316)</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86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23,552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Withholding taxes paid on vested retricted stock awards</w:t>
            </w: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(133,937)</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(148,278)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(801,788)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(1,530,390)</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(2,827,276)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Net cash flows used in financing activities</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(2,466,115)</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(2,952,002)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86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(8,003,382)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4,500,647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32,391,485</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21,138,403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Cash and cash equivalents, end of period</w:t>
            </w:r>
          </w:p>
        </w:tc>
        <w:tc>
          <w:tcPr>
            <w:tcW w:w="1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24,388,103</w:t>
            </w:r>
          </w:p>
        </w:tc>
        <w:tc>
          <w:tcPr>
            <w:tcW w:w="1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25,639,050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388,000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825,000</w:t>
            </w: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KINGSTONE COMPANIES, INC. AND SUBSIDIARIES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2" w:lineRule="exact"/>
        <w:rPr>
          <w:sz w:val="20"/>
          <w:szCs w:val="20"/>
          <w:color w:val="auto"/>
        </w:rPr>
      </w:pPr>
    </w:p>
    <w:p>
      <w:pPr>
        <w:jc w:val="both"/>
        <w:spacing w:after="0" w:line="328" w:lineRule="auto"/>
        <w:rPr>
          <w:sz w:val="20"/>
          <w:szCs w:val="20"/>
          <w:color w:val="auto"/>
        </w:rPr>
      </w:pPr>
      <w:r>
        <w:rPr>
          <w:rFonts w:ascii="Arial" w:cs="Arial" w:eastAsia="Arial" w:hAnsi="Arial"/>
          <w:sz w:val="15"/>
          <w:szCs w:val="15"/>
          <w:color w:val="auto"/>
        </w:rPr>
        <w:t>Kingstone Companies, Inc. (referred to herein as “Kingstone” or the “Company”), through its wholly owned subsidiary, Kingstone Insurance Company (“KICO”), underwrites property and casualty insurance exclusively through retail and wholesale agents and brokers. KICO is a licensed insurance company in the States of New York, New Jersey, Rhode Island, Massachusetts, Pennsylvania, Connecticut, Maine and New Hampshire. KICO is currently offering its</w:t>
      </w:r>
    </w:p>
    <w:p>
      <w:pPr>
        <w:sectPr>
          <w:pgSz w:w="11900" w:h="16840" w:orient="portrait"/>
          <w:cols w:equalWidth="0" w:num="1">
            <w:col w:w="11240"/>
          </w:cols>
          <w:pgMar w:left="320" w:top="127" w:right="339" w:bottom="0" w:gutter="0" w:footer="0" w:header="0"/>
        </w:sectPr>
      </w:pPr>
    </w:p>
    <w:bookmarkStart w:id="6" w:name="page7"/>
    <w:bookmarkEnd w:id="6"/>
    <w:p>
      <w:pPr>
        <w:jc w:val="both"/>
        <w:spacing w:after="0" w:line="248" w:lineRule="auto"/>
        <w:rPr>
          <w:sz w:val="20"/>
          <w:szCs w:val="20"/>
          <w:color w:val="auto"/>
        </w:rPr>
      </w:pPr>
      <w:r>
        <w:rPr>
          <w:rFonts w:ascii="Arial" w:cs="Arial" w:eastAsia="Arial" w:hAnsi="Arial"/>
          <w:sz w:val="18"/>
          <w:szCs w:val="18"/>
          <w:color w:val="auto"/>
        </w:rPr>
        <w:t>property and casualty insurance products in New York, New Jersey, Rhode Island, Massachusetts, and Connecticut. Although New Jersey, Rhode Island, Massachusetts and Connecticut continue to be growing markets for the Company, 80.6% and 79.9% of KICO’s direct written premiums for the three months and nine months ended September 30, 2020, respectively, came from the New York policies. Kingstone, through its wholly owned subsidiary, Cosi Agency, Inc. (“Cosi”), a multi-state licensed general agency, accesses alternate forms of distribution outside of the independent agent and broker network, through which KICO currently distributes its various products. Kingstone (through Cosi) now has the opportunity to partner with name-brand carriers and access nationwide insurance agencies.</w:t>
      </w:r>
    </w:p>
    <w:p>
      <w:pPr>
        <w:spacing w:after="0" w:line="196"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U.S. generally accepted accounting principles (“GAAP”). The principles for condensed interim financial information do not require the inclusion of all the information and footnotes required by GAAP for complete financial statements. Therefore, these condensed consolidated financial statements should be read in conjunction with the consolidated financial statements as of and for the year ended December 31, 2019 and notes thereto included in the Company’s Annual Report on Form 10-K filed with the Securities and Exchange Commission (the “SEC”) on March 16, 2020.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presentation of the Company’s financial position and results of operations. The results of operations for the nine months ended September 30, 2020 may not be indicative of the results that may be expected for the year ending December 31, 2020.</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Policies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16"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which include the reserves for losses and loss adjustment expenses, and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and assumptions used in preparing the consolidated financial statements.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accompanying condensed consolidated financial statements consist of Kingstone and its following wholly owned subsidiaries: (1) KICO and its wholly owned subsidiaries, CMIC Properties, Inc. (“Properties”) and 15 Joys Lane, LLC (“15 Joys Lane”), which together own the land and building from which KICO operates, and (2) Cosi. All significant intercompany account balances and transactions have been eliminated in consolidation.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Changes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determined that it was not subject to any new accounting pronouncements that became effective during the nine months ended September 30,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w:t>
      </w:r>
    </w:p>
    <w:p>
      <w:pPr>
        <w:spacing w:after="0" w:line="216"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In June 2016, the Financial Accounting Standards Board (the “FASB”) issued Accounting Standards Update (“ASU”) 2016-13 - Financial Instruments - Credit Losses (Topic 326): Measurement of Credit Losses on Financial Instruments (“ASU 2016-13”).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for the Company on January 1, 2023. The Company is currently evaluating the effect the updated guidance will have on its condensed consolidated financial statements.</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December 2019, the FASB issued ASU 2019-12, Income Taxes - Simplifying the Accounting for Income Taxes (“ASU 2019-12”). Among other items, the amendments in ASU 2019-12 simplify the accounting treatment of tax law changes and year-to-date losses in interim periods. An entity generally recognizes the effects of a change in tax law in the period of enactment; however, there is an exception for tax laws with delayed effective dates. Under current guidance, an entity may not adjust its annual effective tax rate for a tax law change until the period in which the law is effective. This exception was removed under ASU 2019-12, thereby providing that all effects of a tax law change are recognized in the period of enactment, including adjustment of the estimated annual effective tax rate. Regarding year-to-date losses in interim periods, an entity is required to estimate its annual effective tax rate for the full fiscal year at the end of each interim period and use that rate to calculate its income taxes on a year-to-date basis. However, current guidance provides an exception that when a loss in an interim period exceeds the anticipated loss for the year, the income tax benefit is limited to the amount that would be recognized if the year-to-date loss were the anticipated loss for the full year. ASU 2019-12 removes this exception and provides that, in this situation, an entity would compute its income tax benefit at each interim period based on its estimated annual effective tax rate. ASU 2019-12 is effective for fiscal years beginning after December 15, 2020, including interim periods within those annual periods. Early adoption is permitted. The Company is currently evaluating the impact of this guidance on its financial condition and results of operations.</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ectPr>
          <w:pgSz w:w="11900" w:h="16838" w:orient="portrait"/>
          <w:cols w:equalWidth="0" w:num="1">
            <w:col w:w="11240"/>
          </w:cols>
          <w:pgMar w:left="320" w:top="127" w:right="339" w:bottom="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Fixed-Maturity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The amortized cost, estimated fair value, and unrealized gains and losses on investments in fixed-maturity securities classified as available-for-sale as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December 31, 2019 are summarized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8"/>
                <w:szCs w:val="18"/>
                <w:b w:val="1"/>
                <w:bCs w:val="1"/>
                <w:color w:val="auto"/>
                <w:w w:val="99"/>
              </w:rPr>
              <w:t>September 30, 2020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88"/>
              </w:rPr>
              <w:t>Cost or</w:t>
            </w:r>
          </w:p>
        </w:tc>
        <w:tc>
          <w:tcPr>
            <w:tcW w:w="80" w:type="dxa"/>
            <w:vAlign w:val="bottom"/>
          </w:tcPr>
          <w:p>
            <w:pPr>
              <w:spacing w:after="0"/>
              <w:rPr>
                <w:sz w:val="17"/>
                <w:szCs w:val="17"/>
                <w:color w:val="auto"/>
              </w:rPr>
            </w:pPr>
          </w:p>
        </w:tc>
        <w:tc>
          <w:tcPr>
            <w:tcW w:w="1020" w:type="dxa"/>
            <w:vAlign w:val="bottom"/>
            <w:gridSpan w:val="2"/>
          </w:tcPr>
          <w:p>
            <w:pPr>
              <w:jc w:val="right"/>
              <w:ind w:right="440"/>
              <w:spacing w:after="0" w:line="205"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7"/>
                <w:szCs w:val="17"/>
                <w:color w:val="auto"/>
              </w:rPr>
            </w:pPr>
          </w:p>
        </w:tc>
        <w:tc>
          <w:tcPr>
            <w:tcW w:w="2180" w:type="dxa"/>
            <w:vAlign w:val="bottom"/>
            <w:gridSpan w:val="6"/>
          </w:tcPr>
          <w:p>
            <w:pPr>
              <w:jc w:val="right"/>
              <w:ind w:right="300"/>
              <w:spacing w:after="0" w:line="205" w:lineRule="exact"/>
              <w:rPr>
                <w:sz w:val="20"/>
                <w:szCs w:val="20"/>
                <w:color w:val="auto"/>
              </w:rPr>
            </w:pPr>
            <w:r>
              <w:rPr>
                <w:rFonts w:ascii="Arial" w:cs="Arial" w:eastAsia="Arial" w:hAnsi="Arial"/>
                <w:sz w:val="18"/>
                <w:szCs w:val="18"/>
                <w:b w:val="1"/>
                <w:bCs w:val="1"/>
                <w:color w:val="auto"/>
                <w:w w:val="86"/>
              </w:rPr>
              <w:t>Gross Unrealized Losses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00"/>
              <w:spacing w:after="0" w:line="205" w:lineRule="exact"/>
              <w:rPr>
                <w:sz w:val="20"/>
                <w:szCs w:val="20"/>
                <w:color w:val="auto"/>
              </w:rPr>
            </w:pPr>
            <w:r>
              <w:rPr>
                <w:rFonts w:ascii="Arial" w:cs="Arial" w:eastAsia="Arial" w:hAnsi="Arial"/>
                <w:sz w:val="18"/>
                <w:szCs w:val="18"/>
                <w:b w:val="1"/>
                <w:bCs w:val="1"/>
                <w:color w:val="auto"/>
                <w:w w:val="88"/>
              </w:rPr>
              <w:t>Estimated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12"/>
              <w:spacing w:after="0" w:line="205"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line="186" w:lineRule="exact"/>
              <w:rPr>
                <w:sz w:val="20"/>
                <w:szCs w:val="20"/>
                <w:color w:val="auto"/>
              </w:rPr>
            </w:pPr>
            <w:r>
              <w:rPr>
                <w:rFonts w:ascii="Arial" w:cs="Arial" w:eastAsia="Arial" w:hAnsi="Arial"/>
                <w:sz w:val="18"/>
                <w:szCs w:val="18"/>
                <w:b w:val="1"/>
                <w:bCs w:val="1"/>
                <w:color w:val="auto"/>
                <w:w w:val="90"/>
              </w:rPr>
              <w:t>Amortized</w:t>
            </w:r>
          </w:p>
        </w:tc>
        <w:tc>
          <w:tcPr>
            <w:tcW w:w="1100" w:type="dxa"/>
            <w:vAlign w:val="bottom"/>
            <w:gridSpan w:val="3"/>
          </w:tcPr>
          <w:p>
            <w:pPr>
              <w:jc w:val="right"/>
              <w:ind w:right="260"/>
              <w:spacing w:after="0" w:line="186" w:lineRule="exact"/>
              <w:rPr>
                <w:sz w:val="20"/>
                <w:szCs w:val="20"/>
                <w:color w:val="auto"/>
              </w:rPr>
            </w:pPr>
            <w:r>
              <w:rPr>
                <w:rFonts w:ascii="Arial" w:cs="Arial" w:eastAsia="Arial" w:hAnsi="Arial"/>
                <w:sz w:val="18"/>
                <w:szCs w:val="18"/>
                <w:b w:val="1"/>
                <w:bCs w:val="1"/>
                <w:color w:val="auto"/>
                <w:w w:val="90"/>
              </w:rPr>
              <w:t>Unrealized</w:t>
            </w:r>
          </w:p>
        </w:tc>
        <w:tc>
          <w:tcPr>
            <w:tcW w:w="1080" w:type="dxa"/>
            <w:vAlign w:val="bottom"/>
            <w:tcBorders>
              <w:top w:val="single" w:sz="8" w:color="auto"/>
            </w:tcBorders>
            <w:gridSpan w:val="3"/>
          </w:tcPr>
          <w:p>
            <w:pPr>
              <w:spacing w:after="0" w:line="186" w:lineRule="exact"/>
              <w:rPr>
                <w:sz w:val="20"/>
                <w:szCs w:val="20"/>
                <w:color w:val="auto"/>
              </w:rPr>
            </w:pPr>
            <w:r>
              <w:rPr>
                <w:rFonts w:ascii="Arial" w:cs="Arial" w:eastAsia="Arial" w:hAnsi="Arial"/>
                <w:sz w:val="18"/>
                <w:szCs w:val="18"/>
                <w:b w:val="1"/>
                <w:bCs w:val="1"/>
                <w:color w:val="auto"/>
                <w:w w:val="97"/>
              </w:rPr>
              <w:t>Less than 12</w:t>
            </w:r>
          </w:p>
        </w:tc>
        <w:tc>
          <w:tcPr>
            <w:tcW w:w="1080" w:type="dxa"/>
            <w:vAlign w:val="bottom"/>
            <w:tcBorders>
              <w:top w:val="single" w:sz="8" w:color="auto"/>
            </w:tcBorders>
            <w:gridSpan w:val="3"/>
          </w:tcPr>
          <w:p>
            <w:pPr>
              <w:ind w:left="80"/>
              <w:spacing w:after="0" w:line="186" w:lineRule="exact"/>
              <w:rPr>
                <w:sz w:val="20"/>
                <w:szCs w:val="20"/>
                <w:color w:val="auto"/>
              </w:rPr>
            </w:pPr>
            <w:r>
              <w:rPr>
                <w:rFonts w:ascii="Arial" w:cs="Arial" w:eastAsia="Arial" w:hAnsi="Arial"/>
                <w:sz w:val="18"/>
                <w:szCs w:val="18"/>
                <w:b w:val="1"/>
                <w:bCs w:val="1"/>
                <w:color w:val="auto"/>
                <w:w w:val="88"/>
              </w:rPr>
              <w:t>More than 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00"/>
              <w:spacing w:after="0" w:line="186"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6"/>
                <w:szCs w:val="16"/>
                <w:color w:val="auto"/>
              </w:rPr>
            </w:pPr>
          </w:p>
        </w:tc>
        <w:tc>
          <w:tcPr>
            <w:tcW w:w="1000" w:type="dxa"/>
            <w:vAlign w:val="bottom"/>
            <w:gridSpan w:val="3"/>
          </w:tcPr>
          <w:p>
            <w:pPr>
              <w:jc w:val="center"/>
              <w:ind w:right="100"/>
              <w:spacing w:after="0" w:line="186" w:lineRule="exact"/>
              <w:rPr>
                <w:sz w:val="20"/>
                <w:szCs w:val="20"/>
                <w:color w:val="auto"/>
              </w:rPr>
            </w:pPr>
            <w:r>
              <w:rPr>
                <w:rFonts w:ascii="Arial" w:cs="Arial" w:eastAsia="Arial" w:hAnsi="Arial"/>
                <w:sz w:val="18"/>
                <w:szCs w:val="18"/>
                <w:b w:val="1"/>
                <w:bCs w:val="1"/>
                <w:color w:val="auto"/>
                <w:w w:val="90"/>
              </w:rPr>
              <w:t>Unrealized</w:t>
            </w:r>
          </w:p>
        </w:tc>
        <w:tc>
          <w:tcPr>
            <w:tcW w:w="0" w:type="dxa"/>
            <w:vAlign w:val="bottom"/>
          </w:tcPr>
          <w:p>
            <w:pPr>
              <w:spacing w:after="0"/>
              <w:rPr>
                <w:sz w:val="1"/>
                <w:szCs w:val="1"/>
                <w:color w:val="auto"/>
              </w:rPr>
            </w:pPr>
          </w:p>
        </w:tc>
      </w:tr>
      <w:tr>
        <w:trPr>
          <w:trHeight w:val="229"/>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Cost</w:t>
            </w:r>
          </w:p>
        </w:tc>
        <w:tc>
          <w:tcPr>
            <w:tcW w:w="8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Months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Months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Gains</w:t>
            </w:r>
          </w:p>
        </w:tc>
        <w:tc>
          <w:tcPr>
            <w:tcW w:w="0" w:type="dxa"/>
            <w:vAlign w:val="bottom"/>
          </w:tcPr>
          <w:p>
            <w:pPr>
              <w:spacing w:after="0"/>
              <w:rPr>
                <w:sz w:val="1"/>
                <w:szCs w:val="1"/>
                <w:color w:val="auto"/>
              </w:rPr>
            </w:pPr>
          </w:p>
        </w:tc>
      </w:tr>
      <w:tr>
        <w:trPr>
          <w:trHeight w:val="415"/>
        </w:trPr>
        <w:tc>
          <w:tcPr>
            <w:tcW w:w="42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3,026,477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3,069,330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42,853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5,593,778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322,297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5,916,075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322,297</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112,504,206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10,698,206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123,200,758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10,696,552</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 (1)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24,002,398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535,772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(147,253)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24,352,426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220" w:type="dxa"/>
            <w:vAlign w:val="bottom"/>
          </w:tcPr>
          <w:p>
            <w:pPr>
              <w:spacing w:after="0" w:line="205"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c>
          <w:tcPr>
            <w:tcW w:w="100" w:type="dxa"/>
            <w:vAlign w:val="bottom"/>
          </w:tcPr>
          <w:p>
            <w:pPr>
              <w:jc w:val="right"/>
              <w:spacing w:after="0" w:line="205" w:lineRule="exact"/>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w w:val="87"/>
              </w:rPr>
              <w:t>145,126,859</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w w:val="86"/>
              </w:rPr>
              <w:t>11,599,128</w:t>
            </w:r>
          </w:p>
        </w:tc>
        <w:tc>
          <w:tcPr>
            <w:tcW w:w="120" w:type="dxa"/>
            <w:vAlign w:val="bottom"/>
          </w:tcPr>
          <w:p>
            <w:pPr>
              <w:spacing w:after="0" w:line="205"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80"/>
              <w:spacing w:after="0" w:line="204" w:lineRule="exact"/>
              <w:rPr>
                <w:sz w:val="20"/>
                <w:szCs w:val="20"/>
                <w:color w:val="auto"/>
              </w:rPr>
            </w:pPr>
            <w:r>
              <w:rPr>
                <w:rFonts w:ascii="Arial" w:cs="Arial" w:eastAsia="Arial" w:hAnsi="Arial"/>
                <w:sz w:val="13"/>
                <w:szCs w:val="13"/>
                <w:color w:val="auto"/>
              </w:rPr>
              <w:t>(40,145</w:t>
            </w:r>
            <w:r>
              <w:rPr>
                <w:rFonts w:ascii="Arial" w:cs="Arial" w:eastAsia="Arial" w:hAnsi="Arial"/>
                <w:sz w:val="23"/>
                <w:szCs w:val="23"/>
                <w:color w:val="auto"/>
                <w:vertAlign w:val="subscript"/>
              </w:rPr>
              <w:t>)</w:t>
            </w:r>
          </w:p>
        </w:tc>
        <w:tc>
          <w:tcPr>
            <w:tcW w:w="240" w:type="dxa"/>
            <w:vAlign w:val="bottom"/>
            <w:gridSpan w:val="2"/>
          </w:tcPr>
          <w:p>
            <w:pPr>
              <w:ind w:left="80"/>
              <w:spacing w:after="0" w:line="205"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line="204" w:lineRule="exact"/>
              <w:rPr>
                <w:sz w:val="20"/>
                <w:szCs w:val="20"/>
                <w:color w:val="auto"/>
              </w:rPr>
            </w:pPr>
            <w:r>
              <w:rPr>
                <w:rFonts w:ascii="Arial" w:cs="Arial" w:eastAsia="Arial" w:hAnsi="Arial"/>
                <w:sz w:val="13"/>
                <w:szCs w:val="13"/>
                <w:color w:val="auto"/>
              </w:rPr>
              <w:t>(147,253</w:t>
            </w:r>
            <w:r>
              <w:rPr>
                <w:rFonts w:ascii="Arial" w:cs="Arial" w:eastAsia="Arial" w:hAnsi="Arial"/>
                <w:sz w:val="23"/>
                <w:szCs w:val="23"/>
                <w:color w:val="auto"/>
                <w:vertAlign w:val="subscript"/>
              </w:rPr>
              <w:t>)</w:t>
            </w:r>
          </w:p>
        </w:tc>
        <w:tc>
          <w:tcPr>
            <w:tcW w:w="180" w:type="dxa"/>
            <w:vAlign w:val="bottom"/>
            <w:gridSpan w:val="2"/>
          </w:tcPr>
          <w:p>
            <w:pPr>
              <w:jc w:val="right"/>
              <w:ind w:right="20"/>
              <w:spacing w:after="0" w:line="205" w:lineRule="exact"/>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w w:val="85"/>
              </w:rPr>
              <w:t>156,538,589</w:t>
            </w:r>
          </w:p>
        </w:tc>
        <w:tc>
          <w:tcPr>
            <w:tcW w:w="2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w w:val="86"/>
              </w:rPr>
              <w:t>11,411,730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460" w:hanging="454"/>
        <w:spacing w:after="0" w:line="317"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KICO has placed certain residential mortgage backed securities as eligible collateral in a designated custodian account related to its membership in the Federal Home Loan Bank of New York (“FHLBNY”) (see Note 7). The eligible collateral would be pledged to FHLBNY if KICO draws an advance from the FHLBNY credit line. As of September 30, 2020, the estimated fair value of the eligible investments was approximately $6,685,000. KICO will retain all rights regarding all securities if pledged as collateral. As of September 30, 2020, there was no outstanding balance on the FHLBNY credit line.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80" w:type="dxa"/>
            <w:vAlign w:val="bottom"/>
            <w:gridSpan w:val="2"/>
          </w:tcPr>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8"/>
                <w:szCs w:val="18"/>
                <w:b w:val="1"/>
                <w:bCs w:val="1"/>
                <w:color w:val="auto"/>
              </w:rPr>
              <w:t>December 31, 2019</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6"/>
            <w:vMerge w:val="restart"/>
          </w:tcPr>
          <w:p>
            <w:pPr>
              <w:jc w:val="right"/>
              <w:ind w:right="300"/>
              <w:spacing w:after="0"/>
              <w:rPr>
                <w:sz w:val="20"/>
                <w:szCs w:val="20"/>
                <w:color w:val="auto"/>
              </w:rPr>
            </w:pPr>
            <w:r>
              <w:rPr>
                <w:rFonts w:ascii="Arial" w:cs="Arial" w:eastAsia="Arial" w:hAnsi="Arial"/>
                <w:sz w:val="18"/>
                <w:szCs w:val="18"/>
                <w:b w:val="1"/>
                <w:bCs w:val="1"/>
                <w:color w:val="auto"/>
                <w:w w:val="86"/>
              </w:rPr>
              <w:t>Gross Unrealized Losses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ind w:right="52"/>
              <w:spacing w:after="0" w:line="201"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Cost or</w:t>
            </w:r>
          </w:p>
        </w:tc>
        <w:tc>
          <w:tcPr>
            <w:tcW w:w="14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Gross</w:t>
            </w:r>
          </w:p>
        </w:tc>
        <w:tc>
          <w:tcPr>
            <w:tcW w:w="120" w:type="dxa"/>
            <w:vAlign w:val="bottom"/>
          </w:tcPr>
          <w:p>
            <w:pPr>
              <w:spacing w:after="0"/>
              <w:rPr>
                <w:sz w:val="18"/>
                <w:szCs w:val="18"/>
                <w:color w:val="auto"/>
              </w:rPr>
            </w:pPr>
          </w:p>
        </w:tc>
        <w:tc>
          <w:tcPr>
            <w:tcW w:w="218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Estimated</w:t>
            </w:r>
          </w:p>
        </w:tc>
        <w:tc>
          <w:tcPr>
            <w:tcW w:w="120" w:type="dxa"/>
            <w:vAlign w:val="bottom"/>
          </w:tcPr>
          <w:p>
            <w:pPr>
              <w:spacing w:after="0"/>
              <w:rPr>
                <w:sz w:val="18"/>
                <w:szCs w:val="18"/>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Unrealized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280"/>
              <w:spacing w:after="0" w:line="186" w:lineRule="exact"/>
              <w:rPr>
                <w:sz w:val="20"/>
                <w:szCs w:val="20"/>
                <w:color w:val="auto"/>
              </w:rPr>
            </w:pPr>
            <w:r>
              <w:rPr>
                <w:rFonts w:ascii="Arial" w:cs="Arial" w:eastAsia="Arial" w:hAnsi="Arial"/>
                <w:sz w:val="18"/>
                <w:szCs w:val="18"/>
                <w:b w:val="1"/>
                <w:bCs w:val="1"/>
                <w:color w:val="auto"/>
                <w:w w:val="90"/>
              </w:rPr>
              <w:t>Amortized</w:t>
            </w:r>
          </w:p>
        </w:tc>
        <w:tc>
          <w:tcPr>
            <w:tcW w:w="1100" w:type="dxa"/>
            <w:vAlign w:val="bottom"/>
            <w:gridSpan w:val="3"/>
          </w:tcPr>
          <w:p>
            <w:pPr>
              <w:jc w:val="right"/>
              <w:ind w:right="260"/>
              <w:spacing w:after="0" w:line="186" w:lineRule="exact"/>
              <w:rPr>
                <w:sz w:val="20"/>
                <w:szCs w:val="20"/>
                <w:color w:val="auto"/>
              </w:rPr>
            </w:pPr>
            <w:r>
              <w:rPr>
                <w:rFonts w:ascii="Arial" w:cs="Arial" w:eastAsia="Arial" w:hAnsi="Arial"/>
                <w:sz w:val="18"/>
                <w:szCs w:val="18"/>
                <w:b w:val="1"/>
                <w:bCs w:val="1"/>
                <w:color w:val="auto"/>
                <w:w w:val="90"/>
              </w:rPr>
              <w:t>Unrealized</w:t>
            </w:r>
          </w:p>
        </w:tc>
        <w:tc>
          <w:tcPr>
            <w:tcW w:w="1080" w:type="dxa"/>
            <w:vAlign w:val="bottom"/>
            <w:tcBorders>
              <w:top w:val="single" w:sz="8" w:color="auto"/>
            </w:tcBorders>
            <w:gridSpan w:val="3"/>
          </w:tcPr>
          <w:p>
            <w:pPr>
              <w:spacing w:after="0" w:line="186" w:lineRule="exact"/>
              <w:rPr>
                <w:sz w:val="20"/>
                <w:szCs w:val="20"/>
                <w:color w:val="auto"/>
              </w:rPr>
            </w:pPr>
            <w:r>
              <w:rPr>
                <w:rFonts w:ascii="Arial" w:cs="Arial" w:eastAsia="Arial" w:hAnsi="Arial"/>
                <w:sz w:val="18"/>
                <w:szCs w:val="18"/>
                <w:b w:val="1"/>
                <w:bCs w:val="1"/>
                <w:color w:val="auto"/>
                <w:w w:val="97"/>
              </w:rPr>
              <w:t>Less than 12</w:t>
            </w:r>
          </w:p>
        </w:tc>
        <w:tc>
          <w:tcPr>
            <w:tcW w:w="1080" w:type="dxa"/>
            <w:vAlign w:val="bottom"/>
            <w:tcBorders>
              <w:top w:val="single" w:sz="8" w:color="auto"/>
            </w:tcBorders>
            <w:gridSpan w:val="3"/>
          </w:tcPr>
          <w:p>
            <w:pPr>
              <w:ind w:left="80"/>
              <w:spacing w:after="0" w:line="186" w:lineRule="exact"/>
              <w:rPr>
                <w:sz w:val="20"/>
                <w:szCs w:val="20"/>
                <w:color w:val="auto"/>
              </w:rPr>
            </w:pPr>
            <w:r>
              <w:rPr>
                <w:rFonts w:ascii="Arial" w:cs="Arial" w:eastAsia="Arial" w:hAnsi="Arial"/>
                <w:sz w:val="18"/>
                <w:szCs w:val="18"/>
                <w:b w:val="1"/>
                <w:bCs w:val="1"/>
                <w:color w:val="auto"/>
                <w:w w:val="88"/>
              </w:rPr>
              <w:t>More than 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200"/>
              <w:spacing w:after="0" w:line="186"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line="186" w:lineRule="exact"/>
              <w:rPr>
                <w:sz w:val="20"/>
                <w:szCs w:val="20"/>
                <w:color w:val="auto"/>
              </w:rPr>
            </w:pPr>
            <w:r>
              <w:rPr>
                <w:rFonts w:ascii="Arial" w:cs="Arial" w:eastAsia="Arial" w:hAnsi="Arial"/>
                <w:sz w:val="18"/>
                <w:szCs w:val="18"/>
                <w:b w:val="1"/>
                <w:bCs w:val="1"/>
                <w:color w:val="auto"/>
                <w:w w:val="87"/>
              </w:rPr>
              <w:t>Gains</w:t>
            </w:r>
          </w:p>
        </w:tc>
        <w:tc>
          <w:tcPr>
            <w:tcW w:w="0" w:type="dxa"/>
            <w:vAlign w:val="bottom"/>
          </w:tcPr>
          <w:p>
            <w:pPr>
              <w:spacing w:after="0"/>
              <w:rPr>
                <w:sz w:val="1"/>
                <w:szCs w:val="1"/>
                <w:color w:val="auto"/>
              </w:rPr>
            </w:pPr>
          </w:p>
        </w:tc>
      </w:tr>
      <w:tr>
        <w:trPr>
          <w:trHeight w:val="229"/>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Gains</w:t>
            </w:r>
          </w:p>
        </w:tc>
        <w:tc>
          <w:tcPr>
            <w:tcW w:w="1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Months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Months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42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and</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7,037,856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23,244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7,061,100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23,244</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9,151,293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181,835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9,321,812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170,519</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119,874,573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5,777,624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125,622,039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5,747,466</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 (1)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26,138,633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437,841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(68,793)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(276,451)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26,231,230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260" w:type="dxa"/>
            <w:vAlign w:val="bottom"/>
          </w:tcPr>
          <w:p>
            <w:pPr>
              <w:spacing w:after="0" w:line="205" w:lineRule="exact"/>
              <w:rPr>
                <w:sz w:val="20"/>
                <w:szCs w:val="20"/>
                <w:color w:val="auto"/>
              </w:rPr>
            </w:pPr>
            <w:r>
              <w:rPr>
                <w:rFonts w:ascii="Arial" w:cs="Arial" w:eastAsia="Arial" w:hAnsi="Arial"/>
                <w:sz w:val="18"/>
                <w:szCs w:val="18"/>
                <w:color w:val="auto"/>
              </w:rPr>
              <w:t>Total</w:t>
            </w:r>
          </w:p>
        </w:tc>
        <w:tc>
          <w:tcPr>
            <w:tcW w:w="180" w:type="dxa"/>
            <w:vAlign w:val="bottom"/>
            <w:gridSpan w:val="2"/>
          </w:tcPr>
          <w:p>
            <w:pPr>
              <w:jc w:val="right"/>
              <w:spacing w:after="0" w:line="205" w:lineRule="exact"/>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w w:val="87"/>
              </w:rPr>
              <w:t>162,202,355</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205" w:lineRule="exact"/>
              <w:rPr>
                <w:sz w:val="20"/>
                <w:szCs w:val="20"/>
                <w:color w:val="auto"/>
              </w:rPr>
            </w:pPr>
            <w:r>
              <w:rPr>
                <w:rFonts w:ascii="Arial" w:cs="Arial" w:eastAsia="Arial" w:hAnsi="Arial"/>
                <w:sz w:val="18"/>
                <w:szCs w:val="18"/>
                <w:color w:val="auto"/>
                <w:w w:val="89"/>
              </w:rPr>
              <w:t>6,420,544</w:t>
            </w:r>
          </w:p>
        </w:tc>
        <w:tc>
          <w:tcPr>
            <w:tcW w:w="220" w:type="dxa"/>
            <w:vAlign w:val="bottom"/>
          </w:tcPr>
          <w:p>
            <w:pPr>
              <w:spacing w:after="0"/>
              <w:rPr>
                <w:sz w:val="17"/>
                <w:szCs w:val="17"/>
                <w:color w:val="auto"/>
              </w:rPr>
            </w:pPr>
          </w:p>
        </w:tc>
        <w:tc>
          <w:tcPr>
            <w:tcW w:w="120" w:type="dxa"/>
            <w:vAlign w:val="bottom"/>
          </w:tcPr>
          <w:p>
            <w:pPr>
              <w:spacing w:after="0" w:line="205"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80"/>
              <w:spacing w:after="0" w:line="205" w:lineRule="exact"/>
              <w:rPr>
                <w:sz w:val="20"/>
                <w:szCs w:val="20"/>
                <w:color w:val="auto"/>
              </w:rPr>
            </w:pPr>
            <w:r>
              <w:rPr>
                <w:rFonts w:ascii="Arial" w:cs="Arial" w:eastAsia="Arial" w:hAnsi="Arial"/>
                <w:sz w:val="18"/>
                <w:szCs w:val="18"/>
                <w:color w:val="auto"/>
              </w:rPr>
              <w:t>(96,794)</w:t>
            </w:r>
          </w:p>
        </w:tc>
        <w:tc>
          <w:tcPr>
            <w:tcW w:w="220" w:type="dxa"/>
            <w:vAlign w:val="bottom"/>
            <w:gridSpan w:val="2"/>
          </w:tcPr>
          <w:p>
            <w:pPr>
              <w:ind w:left="80"/>
              <w:spacing w:after="0" w:line="205"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line="205" w:lineRule="exact"/>
              <w:rPr>
                <w:sz w:val="20"/>
                <w:szCs w:val="20"/>
                <w:color w:val="auto"/>
              </w:rPr>
            </w:pPr>
            <w:r>
              <w:rPr>
                <w:rFonts w:ascii="Arial" w:cs="Arial" w:eastAsia="Arial" w:hAnsi="Arial"/>
                <w:sz w:val="18"/>
                <w:szCs w:val="18"/>
                <w:color w:val="auto"/>
              </w:rPr>
              <w:t>(289,924)</w:t>
            </w:r>
          </w:p>
        </w:tc>
        <w:tc>
          <w:tcPr>
            <w:tcW w:w="160" w:type="dxa"/>
            <w:vAlign w:val="bottom"/>
            <w:gridSpan w:val="2"/>
          </w:tcPr>
          <w:p>
            <w:pPr>
              <w:jc w:val="right"/>
              <w:spacing w:after="0" w:line="205" w:lineRule="exact"/>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w w:val="87"/>
              </w:rPr>
              <w:t>168,236,181</w:t>
            </w:r>
          </w:p>
        </w:tc>
        <w:tc>
          <w:tcPr>
            <w:tcW w:w="24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w w:val="92"/>
              </w:rPr>
              <w:t>6,033,826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460" w:hanging="454"/>
        <w:spacing w:after="0" w:line="270"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KICO has placed certain residential mortgage backed securities as eligible collateral in a designated custodian account related to its membership in the FHLBNY (see Note 7). The eligible collateral would be pledged to FHLBNY if KICO draws an advance from the FHLBNY credit line. As of December 31, 2019, the estimated fair value of the eligible investments was approximately $7,284,000. KICO will retain all rights regarding all securities if pledged as collateral. As of December 31, 2019, there was no outstanding balance on the FHLBNY credit line.</w:t>
      </w:r>
    </w:p>
    <w:p>
      <w:pPr>
        <w:spacing w:after="0" w:line="17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summary of the amortized cost and estimated fair value of the Company’s investments in available-for-sale fixed-maturity securities by contractual maturity as of September 30, 2020 and December 31, 2019 is shown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5"/>
          </w:tcPr>
          <w:p>
            <w:pPr>
              <w:ind w:left="360"/>
              <w:spacing w:after="0"/>
              <w:rPr>
                <w:sz w:val="20"/>
                <w:szCs w:val="20"/>
                <w:color w:val="auto"/>
              </w:rPr>
            </w:pPr>
            <w:r>
              <w:rPr>
                <w:rFonts w:ascii="Arial" w:cs="Arial" w:eastAsia="Arial" w:hAnsi="Arial"/>
                <w:sz w:val="18"/>
                <w:szCs w:val="18"/>
                <w:b w:val="1"/>
                <w:bCs w:val="1"/>
                <w:color w:val="auto"/>
              </w:rPr>
              <w:t>September 30, 2020</w:t>
            </w:r>
          </w:p>
        </w:tc>
        <w:tc>
          <w:tcPr>
            <w:tcW w:w="120" w:type="dxa"/>
            <w:vAlign w:val="bottom"/>
          </w:tcPr>
          <w:p>
            <w:pPr>
              <w:spacing w:after="0"/>
              <w:rPr>
                <w:sz w:val="19"/>
                <w:szCs w:val="19"/>
                <w:color w:val="auto"/>
              </w:rPr>
            </w:pPr>
          </w:p>
        </w:tc>
        <w:tc>
          <w:tcPr>
            <w:tcW w:w="2420" w:type="dxa"/>
            <w:vAlign w:val="bottom"/>
            <w:gridSpan w:val="5"/>
          </w:tcPr>
          <w:p>
            <w:pPr>
              <w:ind w:left="40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87" w:lineRule="exact"/>
              <w:rPr>
                <w:sz w:val="20"/>
                <w:szCs w:val="20"/>
                <w:color w:val="auto"/>
              </w:rPr>
            </w:pPr>
            <w:r>
              <w:rPr>
                <w:rFonts w:ascii="Arial" w:cs="Arial" w:eastAsia="Arial" w:hAnsi="Arial"/>
                <w:sz w:val="18"/>
                <w:szCs w:val="18"/>
                <w:b w:val="1"/>
                <w:bCs w:val="1"/>
                <w:color w:val="auto"/>
                <w:w w:val="90"/>
              </w:rPr>
              <w:t>Amortized</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40"/>
              <w:spacing w:after="0" w:line="187" w:lineRule="exact"/>
              <w:rPr>
                <w:sz w:val="20"/>
                <w:szCs w:val="20"/>
                <w:color w:val="auto"/>
              </w:rPr>
            </w:pPr>
            <w:r>
              <w:rPr>
                <w:rFonts w:ascii="Arial" w:cs="Arial" w:eastAsia="Arial" w:hAnsi="Arial"/>
                <w:sz w:val="18"/>
                <w:szCs w:val="18"/>
                <w:b w:val="1"/>
                <w:bCs w:val="1"/>
                <w:color w:val="auto"/>
              </w:rPr>
              <w:t>Estimated</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87" w:lineRule="exact"/>
              <w:rPr>
                <w:sz w:val="20"/>
                <w:szCs w:val="20"/>
                <w:color w:val="auto"/>
              </w:rPr>
            </w:pPr>
            <w:r>
              <w:rPr>
                <w:rFonts w:ascii="Arial" w:cs="Arial" w:eastAsia="Arial" w:hAnsi="Arial"/>
                <w:sz w:val="18"/>
                <w:szCs w:val="18"/>
                <w:b w:val="1"/>
                <w:bCs w:val="1"/>
                <w:color w:val="auto"/>
                <w:w w:val="90"/>
              </w:rPr>
              <w:t>Amortized</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40"/>
              <w:spacing w:after="0" w:line="187"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Cost</w:t>
            </w:r>
          </w:p>
        </w:tc>
        <w:tc>
          <w:tcPr>
            <w:tcW w:w="14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8,879,582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8,986,248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11,986,401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12,025,804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46,530,097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49,878,416</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49,715,422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51,000,025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57,021,277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64,194,995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69,850,104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74,410,275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8,693,505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9,126,504</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4,511,795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4,568,847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 asset backed securities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24,002,398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24,352,426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26,138,633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26,231,230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gridSpan w:val="2"/>
          </w:tcPr>
          <w:p>
            <w:pPr>
              <w:spacing w:after="0" w:line="205" w:lineRule="exact"/>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w w:val="97"/>
              </w:rPr>
              <w:t>145,126,859</w:t>
            </w:r>
          </w:p>
        </w:tc>
        <w:tc>
          <w:tcPr>
            <w:tcW w:w="200" w:type="dxa"/>
            <w:vAlign w:val="bottom"/>
          </w:tcPr>
          <w:p>
            <w:pPr>
              <w:spacing w:after="0"/>
              <w:rPr>
                <w:sz w:val="17"/>
                <w:szCs w:val="17"/>
                <w:color w:val="auto"/>
              </w:rPr>
            </w:pPr>
          </w:p>
        </w:tc>
        <w:tc>
          <w:tcPr>
            <w:tcW w:w="14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w w:val="95"/>
              </w:rPr>
              <w:t>156,538,589</w:t>
            </w:r>
          </w:p>
        </w:tc>
        <w:tc>
          <w:tcPr>
            <w:tcW w:w="12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w w:val="97"/>
              </w:rPr>
              <w:t>162,202,355</w:t>
            </w:r>
          </w:p>
        </w:tc>
        <w:tc>
          <w:tcPr>
            <w:tcW w:w="14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w w:val="95"/>
              </w:rPr>
              <w:t>168,236,181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The actual maturities may differ from contractual maturities because certain borrowers have the right to call or prepay obligations with or without penalties.</w:t>
      </w:r>
    </w:p>
    <w:p>
      <w:pPr>
        <w:sectPr>
          <w:pgSz w:w="11900" w:h="16838" w:orient="portrait"/>
          <w:cols w:equalWidth="0" w:num="1">
            <w:col w:w="11240"/>
          </w:cols>
          <w:pgMar w:left="320" w:top="127" w:right="339" w:bottom="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w:t>
      </w:r>
    </w:p>
    <w:p>
      <w:pPr>
        <w:spacing w:after="0" w:line="2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cost and estimated fair value of, and gross unrealized gains and losses on, investments in equity securities as of September 30, 2020 and December 31, 2019 are as follows:</w:t>
      </w:r>
    </w:p>
    <w:p>
      <w:pPr>
        <w:spacing w:after="0" w:line="174" w:lineRule="exact"/>
        <w:rPr>
          <w:sz w:val="20"/>
          <w:szCs w:val="20"/>
          <w:color w:val="auto"/>
        </w:rPr>
      </w:pPr>
    </w:p>
    <w:tbl>
      <w:tblPr>
        <w:tblLayout w:type="fixed"/>
        <w:tblInd w:w="860" w:type="dxa"/>
        <w:tblCellMar>
          <w:top w:w="0" w:type="dxa"/>
          <w:left w:w="0" w:type="dxa"/>
          <w:bottom w:w="0" w:type="dxa"/>
          <w:right w:w="0" w:type="dxa"/>
        </w:tblCellMar>
      </w:tblPr>
      <w:tr>
        <w:trPr>
          <w:trHeight w:val="229"/>
        </w:trPr>
        <w:tc>
          <w:tcPr>
            <w:tcW w:w="5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8"/>
                <w:szCs w:val="18"/>
                <w:b w:val="1"/>
                <w:bCs w:val="1"/>
                <w:color w:val="auto"/>
                <w:w w:val="93"/>
              </w:rPr>
              <w:t>September 30, 2020</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5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260"/>
              <w:spacing w:after="0" w:line="187"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320"/>
              <w:spacing w:after="0" w:line="187"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5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Unrealized</w:t>
            </w:r>
          </w:p>
        </w:tc>
        <w:tc>
          <w:tcPr>
            <w:tcW w:w="8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Estimated</w:t>
            </w:r>
          </w:p>
        </w:tc>
      </w:tr>
      <w:tr>
        <w:trPr>
          <w:trHeight w:val="229"/>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7"/>
              </w:rPr>
              <w:t>Gains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19"/>
                <w:szCs w:val="19"/>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19"/>
                <w:szCs w:val="19"/>
                <w:color w:val="auto"/>
              </w:rPr>
            </w:pPr>
          </w:p>
        </w:tc>
      </w:tr>
      <w:tr>
        <w:trPr>
          <w:trHeight w:val="415"/>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$ 14,260,019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325,070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(339,125)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14,245,964</w:t>
            </w:r>
          </w:p>
        </w:tc>
      </w:tr>
      <w:tr>
        <w:trPr>
          <w:trHeight w:val="211"/>
        </w:trPr>
        <w:tc>
          <w:tcPr>
            <w:tcW w:w="5080" w:type="dxa"/>
            <w:vAlign w:val="bottom"/>
            <w:gridSpan w:val="2"/>
          </w:tcPr>
          <w:p>
            <w:pPr>
              <w:spacing w:after="0"/>
              <w:rPr>
                <w:sz w:val="20"/>
                <w:szCs w:val="20"/>
                <w:color w:val="auto"/>
              </w:rPr>
            </w:pPr>
            <w:r>
              <w:rPr>
                <w:rFonts w:ascii="Arial" w:cs="Arial" w:eastAsia="Arial" w:hAnsi="Arial"/>
                <w:sz w:val="18"/>
                <w:szCs w:val="18"/>
                <w:color w:val="auto"/>
              </w:rPr>
              <w:t>Common stocks, mutual funds, and exchange traded funds</w:t>
            </w:r>
          </w:p>
        </w:tc>
        <w:tc>
          <w:tcPr>
            <w:tcW w:w="960" w:type="dxa"/>
            <w:vAlign w:val="bottom"/>
          </w:tcPr>
          <w:p>
            <w:pPr>
              <w:jc w:val="right"/>
              <w:spacing w:after="0"/>
              <w:rPr>
                <w:sz w:val="20"/>
                <w:szCs w:val="20"/>
                <w:color w:val="auto"/>
              </w:rPr>
            </w:pPr>
            <w:r>
              <w:rPr>
                <w:rFonts w:ascii="Arial" w:cs="Arial" w:eastAsia="Arial" w:hAnsi="Arial"/>
                <w:sz w:val="18"/>
                <w:szCs w:val="18"/>
                <w:color w:val="auto"/>
              </w:rPr>
              <w:t>16,040,820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777,813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(1,441,330)</w:t>
            </w: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15,377,303</w:t>
            </w:r>
          </w:p>
        </w:tc>
      </w:tr>
      <w:tr>
        <w:trPr>
          <w:trHeight w:val="20"/>
        </w:trPr>
        <w:tc>
          <w:tcPr>
            <w:tcW w:w="5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08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89"/>
              </w:rPr>
              <w:t>$ 30,300,839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94"/>
              </w:rPr>
              <w:t>1,102,883</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w w:val="91"/>
              </w:rPr>
              <w:t>(1,780,455)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w w:val="93"/>
              </w:rPr>
              <w:t>29,623,267</w:t>
            </w:r>
          </w:p>
        </w:tc>
      </w:tr>
      <w:tr>
        <w:trPr>
          <w:trHeight w:val="20"/>
        </w:trPr>
        <w:tc>
          <w:tcPr>
            <w:tcW w:w="5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02"/>
        </w:trPr>
        <w:tc>
          <w:tcPr>
            <w:tcW w:w="5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8"/>
                <w:szCs w:val="18"/>
                <w:b w:val="1"/>
                <w:bCs w:val="1"/>
                <w:color w:val="auto"/>
                <w:w w:val="96"/>
              </w:rPr>
              <w:t>December 31, 2019</w:t>
            </w: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260"/>
              <w:spacing w:after="0" w:line="187"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320"/>
              <w:spacing w:after="0" w:line="187"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5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Unrealized</w:t>
            </w:r>
          </w:p>
        </w:tc>
        <w:tc>
          <w:tcPr>
            <w:tcW w:w="8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Estimated</w:t>
            </w:r>
          </w:p>
        </w:tc>
      </w:tr>
      <w:tr>
        <w:trPr>
          <w:trHeight w:val="229"/>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7"/>
              </w:rPr>
              <w:t>Gains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19"/>
                <w:szCs w:val="19"/>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19"/>
                <w:szCs w:val="19"/>
                <w:color w:val="auto"/>
              </w:rPr>
            </w:pPr>
          </w:p>
        </w:tc>
      </w:tr>
      <w:tr>
        <w:trPr>
          <w:trHeight w:val="415"/>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8,374,424</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339,257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8,701,887</w:t>
            </w:r>
          </w:p>
        </w:tc>
        <w:tc>
          <w:tcPr>
            <w:tcW w:w="100" w:type="dxa"/>
            <w:vAlign w:val="bottom"/>
            <w:shd w:val="clear" w:color="auto" w:fill="CCEEFF"/>
          </w:tcPr>
          <w:p>
            <w:pPr>
              <w:spacing w:after="0"/>
              <w:rPr>
                <w:sz w:val="18"/>
                <w:szCs w:val="18"/>
                <w:color w:val="auto"/>
              </w:rPr>
            </w:pPr>
          </w:p>
        </w:tc>
      </w:tr>
      <w:tr>
        <w:trPr>
          <w:trHeight w:val="211"/>
        </w:trPr>
        <w:tc>
          <w:tcPr>
            <w:tcW w:w="5080" w:type="dxa"/>
            <w:vAlign w:val="bottom"/>
            <w:gridSpan w:val="2"/>
          </w:tcPr>
          <w:p>
            <w:pPr>
              <w:spacing w:after="0"/>
              <w:rPr>
                <w:sz w:val="20"/>
                <w:szCs w:val="20"/>
                <w:color w:val="auto"/>
              </w:rPr>
            </w:pPr>
            <w:r>
              <w:rPr>
                <w:rFonts w:ascii="Arial" w:cs="Arial" w:eastAsia="Arial" w:hAnsi="Arial"/>
                <w:sz w:val="18"/>
                <w:szCs w:val="18"/>
                <w:color w:val="auto"/>
              </w:rPr>
              <w:t>Common stocks, mutual funds, and exchange traded funds</w:t>
            </w:r>
          </w:p>
        </w:tc>
        <w:tc>
          <w:tcPr>
            <w:tcW w:w="960" w:type="dxa"/>
            <w:vAlign w:val="bottom"/>
          </w:tcPr>
          <w:p>
            <w:pPr>
              <w:jc w:val="right"/>
              <w:spacing w:after="0"/>
              <w:rPr>
                <w:sz w:val="20"/>
                <w:szCs w:val="20"/>
                <w:color w:val="auto"/>
              </w:rPr>
            </w:pPr>
            <w:r>
              <w:rPr>
                <w:rFonts w:ascii="Arial" w:cs="Arial" w:eastAsia="Arial" w:hAnsi="Arial"/>
                <w:sz w:val="18"/>
                <w:szCs w:val="18"/>
                <w:color w:val="auto"/>
              </w:rPr>
              <w:t>14,250,244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1,982,878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(273,627)</w:t>
            </w: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15,959,495</w:t>
            </w:r>
          </w:p>
        </w:tc>
      </w:tr>
      <w:tr>
        <w:trPr>
          <w:trHeight w:val="20"/>
        </w:trPr>
        <w:tc>
          <w:tcPr>
            <w:tcW w:w="5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08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89"/>
              </w:rPr>
              <w:t>$ 22,624,668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94"/>
              </w:rPr>
              <w:t>2,322,135</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(285,421)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w w:val="93"/>
              </w:rPr>
              <w:t>24,661,382</w:t>
            </w:r>
          </w:p>
        </w:tc>
      </w:tr>
      <w:tr>
        <w:trPr>
          <w:trHeight w:val="20"/>
        </w:trPr>
        <w:tc>
          <w:tcPr>
            <w:tcW w:w="5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Investments</w:t>
      </w:r>
    </w:p>
    <w:p>
      <w:pPr>
        <w:spacing w:after="0" w:line="2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cost and estimated fair value of, and gross unrealized gains on, the Company’s other investments as of September 30, 2020 and December 31, 2019 are as follows: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80" w:type="dxa"/>
            <w:vAlign w:val="bottom"/>
            <w:gridSpan w:val="8"/>
          </w:tcPr>
          <w:p>
            <w:pPr>
              <w:jc w:val="center"/>
              <w:ind w:right="180"/>
              <w:spacing w:after="0"/>
              <w:rPr>
                <w:sz w:val="20"/>
                <w:szCs w:val="20"/>
                <w:color w:val="auto"/>
              </w:rPr>
            </w:pPr>
            <w:r>
              <w:rPr>
                <w:rFonts w:ascii="Arial" w:cs="Arial" w:eastAsia="Arial" w:hAnsi="Arial"/>
                <w:sz w:val="18"/>
                <w:szCs w:val="18"/>
                <w:b w:val="1"/>
                <w:bCs w:val="1"/>
                <w:color w:val="auto"/>
                <w:w w:val="88"/>
              </w:rPr>
              <w:t>September 30, 2020</w:t>
            </w:r>
          </w:p>
        </w:tc>
        <w:tc>
          <w:tcPr>
            <w:tcW w:w="288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87"/>
              </w:rPr>
              <w:t>December 31, 2019</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gridSpan w:val="2"/>
          </w:tcPr>
          <w:p>
            <w:pPr>
              <w:jc w:val="center"/>
              <w:ind w:right="280"/>
              <w:spacing w:after="0" w:line="187"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center"/>
              <w:ind w:right="220"/>
              <w:spacing w:after="0" w:line="187"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Unrealized</w:t>
            </w:r>
          </w:p>
        </w:tc>
        <w:tc>
          <w:tcPr>
            <w:tcW w:w="8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Estimated</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Unrealized</w:t>
            </w:r>
          </w:p>
        </w:tc>
        <w:tc>
          <w:tcPr>
            <w:tcW w:w="8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Estimated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80" w:type="dxa"/>
            <w:vAlign w:val="bottom"/>
          </w:tcPr>
          <w:p>
            <w:pPr>
              <w:spacing w:after="0"/>
              <w:rPr>
                <w:sz w:val="19"/>
                <w:szCs w:val="19"/>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Cost</w:t>
            </w:r>
          </w:p>
        </w:tc>
        <w:tc>
          <w:tcPr>
            <w:tcW w:w="180" w:type="dxa"/>
            <w:vAlign w:val="bottom"/>
          </w:tcPr>
          <w:p>
            <w:pPr>
              <w:spacing w:after="0"/>
              <w:rPr>
                <w:sz w:val="19"/>
                <w:szCs w:val="19"/>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Gains</w:t>
            </w:r>
          </w:p>
        </w:tc>
        <w:tc>
          <w:tcPr>
            <w:tcW w:w="8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4"/>
              </w:rPr>
              <w:t>Cost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Gains</w:t>
            </w:r>
          </w:p>
        </w:tc>
        <w:tc>
          <w:tcPr>
            <w:tcW w:w="8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860" w:type="dxa"/>
            <w:vAlign w:val="bottom"/>
          </w:tcPr>
          <w:p>
            <w:pPr>
              <w:spacing w:after="0"/>
              <w:rPr>
                <w:sz w:val="24"/>
                <w:szCs w:val="24"/>
                <w:color w:val="auto"/>
              </w:rPr>
            </w:pPr>
          </w:p>
        </w:tc>
        <w:tc>
          <w:tcPr>
            <w:tcW w:w="36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Other Investments:</w:t>
            </w:r>
          </w:p>
        </w:tc>
        <w:tc>
          <w:tcPr>
            <w:tcW w:w="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Hedge fund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1,999,381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829,697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2,829,078</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1,999,381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585,532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2,584,913</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3580" w:type="dxa"/>
            <w:vAlign w:val="bottom"/>
          </w:tcPr>
          <w:p>
            <w:pPr>
              <w:spacing w:after="0" w:line="205" w:lineRule="exact"/>
              <w:rPr>
                <w:sz w:val="20"/>
                <w:szCs w:val="20"/>
                <w:color w:val="auto"/>
              </w:rPr>
            </w:pPr>
            <w:r>
              <w:rPr>
                <w:rFonts w:ascii="Arial" w:cs="Arial" w:eastAsia="Arial" w:hAnsi="Arial"/>
                <w:sz w:val="18"/>
                <w:szCs w:val="18"/>
                <w:color w:val="auto"/>
              </w:rPr>
              <w:t>Total</w:t>
            </w:r>
          </w:p>
        </w:tc>
        <w:tc>
          <w:tcPr>
            <w:tcW w:w="80" w:type="dxa"/>
            <w:vAlign w:val="bottom"/>
          </w:tcPr>
          <w:p>
            <w:pPr>
              <w:spacing w:after="0"/>
              <w:rPr>
                <w:sz w:val="17"/>
                <w:szCs w:val="17"/>
                <w:color w:val="auto"/>
              </w:rPr>
            </w:pPr>
          </w:p>
        </w:tc>
        <w:tc>
          <w:tcPr>
            <w:tcW w:w="820" w:type="dxa"/>
            <w:vAlign w:val="bottom"/>
          </w:tcPr>
          <w:p>
            <w:pPr>
              <w:jc w:val="center"/>
              <w:spacing w:after="0" w:line="205"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1,999,381</w:t>
            </w:r>
          </w:p>
        </w:tc>
        <w:tc>
          <w:tcPr>
            <w:tcW w:w="180" w:type="dxa"/>
            <w:vAlign w:val="bottom"/>
          </w:tcPr>
          <w:p>
            <w:pPr>
              <w:spacing w:after="0"/>
              <w:rPr>
                <w:sz w:val="17"/>
                <w:szCs w:val="17"/>
                <w:color w:val="auto"/>
              </w:rPr>
            </w:pPr>
          </w:p>
        </w:tc>
        <w:tc>
          <w:tcPr>
            <w:tcW w:w="180" w:type="dxa"/>
            <w:vAlign w:val="bottom"/>
          </w:tcPr>
          <w:p>
            <w:pPr>
              <w:spacing w:after="0" w:line="205"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5" w:lineRule="exact"/>
              <w:rPr>
                <w:sz w:val="20"/>
                <w:szCs w:val="20"/>
                <w:color w:val="auto"/>
              </w:rPr>
            </w:pPr>
            <w:r>
              <w:rPr>
                <w:rFonts w:ascii="Arial" w:cs="Arial" w:eastAsia="Arial" w:hAnsi="Arial"/>
                <w:sz w:val="18"/>
                <w:szCs w:val="18"/>
                <w:color w:val="auto"/>
                <w:w w:val="92"/>
              </w:rPr>
              <w:t>829,697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line="205"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2,829,078</w:t>
            </w:r>
          </w:p>
        </w:tc>
        <w:tc>
          <w:tcPr>
            <w:tcW w:w="180" w:type="dxa"/>
            <w:vAlign w:val="bottom"/>
          </w:tcPr>
          <w:p>
            <w:pPr>
              <w:spacing w:after="0"/>
              <w:rPr>
                <w:sz w:val="17"/>
                <w:szCs w:val="17"/>
                <w:color w:val="auto"/>
              </w:rPr>
            </w:pPr>
          </w:p>
        </w:tc>
        <w:tc>
          <w:tcPr>
            <w:tcW w:w="800" w:type="dxa"/>
            <w:vAlign w:val="bottom"/>
          </w:tcPr>
          <w:p>
            <w:pPr>
              <w:jc w:val="center"/>
              <w:spacing w:after="0" w:line="205"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1,999,381</w:t>
            </w:r>
          </w:p>
        </w:tc>
        <w:tc>
          <w:tcPr>
            <w:tcW w:w="180" w:type="dxa"/>
            <w:vAlign w:val="bottom"/>
          </w:tcPr>
          <w:p>
            <w:pPr>
              <w:spacing w:after="0"/>
              <w:rPr>
                <w:sz w:val="17"/>
                <w:szCs w:val="17"/>
                <w:color w:val="auto"/>
              </w:rPr>
            </w:pPr>
          </w:p>
        </w:tc>
        <w:tc>
          <w:tcPr>
            <w:tcW w:w="14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585,532</w:t>
            </w:r>
          </w:p>
        </w:tc>
        <w:tc>
          <w:tcPr>
            <w:tcW w:w="100" w:type="dxa"/>
            <w:vAlign w:val="bottom"/>
          </w:tcPr>
          <w:p>
            <w:pPr>
              <w:spacing w:after="0"/>
              <w:rPr>
                <w:sz w:val="17"/>
                <w:szCs w:val="17"/>
                <w:color w:val="auto"/>
              </w:rPr>
            </w:pPr>
          </w:p>
        </w:tc>
        <w:tc>
          <w:tcPr>
            <w:tcW w:w="880" w:type="dxa"/>
            <w:vAlign w:val="bottom"/>
            <w:gridSpan w:val="2"/>
          </w:tcPr>
          <w:p>
            <w:pPr>
              <w:ind w:left="80"/>
              <w:spacing w:after="0" w:line="205" w:lineRule="exact"/>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2,584,913</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11</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Held-to-Maturity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The cost or amortized cost and estimated fair value of, and unrealized gross gains and losses on, investments in held-to-maturity fixed-maturity securities as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December 31, 2019 are summarized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September 30, 2020</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85"/>
              </w:rPr>
              <w:t>Cost or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380"/>
              <w:spacing w:after="0" w:line="205"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ind w:left="40"/>
              <w:spacing w:after="0" w:line="205" w:lineRule="exact"/>
              <w:rPr>
                <w:sz w:val="20"/>
                <w:szCs w:val="20"/>
                <w:color w:val="auto"/>
              </w:rPr>
            </w:pPr>
            <w:r>
              <w:rPr>
                <w:rFonts w:ascii="Arial" w:cs="Arial" w:eastAsia="Arial" w:hAnsi="Arial"/>
                <w:sz w:val="18"/>
                <w:szCs w:val="18"/>
                <w:b w:val="1"/>
                <w:bCs w:val="1"/>
                <w:color w:val="auto"/>
                <w:w w:val="87"/>
              </w:rPr>
              <w:t>Gross Unrealized Losses</w:t>
            </w:r>
          </w:p>
        </w:tc>
        <w:tc>
          <w:tcPr>
            <w:tcW w:w="1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jc w:val="center"/>
              <w:ind w:right="100"/>
              <w:spacing w:after="0" w:line="205" w:lineRule="exact"/>
              <w:rPr>
                <w:sz w:val="20"/>
                <w:szCs w:val="20"/>
                <w:color w:val="auto"/>
              </w:rPr>
            </w:pPr>
            <w:r>
              <w:rPr>
                <w:rFonts w:ascii="Arial" w:cs="Arial" w:eastAsia="Arial" w:hAnsi="Arial"/>
                <w:sz w:val="18"/>
                <w:szCs w:val="18"/>
                <w:b w:val="1"/>
                <w:bCs w:val="1"/>
                <w:color w:val="auto"/>
                <w:w w:val="88"/>
              </w:rPr>
              <w:t>Estimated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center"/>
              <w:ind w:right="72"/>
              <w:spacing w:after="0" w:line="205"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100"/>
              <w:spacing w:after="0" w:line="186" w:lineRule="exact"/>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6"/>
                <w:szCs w:val="16"/>
                <w:color w:val="auto"/>
              </w:rPr>
            </w:pPr>
          </w:p>
        </w:tc>
        <w:tc>
          <w:tcPr>
            <w:tcW w:w="1100" w:type="dxa"/>
            <w:vAlign w:val="bottom"/>
            <w:gridSpan w:val="3"/>
          </w:tcPr>
          <w:p>
            <w:pPr>
              <w:jc w:val="center"/>
              <w:ind w:right="200"/>
              <w:spacing w:after="0" w:line="186" w:lineRule="exact"/>
              <w:rPr>
                <w:sz w:val="20"/>
                <w:szCs w:val="20"/>
                <w:color w:val="auto"/>
              </w:rPr>
            </w:pPr>
            <w:r>
              <w:rPr>
                <w:rFonts w:ascii="Arial" w:cs="Arial" w:eastAsia="Arial" w:hAnsi="Arial"/>
                <w:sz w:val="18"/>
                <w:szCs w:val="18"/>
                <w:b w:val="1"/>
                <w:bCs w:val="1"/>
                <w:color w:val="auto"/>
                <w:w w:val="90"/>
              </w:rPr>
              <w:t>Unrealized</w:t>
            </w:r>
          </w:p>
        </w:tc>
        <w:tc>
          <w:tcPr>
            <w:tcW w:w="1160" w:type="dxa"/>
            <w:vAlign w:val="bottom"/>
            <w:gridSpan w:val="3"/>
          </w:tcPr>
          <w:p>
            <w:pPr>
              <w:spacing w:after="0" w:line="186" w:lineRule="exact"/>
              <w:rPr>
                <w:sz w:val="20"/>
                <w:szCs w:val="20"/>
                <w:color w:val="auto"/>
              </w:rPr>
            </w:pPr>
            <w:r>
              <w:rPr>
                <w:rFonts w:ascii="Arial" w:cs="Arial" w:eastAsia="Arial" w:hAnsi="Arial"/>
                <w:sz w:val="18"/>
                <w:szCs w:val="18"/>
                <w:b w:val="1"/>
                <w:bCs w:val="1"/>
                <w:color w:val="auto"/>
              </w:rPr>
              <w:t>Less than 12</w:t>
            </w:r>
          </w:p>
        </w:tc>
        <w:tc>
          <w:tcPr>
            <w:tcW w:w="1000" w:type="dxa"/>
            <w:vAlign w:val="bottom"/>
            <w:gridSpan w:val="2"/>
          </w:tcPr>
          <w:p>
            <w:pPr>
              <w:jc w:val="right"/>
              <w:spacing w:after="0" w:line="186" w:lineRule="exact"/>
              <w:rPr>
                <w:sz w:val="20"/>
                <w:szCs w:val="20"/>
                <w:color w:val="auto"/>
              </w:rPr>
            </w:pPr>
            <w:r>
              <w:rPr>
                <w:rFonts w:ascii="Arial" w:cs="Arial" w:eastAsia="Arial" w:hAnsi="Arial"/>
                <w:sz w:val="18"/>
                <w:szCs w:val="18"/>
                <w:b w:val="1"/>
                <w:bCs w:val="1"/>
                <w:color w:val="auto"/>
                <w:w w:val="88"/>
              </w:rPr>
              <w:t>More than 12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40"/>
              <w:spacing w:after="0" w:line="186"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6"/>
                <w:szCs w:val="16"/>
                <w:color w:val="auto"/>
              </w:rPr>
            </w:pPr>
          </w:p>
        </w:tc>
        <w:tc>
          <w:tcPr>
            <w:tcW w:w="980" w:type="dxa"/>
            <w:vAlign w:val="bottom"/>
            <w:gridSpan w:val="3"/>
          </w:tcPr>
          <w:p>
            <w:pPr>
              <w:jc w:val="center"/>
              <w:ind w:right="120"/>
              <w:spacing w:after="0" w:line="186" w:lineRule="exact"/>
              <w:rPr>
                <w:sz w:val="20"/>
                <w:szCs w:val="20"/>
                <w:color w:val="auto"/>
              </w:rPr>
            </w:pPr>
            <w:r>
              <w:rPr>
                <w:rFonts w:ascii="Arial" w:cs="Arial" w:eastAsia="Arial" w:hAnsi="Arial"/>
                <w:sz w:val="18"/>
                <w:szCs w:val="18"/>
                <w:b w:val="1"/>
                <w:bCs w:val="1"/>
                <w:color w:val="auto"/>
                <w:w w:val="90"/>
              </w:rPr>
              <w:t>Unrealized</w:t>
            </w: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19"/>
                <w:szCs w:val="19"/>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Months</w:t>
            </w:r>
          </w:p>
        </w:tc>
        <w:tc>
          <w:tcPr>
            <w:tcW w:w="900" w:type="dxa"/>
            <w:vAlign w:val="bottom"/>
          </w:tcPr>
          <w:p>
            <w:pPr>
              <w:jc w:val="right"/>
              <w:ind w:right="16"/>
              <w:spacing w:after="0"/>
              <w:rPr>
                <w:sz w:val="20"/>
                <w:szCs w:val="20"/>
                <w:color w:val="auto"/>
              </w:rPr>
            </w:pPr>
            <w:r>
              <w:rPr>
                <w:rFonts w:ascii="Arial" w:cs="Arial" w:eastAsia="Arial" w:hAnsi="Arial"/>
                <w:sz w:val="18"/>
                <w:szCs w:val="18"/>
                <w:b w:val="1"/>
                <w:bCs w:val="1"/>
                <w:color w:val="auto"/>
              </w:rPr>
              <w:t>Months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Gains</w:t>
            </w:r>
          </w:p>
        </w:tc>
        <w:tc>
          <w:tcPr>
            <w:tcW w:w="0" w:type="dxa"/>
            <w:vAlign w:val="bottom"/>
          </w:tcPr>
          <w:p>
            <w:pPr>
              <w:spacing w:after="0"/>
              <w:rPr>
                <w:sz w:val="1"/>
                <w:szCs w:val="1"/>
                <w:color w:val="auto"/>
              </w:rPr>
            </w:pPr>
          </w:p>
        </w:tc>
      </w:tr>
      <w:tr>
        <w:trPr>
          <w:trHeight w:val="415"/>
        </w:trPr>
        <w:tc>
          <w:tcPr>
            <w:tcW w:w="44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729,583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162,442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6"/>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892,025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162,442</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998,480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56,700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1,055,180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5,641,545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334,412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(23,858)</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5,952,099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310,554</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4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7,369,608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553,554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60"/>
              <w:spacing w:after="0" w:line="211" w:lineRule="exact"/>
              <w:rPr>
                <w:sz w:val="20"/>
                <w:szCs w:val="20"/>
                <w:color w:val="auto"/>
              </w:rPr>
            </w:pPr>
            <w:r>
              <w:rPr>
                <w:rFonts w:ascii="Arial" w:cs="Arial" w:eastAsia="Arial" w:hAnsi="Arial"/>
                <w:sz w:val="14"/>
                <w:szCs w:val="14"/>
                <w:color w:val="auto"/>
              </w:rPr>
              <w:t>(23,858</w:t>
            </w:r>
            <w:r>
              <w:rPr>
                <w:rFonts w:ascii="Arial" w:cs="Arial" w:eastAsia="Arial" w:hAnsi="Arial"/>
                <w:sz w:val="24"/>
                <w:szCs w:val="24"/>
                <w:color w:val="auto"/>
                <w:vertAlign w:val="subscript"/>
              </w:rPr>
              <w:t>)</w:t>
            </w:r>
          </w:p>
        </w:tc>
        <w:tc>
          <w:tcPr>
            <w:tcW w:w="900" w:type="dxa"/>
            <w:vAlign w:val="bottom"/>
            <w:shd w:val="clear" w:color="auto" w:fill="CCEEFF"/>
          </w:tcPr>
          <w:p>
            <w:pPr>
              <w:jc w:val="right"/>
              <w:ind w:right="736"/>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7,899,304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529,696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2"/>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December 31, 2019</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85"/>
              </w:rPr>
              <w:t>Cost or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380"/>
              <w:spacing w:after="0" w:line="205"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ind w:left="40"/>
              <w:spacing w:after="0" w:line="205" w:lineRule="exact"/>
              <w:rPr>
                <w:sz w:val="20"/>
                <w:szCs w:val="20"/>
                <w:color w:val="auto"/>
              </w:rPr>
            </w:pPr>
            <w:r>
              <w:rPr>
                <w:rFonts w:ascii="Arial" w:cs="Arial" w:eastAsia="Arial" w:hAnsi="Arial"/>
                <w:sz w:val="18"/>
                <w:szCs w:val="18"/>
                <w:b w:val="1"/>
                <w:bCs w:val="1"/>
                <w:color w:val="auto"/>
                <w:w w:val="87"/>
              </w:rPr>
              <w:t>Gross Unrealized Losses</w:t>
            </w:r>
          </w:p>
        </w:tc>
        <w:tc>
          <w:tcPr>
            <w:tcW w:w="1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jc w:val="center"/>
              <w:ind w:right="100"/>
              <w:spacing w:after="0" w:line="205" w:lineRule="exact"/>
              <w:rPr>
                <w:sz w:val="20"/>
                <w:szCs w:val="20"/>
                <w:color w:val="auto"/>
              </w:rPr>
            </w:pPr>
            <w:r>
              <w:rPr>
                <w:rFonts w:ascii="Arial" w:cs="Arial" w:eastAsia="Arial" w:hAnsi="Arial"/>
                <w:sz w:val="18"/>
                <w:szCs w:val="18"/>
                <w:b w:val="1"/>
                <w:bCs w:val="1"/>
                <w:color w:val="auto"/>
                <w:w w:val="88"/>
              </w:rPr>
              <w:t>Estimated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center"/>
              <w:ind w:right="72"/>
              <w:spacing w:after="0" w:line="205"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100"/>
              <w:spacing w:after="0" w:line="186" w:lineRule="exact"/>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6"/>
                <w:szCs w:val="16"/>
                <w:color w:val="auto"/>
              </w:rPr>
            </w:pPr>
          </w:p>
        </w:tc>
        <w:tc>
          <w:tcPr>
            <w:tcW w:w="1100" w:type="dxa"/>
            <w:vAlign w:val="bottom"/>
            <w:gridSpan w:val="3"/>
          </w:tcPr>
          <w:p>
            <w:pPr>
              <w:jc w:val="center"/>
              <w:ind w:right="200"/>
              <w:spacing w:after="0" w:line="186" w:lineRule="exact"/>
              <w:rPr>
                <w:sz w:val="20"/>
                <w:szCs w:val="20"/>
                <w:color w:val="auto"/>
              </w:rPr>
            </w:pPr>
            <w:r>
              <w:rPr>
                <w:rFonts w:ascii="Arial" w:cs="Arial" w:eastAsia="Arial" w:hAnsi="Arial"/>
                <w:sz w:val="18"/>
                <w:szCs w:val="18"/>
                <w:b w:val="1"/>
                <w:bCs w:val="1"/>
                <w:color w:val="auto"/>
                <w:w w:val="90"/>
              </w:rPr>
              <w:t>Unrealized</w:t>
            </w:r>
          </w:p>
        </w:tc>
        <w:tc>
          <w:tcPr>
            <w:tcW w:w="1160" w:type="dxa"/>
            <w:vAlign w:val="bottom"/>
            <w:gridSpan w:val="3"/>
          </w:tcPr>
          <w:p>
            <w:pPr>
              <w:spacing w:after="0" w:line="186" w:lineRule="exact"/>
              <w:rPr>
                <w:sz w:val="20"/>
                <w:szCs w:val="20"/>
                <w:color w:val="auto"/>
              </w:rPr>
            </w:pPr>
            <w:r>
              <w:rPr>
                <w:rFonts w:ascii="Arial" w:cs="Arial" w:eastAsia="Arial" w:hAnsi="Arial"/>
                <w:sz w:val="18"/>
                <w:szCs w:val="18"/>
                <w:b w:val="1"/>
                <w:bCs w:val="1"/>
                <w:color w:val="auto"/>
              </w:rPr>
              <w:t>Less than 12</w:t>
            </w:r>
          </w:p>
        </w:tc>
        <w:tc>
          <w:tcPr>
            <w:tcW w:w="1000" w:type="dxa"/>
            <w:vAlign w:val="bottom"/>
            <w:gridSpan w:val="2"/>
          </w:tcPr>
          <w:p>
            <w:pPr>
              <w:jc w:val="right"/>
              <w:spacing w:after="0" w:line="186" w:lineRule="exact"/>
              <w:rPr>
                <w:sz w:val="20"/>
                <w:szCs w:val="20"/>
                <w:color w:val="auto"/>
              </w:rPr>
            </w:pPr>
            <w:r>
              <w:rPr>
                <w:rFonts w:ascii="Arial" w:cs="Arial" w:eastAsia="Arial" w:hAnsi="Arial"/>
                <w:sz w:val="18"/>
                <w:szCs w:val="18"/>
                <w:b w:val="1"/>
                <w:bCs w:val="1"/>
                <w:color w:val="auto"/>
                <w:w w:val="88"/>
              </w:rPr>
              <w:t>More than 12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40"/>
              <w:spacing w:after="0" w:line="186"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6"/>
                <w:szCs w:val="16"/>
                <w:color w:val="auto"/>
              </w:rPr>
            </w:pPr>
          </w:p>
        </w:tc>
        <w:tc>
          <w:tcPr>
            <w:tcW w:w="980" w:type="dxa"/>
            <w:vAlign w:val="bottom"/>
            <w:gridSpan w:val="3"/>
          </w:tcPr>
          <w:p>
            <w:pPr>
              <w:jc w:val="center"/>
              <w:ind w:right="120"/>
              <w:spacing w:after="0" w:line="186" w:lineRule="exact"/>
              <w:rPr>
                <w:sz w:val="20"/>
                <w:szCs w:val="20"/>
                <w:color w:val="auto"/>
              </w:rPr>
            </w:pPr>
            <w:r>
              <w:rPr>
                <w:rFonts w:ascii="Arial" w:cs="Arial" w:eastAsia="Arial" w:hAnsi="Arial"/>
                <w:sz w:val="18"/>
                <w:szCs w:val="18"/>
                <w:b w:val="1"/>
                <w:bCs w:val="1"/>
                <w:color w:val="auto"/>
                <w:w w:val="90"/>
              </w:rPr>
              <w:t>Unrealized</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Months</w:t>
            </w:r>
          </w:p>
        </w:tc>
        <w:tc>
          <w:tcPr>
            <w:tcW w:w="200" w:type="dxa"/>
            <w:vAlign w:val="bottom"/>
          </w:tcPr>
          <w:p>
            <w:pPr>
              <w:spacing w:after="0"/>
              <w:rPr>
                <w:sz w:val="19"/>
                <w:szCs w:val="19"/>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Months</w:t>
            </w:r>
          </w:p>
        </w:tc>
        <w:tc>
          <w:tcPr>
            <w:tcW w:w="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8" w:right="339" w:bottom="0" w:gutter="0" w:footer="0" w:header="0"/>
        </w:sectPr>
      </w:pPr>
    </w:p>
    <w:bookmarkStart w:id="9" w:name="page10"/>
    <w:bookmarkEnd w:id="9"/>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Held-to-Maturity Securities: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729,550</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151,002</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880,552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151,002</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998,619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51,021</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1,049,640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51,021</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2,097,783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97,627</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(835)</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2,194,575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96,792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4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3,825,952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299,650</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line="211" w:lineRule="exact"/>
              <w:rPr>
                <w:sz w:val="20"/>
                <w:szCs w:val="20"/>
                <w:color w:val="auto"/>
              </w:rPr>
            </w:pPr>
            <w:r>
              <w:rPr>
                <w:rFonts w:ascii="Arial" w:cs="Arial" w:eastAsia="Arial" w:hAnsi="Arial"/>
                <w:sz w:val="14"/>
                <w:szCs w:val="14"/>
                <w:color w:val="auto"/>
              </w:rPr>
              <w:t>(835</w:t>
            </w:r>
            <w:r>
              <w:rPr>
                <w:rFonts w:ascii="Arial" w:cs="Arial" w:eastAsia="Arial" w:hAnsi="Arial"/>
                <w:sz w:val="24"/>
                <w:szCs w:val="24"/>
                <w:color w:val="auto"/>
                <w:vertAlign w:val="subscript"/>
              </w:rPr>
              <w:t>)</w:t>
            </w: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4,124,767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298,815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Held-to-maturity U.S. Treasury securities are held in trust pursuant to various states’ minimum funds requirements.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summary of the amortized cost and estimated fair value of the Company’s investments in held-to-maturity securities by contractual maturity as of September 30, 2020 and December 31, 2019 is shown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5"/>
          </w:tcPr>
          <w:p>
            <w:pPr>
              <w:ind w:left="360"/>
              <w:spacing w:after="0"/>
              <w:rPr>
                <w:sz w:val="20"/>
                <w:szCs w:val="20"/>
                <w:color w:val="auto"/>
              </w:rPr>
            </w:pPr>
            <w:r>
              <w:rPr>
                <w:rFonts w:ascii="Arial" w:cs="Arial" w:eastAsia="Arial" w:hAnsi="Arial"/>
                <w:sz w:val="18"/>
                <w:szCs w:val="18"/>
                <w:b w:val="1"/>
                <w:bCs w:val="1"/>
                <w:color w:val="auto"/>
              </w:rPr>
              <w:t>September 30, 2020</w:t>
            </w:r>
          </w:p>
        </w:tc>
        <w:tc>
          <w:tcPr>
            <w:tcW w:w="120" w:type="dxa"/>
            <w:vAlign w:val="bottom"/>
          </w:tcPr>
          <w:p>
            <w:pPr>
              <w:spacing w:after="0"/>
              <w:rPr>
                <w:sz w:val="19"/>
                <w:szCs w:val="19"/>
                <w:color w:val="auto"/>
              </w:rPr>
            </w:pPr>
          </w:p>
        </w:tc>
        <w:tc>
          <w:tcPr>
            <w:tcW w:w="2420" w:type="dxa"/>
            <w:vAlign w:val="bottom"/>
            <w:gridSpan w:val="5"/>
          </w:tcPr>
          <w:p>
            <w:pPr>
              <w:ind w:left="40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87" w:lineRule="exact"/>
              <w:rPr>
                <w:sz w:val="20"/>
                <w:szCs w:val="20"/>
                <w:color w:val="auto"/>
              </w:rPr>
            </w:pPr>
            <w:r>
              <w:rPr>
                <w:rFonts w:ascii="Arial" w:cs="Arial" w:eastAsia="Arial" w:hAnsi="Arial"/>
                <w:sz w:val="18"/>
                <w:szCs w:val="18"/>
                <w:b w:val="1"/>
                <w:bCs w:val="1"/>
                <w:color w:val="auto"/>
                <w:w w:val="90"/>
              </w:rPr>
              <w:t>Amortized</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40"/>
              <w:spacing w:after="0" w:line="187" w:lineRule="exact"/>
              <w:rPr>
                <w:sz w:val="20"/>
                <w:szCs w:val="20"/>
                <w:color w:val="auto"/>
              </w:rPr>
            </w:pPr>
            <w:r>
              <w:rPr>
                <w:rFonts w:ascii="Arial" w:cs="Arial" w:eastAsia="Arial" w:hAnsi="Arial"/>
                <w:sz w:val="18"/>
                <w:szCs w:val="18"/>
                <w:b w:val="1"/>
                <w:bCs w:val="1"/>
                <w:color w:val="auto"/>
              </w:rPr>
              <w:t>Estimated</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87" w:lineRule="exact"/>
              <w:rPr>
                <w:sz w:val="20"/>
                <w:szCs w:val="20"/>
                <w:color w:val="auto"/>
              </w:rPr>
            </w:pPr>
            <w:r>
              <w:rPr>
                <w:rFonts w:ascii="Arial" w:cs="Arial" w:eastAsia="Arial" w:hAnsi="Arial"/>
                <w:sz w:val="18"/>
                <w:szCs w:val="18"/>
                <w:b w:val="1"/>
                <w:bCs w:val="1"/>
                <w:color w:val="auto"/>
                <w:w w:val="90"/>
              </w:rPr>
              <w:t>Amortized</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40"/>
              <w:spacing w:after="0" w:line="187"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Remaining Time to Maturity</w:t>
            </w: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Cost</w:t>
            </w:r>
          </w:p>
        </w:tc>
        <w:tc>
          <w:tcPr>
            <w:tcW w:w="14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499,165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2,597,739</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2,793,089</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2,099,268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2,215,640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1,499,837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1,710,586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620,134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655,923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3,272,032</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3,395,629</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606,550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40" w:type="dxa"/>
            <w:vAlign w:val="bottom"/>
            <w:tcBorders>
              <w:bottom w:val="single" w:sz="8" w:color="CCEEFF"/>
            </w:tcBorders>
            <w:gridSpan w:val="2"/>
            <w:shd w:val="clear" w:color="auto" w:fill="CCEEFF"/>
          </w:tcPr>
          <w:p>
            <w:pPr>
              <w:spacing w:after="0" w:line="205"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7,369,608</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7,899,304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3,825,952</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4,124,767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The actual maturities may differ from contractual maturities because certain borrowers have the right to call or prepay obligations with or without penalties.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Income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Major categories of the Company’s net investment income are summarized as follows:</w:t>
      </w:r>
    </w:p>
    <w:p>
      <w:pPr>
        <w:spacing w:after="0" w:line="200" w:lineRule="exact"/>
        <w:rPr>
          <w:sz w:val="20"/>
          <w:szCs w:val="20"/>
          <w:color w:val="auto"/>
        </w:rPr>
      </w:pPr>
    </w:p>
    <w:p>
      <w:pPr>
        <w:spacing w:after="0" w:line="247" w:lineRule="exact"/>
        <w:rPr>
          <w:sz w:val="20"/>
          <w:szCs w:val="20"/>
          <w:color w:val="auto"/>
        </w:rPr>
      </w:pPr>
    </w:p>
    <w:tbl>
      <w:tblPr>
        <w:tblLayout w:type="fixed"/>
        <w:tblInd w:w="8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1"/>
              </w:rPr>
              <w:t>Three months ended</w:t>
            </w:r>
          </w:p>
        </w:tc>
        <w:tc>
          <w:tcPr>
            <w:tcW w:w="160" w:type="dxa"/>
            <w:vAlign w:val="bottom"/>
          </w:tcPr>
          <w:p>
            <w:pPr>
              <w:spacing w:after="0"/>
              <w:rPr>
                <w:sz w:val="18"/>
                <w:szCs w:val="18"/>
                <w:color w:val="auto"/>
              </w:rPr>
            </w:pPr>
          </w:p>
        </w:tc>
        <w:tc>
          <w:tcPr>
            <w:tcW w:w="2020" w:type="dxa"/>
            <w:vAlign w:val="bottom"/>
            <w:gridSpan w:val="5"/>
          </w:tcPr>
          <w:p>
            <w:pPr>
              <w:ind w:left="1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20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12"/>
              <w:spacing w:after="0" w:line="206" w:lineRule="exact"/>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12"/>
              <w:spacing w:after="0" w:line="206" w:lineRule="exact"/>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ind w:left="140"/>
              <w:spacing w:after="0" w:line="206" w:lineRule="exact"/>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12"/>
              <w:spacing w:after="0" w:line="206"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Income:</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Fixed-maturity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1,264,633</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1,499,135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4,106,404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4,500,346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290,834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253,594</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787,702</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666,247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75,253</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89,993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288,334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5060" w:type="dxa"/>
            <w:vAlign w:val="bottom"/>
          </w:tcPr>
          <w:p>
            <w:pPr>
              <w:spacing w:after="0" w:line="205" w:lineRule="exact"/>
              <w:rPr>
                <w:sz w:val="20"/>
                <w:szCs w:val="20"/>
                <w:color w:val="auto"/>
              </w:rPr>
            </w:pPr>
            <w:r>
              <w:rPr>
                <w:rFonts w:ascii="Arial" w:cs="Arial" w:eastAsia="Arial" w:hAnsi="Arial"/>
                <w:sz w:val="18"/>
                <w:szCs w:val="18"/>
                <w:color w:val="auto"/>
              </w:rPr>
              <w:t>Total</w:t>
            </w:r>
          </w:p>
        </w:tc>
        <w:tc>
          <w:tcPr>
            <w:tcW w:w="180" w:type="dxa"/>
            <w:vAlign w:val="bottom"/>
          </w:tcPr>
          <w:p>
            <w:pPr>
              <w:spacing w:after="0"/>
              <w:rPr>
                <w:sz w:val="17"/>
                <w:szCs w:val="17"/>
                <w:color w:val="auto"/>
              </w:rPr>
            </w:pPr>
          </w:p>
        </w:tc>
        <w:tc>
          <w:tcPr>
            <w:tcW w:w="780" w:type="dxa"/>
            <w:vAlign w:val="bottom"/>
          </w:tcPr>
          <w:p>
            <w:pPr>
              <w:jc w:val="right"/>
              <w:spacing w:after="0" w:line="205" w:lineRule="exact"/>
              <w:rPr>
                <w:sz w:val="20"/>
                <w:szCs w:val="20"/>
                <w:color w:val="auto"/>
              </w:rPr>
            </w:pPr>
            <w:r>
              <w:rPr>
                <w:rFonts w:ascii="Arial" w:cs="Arial" w:eastAsia="Arial" w:hAnsi="Arial"/>
                <w:sz w:val="18"/>
                <w:szCs w:val="18"/>
                <w:color w:val="auto"/>
                <w:w w:val="94"/>
              </w:rPr>
              <w:t>1,557,301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5" w:lineRule="exact"/>
              <w:rPr>
                <w:sz w:val="20"/>
                <w:szCs w:val="20"/>
                <w:color w:val="auto"/>
              </w:rPr>
            </w:pPr>
            <w:r>
              <w:rPr>
                <w:rFonts w:ascii="Arial" w:cs="Arial" w:eastAsia="Arial" w:hAnsi="Arial"/>
                <w:sz w:val="18"/>
                <w:szCs w:val="18"/>
                <w:color w:val="auto"/>
                <w:w w:val="94"/>
              </w:rPr>
              <w:t>1,827,982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w w:val="94"/>
              </w:rPr>
              <w:t>4,984,099</w:t>
            </w:r>
          </w:p>
        </w:tc>
        <w:tc>
          <w:tcPr>
            <w:tcW w:w="160" w:type="dxa"/>
            <w:vAlign w:val="bottom"/>
          </w:tcPr>
          <w:p>
            <w:pPr>
              <w:spacing w:after="0"/>
              <w:rPr>
                <w:sz w:val="17"/>
                <w:szCs w:val="17"/>
                <w:color w:val="auto"/>
              </w:rPr>
            </w:pPr>
          </w:p>
        </w:tc>
        <w:tc>
          <w:tcPr>
            <w:tcW w:w="780" w:type="dxa"/>
            <w:vAlign w:val="bottom"/>
          </w:tcPr>
          <w:p>
            <w:pPr>
              <w:jc w:val="right"/>
              <w:spacing w:after="0" w:line="205" w:lineRule="exact"/>
              <w:rPr>
                <w:sz w:val="20"/>
                <w:szCs w:val="20"/>
                <w:color w:val="auto"/>
              </w:rPr>
            </w:pPr>
            <w:r>
              <w:rPr>
                <w:rFonts w:ascii="Arial" w:cs="Arial" w:eastAsia="Arial" w:hAnsi="Arial"/>
                <w:sz w:val="18"/>
                <w:szCs w:val="18"/>
                <w:color w:val="auto"/>
                <w:w w:val="94"/>
              </w:rPr>
              <w:t>5,454,927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Investment expenses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63,215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(28,571)</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212,163</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254,893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50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investment income</w:t>
            </w:r>
          </w:p>
        </w:tc>
        <w:tc>
          <w:tcPr>
            <w:tcW w:w="1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94"/>
              </w:rPr>
              <w:t>1,494,086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94"/>
              </w:rPr>
              <w:t>1,856,553</w:t>
            </w: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w w:val="94"/>
              </w:rPr>
              <w:t>4,771,936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94"/>
              </w:rPr>
              <w:t>5,200,034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060" w:type="dxa"/>
            <w:vAlign w:val="bottom"/>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Proceeds from the sale and redemption of fixed-maturity securities held-to-maturity were $500,000and $400,000 for the nine months ended September 30, 2020 and 2019, respectively.</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Proceeds from the sale or maturity of fixed-maturity securities available-for-sale were $29,666,158 and $9,835,464 for the nine months ended September 30, 2020 and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Proceeds from the sale of equity securities were $8,103,697 and $2,941,492 for the nine months ended September 30, 2020 and 2019, respectively.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40" w:type="dxa"/>
            <w:vAlign w:val="bottom"/>
            <w:gridSpan w:val="2"/>
          </w:tcPr>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5940" w:type="dxa"/>
            <w:vAlign w:val="bottom"/>
            <w:gridSpan w:val="2"/>
          </w:tcPr>
          <w:p>
            <w:pPr>
              <w:spacing w:after="0"/>
              <w:rPr>
                <w:sz w:val="20"/>
                <w:szCs w:val="20"/>
                <w:color w:val="auto"/>
              </w:rPr>
            </w:pPr>
            <w:r>
              <w:rPr>
                <w:rFonts w:ascii="Arial" w:cs="Arial" w:eastAsia="Arial" w:hAnsi="Arial"/>
                <w:sz w:val="18"/>
                <w:szCs w:val="18"/>
                <w:color w:val="auto"/>
                <w:w w:val="95"/>
              </w:rPr>
              <w:t>The Company’s net gains (losses) on investments are summarized as follows: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24"/>
                <w:szCs w:val="24"/>
                <w:color w:val="auto"/>
              </w:rPr>
            </w:pPr>
          </w:p>
        </w:tc>
        <w:tc>
          <w:tcPr>
            <w:tcW w:w="1980" w:type="dxa"/>
            <w:vAlign w:val="bottom"/>
            <w:gridSpan w:val="5"/>
          </w:tcPr>
          <w:p>
            <w:pPr>
              <w:ind w:left="1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198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5"/>
        </w:trPr>
        <w:tc>
          <w:tcPr>
            <w:tcW w:w="594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Realized Gains (Losses)</w:t>
            </w: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12"/>
              <w:spacing w:after="0" w:line="206" w:lineRule="exact"/>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12"/>
              <w:spacing w:after="0" w:line="206" w:lineRule="exact"/>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ind w:left="100"/>
              <w:spacing w:after="0" w:line="206" w:lineRule="exact"/>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12"/>
              <w:spacing w:after="0" w:line="206"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5940" w:type="dxa"/>
            <w:vAlign w:val="bottom"/>
            <w:gridSpan w:val="2"/>
          </w:tcPr>
          <w:p>
            <w:pPr>
              <w:ind w:left="860"/>
              <w:spacing w:after="0"/>
              <w:rPr>
                <w:sz w:val="20"/>
                <w:szCs w:val="20"/>
                <w:color w:val="auto"/>
              </w:rPr>
            </w:pPr>
            <w:r>
              <w:rPr>
                <w:rFonts w:ascii="Arial" w:cs="Arial" w:eastAsia="Arial" w:hAnsi="Arial"/>
                <w:sz w:val="18"/>
                <w:szCs w:val="18"/>
                <w:b w:val="1"/>
                <w:bCs w:val="1"/>
                <w:color w:val="auto"/>
              </w:rPr>
              <w:t>Fixed-maturity securities: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714,162</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967,573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10,954</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Gross realized losses</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(107,193)</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(46,851)</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(304,118)</w:t>
            </w: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(92,591)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spacing w:after="0"/>
              <w:rPr>
                <w:sz w:val="17"/>
                <w:szCs w:val="17"/>
                <w:color w:val="auto"/>
              </w:rPr>
            </w:pPr>
          </w:p>
        </w:tc>
        <w:tc>
          <w:tcPr>
            <w:tcW w:w="5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606,969</w:t>
            </w: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(46,841)</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560,696</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(81,637)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-119380</wp:posOffset>
            </wp:positionV>
            <wp:extent cx="6062345" cy="1270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62345" cy="127000"/>
                    </a:xfrm>
                    <a:prstGeom prst="rect">
                      <a:avLst/>
                    </a:prstGeom>
                    <a:noFill/>
                  </pic:spPr>
                </pic:pic>
              </a:graphicData>
            </a:graphic>
          </wp:anchor>
        </w:drawing>
      </w:r>
    </w:p>
    <w:p>
      <w:pPr>
        <w:sectPr>
          <w:pgSz w:w="11900" w:h="16889" w:orient="portrait"/>
          <w:cols w:equalWidth="0" w:num="1">
            <w:col w:w="11240"/>
          </w:cols>
          <w:pgMar w:left="320" w:top="121" w:right="339" w:bottom="0" w:gutter="0" w:footer="0" w:header="0"/>
        </w:sectPr>
      </w:pPr>
    </w:p>
    <w:bookmarkStart w:id="10" w:name="page11"/>
    <w:bookmarkEnd w:id="10"/>
    <w:tbl>
      <w:tblPr>
        <w:tblLayout w:type="fixed"/>
        <w:tblInd w:w="860" w:type="dxa"/>
        <w:tblCellMar>
          <w:top w:w="0" w:type="dxa"/>
          <w:left w:w="0" w:type="dxa"/>
          <w:bottom w:w="0" w:type="dxa"/>
          <w:right w:w="0" w:type="dxa"/>
        </w:tblCellMar>
      </w:tblP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Gross realized gains</w:t>
            </w:r>
          </w:p>
        </w:tc>
        <w:tc>
          <w:tcPr>
            <w:tcW w:w="960" w:type="dxa"/>
            <w:vAlign w:val="bottom"/>
          </w:tcPr>
          <w:p>
            <w:pPr>
              <w:jc w:val="right"/>
              <w:spacing w:after="0"/>
              <w:rPr>
                <w:sz w:val="20"/>
                <w:szCs w:val="20"/>
                <w:color w:val="auto"/>
              </w:rPr>
            </w:pPr>
            <w:r>
              <w:rPr>
                <w:rFonts w:ascii="Arial" w:cs="Arial" w:eastAsia="Arial" w:hAnsi="Arial"/>
                <w:sz w:val="18"/>
                <w:szCs w:val="18"/>
                <w:color w:val="auto"/>
              </w:rPr>
              <w:t>199,439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38,477</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644,111</w:t>
            </w: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83,737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(209,069)</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(449,916)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14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(9,630)</w:t>
            </w:r>
          </w:p>
        </w:tc>
        <w:tc>
          <w:tcPr>
            <w:tcW w:w="180" w:type="dxa"/>
            <w:vAlign w:val="bottom"/>
          </w:tcPr>
          <w:p>
            <w:pPr>
              <w:spacing w:after="0"/>
              <w:rPr>
                <w:sz w:val="17"/>
                <w:szCs w:val="17"/>
                <w:color w:val="auto"/>
              </w:rPr>
            </w:pPr>
          </w:p>
        </w:tc>
        <w:tc>
          <w:tcPr>
            <w:tcW w:w="960" w:type="dxa"/>
            <w:vAlign w:val="bottom"/>
            <w:gridSpan w:val="2"/>
          </w:tcPr>
          <w:p>
            <w:pPr>
              <w:jc w:val="right"/>
              <w:ind w:right="180"/>
              <w:spacing w:after="0" w:line="205" w:lineRule="exact"/>
              <w:rPr>
                <w:sz w:val="20"/>
                <w:szCs w:val="20"/>
                <w:color w:val="auto"/>
              </w:rPr>
            </w:pPr>
            <w:r>
              <w:rPr>
                <w:rFonts w:ascii="Arial" w:cs="Arial" w:eastAsia="Arial" w:hAnsi="Arial"/>
                <w:sz w:val="18"/>
                <w:szCs w:val="18"/>
                <w:color w:val="auto"/>
              </w:rPr>
              <w:t>38,477</w:t>
            </w:r>
          </w:p>
        </w:tc>
        <w:tc>
          <w:tcPr>
            <w:tcW w:w="114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194,195</w:t>
            </w:r>
          </w:p>
        </w:tc>
        <w:tc>
          <w:tcPr>
            <w:tcW w:w="160" w:type="dxa"/>
            <w:vAlign w:val="bottom"/>
          </w:tcPr>
          <w:p>
            <w:pPr>
              <w:spacing w:after="0"/>
              <w:rPr>
                <w:sz w:val="17"/>
                <w:szCs w:val="17"/>
                <w:color w:val="auto"/>
              </w:rPr>
            </w:pPr>
          </w:p>
        </w:tc>
        <w:tc>
          <w:tcPr>
            <w:tcW w:w="88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26,878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Net realized (losses) gains</w:t>
            </w:r>
          </w:p>
        </w:tc>
        <w:tc>
          <w:tcPr>
            <w:tcW w:w="960" w:type="dxa"/>
            <w:vAlign w:val="bottom"/>
          </w:tcPr>
          <w:p>
            <w:pPr>
              <w:jc w:val="right"/>
              <w:spacing w:after="0"/>
              <w:rPr>
                <w:sz w:val="20"/>
                <w:szCs w:val="20"/>
                <w:color w:val="auto"/>
              </w:rPr>
            </w:pPr>
            <w:r>
              <w:rPr>
                <w:rFonts w:ascii="Arial" w:cs="Arial" w:eastAsia="Arial" w:hAnsi="Arial"/>
                <w:sz w:val="18"/>
                <w:szCs w:val="18"/>
                <w:color w:val="auto"/>
              </w:rPr>
              <w:t>597,339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(8,364)</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857,650</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(54,759)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Unrealized Gains (Losses)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Equity securities: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Gross gains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1,223,779</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916,496</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3,196,260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Gross losses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(2,740,489)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1,223,779</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916,496</w:t>
            </w:r>
          </w:p>
        </w:tc>
        <w:tc>
          <w:tcPr>
            <w:tcW w:w="180" w:type="dxa"/>
            <w:vAlign w:val="bottom"/>
            <w:tcBorders>
              <w:right w:val="single" w:sz="8" w:color="CCEEFF"/>
            </w:tcBorders>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(2,740,489)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94"/>
              </w:rPr>
              <w:t>3,196,260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06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investments:</w:t>
            </w: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Gross gains</w:t>
            </w:r>
          </w:p>
        </w:tc>
        <w:tc>
          <w:tcPr>
            <w:tcW w:w="960" w:type="dxa"/>
            <w:vAlign w:val="bottom"/>
          </w:tcPr>
          <w:p>
            <w:pPr>
              <w:jc w:val="right"/>
              <w:spacing w:after="0"/>
              <w:rPr>
                <w:sz w:val="20"/>
                <w:szCs w:val="20"/>
                <w:color w:val="auto"/>
              </w:rPr>
            </w:pPr>
            <w:r>
              <w:rPr>
                <w:rFonts w:ascii="Arial" w:cs="Arial" w:eastAsia="Arial" w:hAnsi="Arial"/>
                <w:sz w:val="18"/>
                <w:szCs w:val="18"/>
                <w:color w:val="auto"/>
              </w:rPr>
              <w:t>286,758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90,030</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244,165</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570,679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Gross losses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960" w:type="dxa"/>
            <w:vAlign w:val="bottom"/>
          </w:tcPr>
          <w:p>
            <w:pPr>
              <w:jc w:val="right"/>
              <w:spacing w:after="0" w:line="205" w:lineRule="exact"/>
              <w:rPr>
                <w:sz w:val="20"/>
                <w:szCs w:val="20"/>
                <w:color w:val="auto"/>
              </w:rPr>
            </w:pPr>
            <w:r>
              <w:rPr>
                <w:rFonts w:ascii="Arial" w:cs="Arial" w:eastAsia="Arial" w:hAnsi="Arial"/>
                <w:sz w:val="18"/>
                <w:szCs w:val="18"/>
                <w:color w:val="auto"/>
              </w:rPr>
              <w:t>286,758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5" w:lineRule="exact"/>
              <w:rPr>
                <w:sz w:val="20"/>
                <w:szCs w:val="20"/>
                <w:color w:val="auto"/>
              </w:rPr>
            </w:pPr>
            <w:r>
              <w:rPr>
                <w:rFonts w:ascii="Arial" w:cs="Arial" w:eastAsia="Arial" w:hAnsi="Arial"/>
                <w:sz w:val="18"/>
                <w:szCs w:val="18"/>
                <w:color w:val="auto"/>
              </w:rPr>
              <w:t>90,030</w:t>
            </w:r>
          </w:p>
        </w:tc>
        <w:tc>
          <w:tcPr>
            <w:tcW w:w="180" w:type="dxa"/>
            <w:vAlign w:val="bottom"/>
          </w:tcPr>
          <w:p>
            <w:pPr>
              <w:spacing w:after="0"/>
              <w:rPr>
                <w:sz w:val="17"/>
                <w:szCs w:val="17"/>
                <w:color w:val="auto"/>
              </w:rPr>
            </w:pPr>
          </w:p>
        </w:tc>
        <w:tc>
          <w:tcPr>
            <w:tcW w:w="114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244,165</w:t>
            </w:r>
          </w:p>
        </w:tc>
        <w:tc>
          <w:tcPr>
            <w:tcW w:w="160" w:type="dxa"/>
            <w:vAlign w:val="bottom"/>
          </w:tcPr>
          <w:p>
            <w:pPr>
              <w:spacing w:after="0"/>
              <w:rPr>
                <w:sz w:val="17"/>
                <w:szCs w:val="17"/>
                <w:color w:val="auto"/>
              </w:rPr>
            </w:pPr>
          </w:p>
        </w:tc>
        <w:tc>
          <w:tcPr>
            <w:tcW w:w="88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570,679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Net unrealized gains (losses)</w:t>
            </w:r>
          </w:p>
        </w:tc>
        <w:tc>
          <w:tcPr>
            <w:tcW w:w="960" w:type="dxa"/>
            <w:vAlign w:val="bottom"/>
          </w:tcPr>
          <w:p>
            <w:pPr>
              <w:jc w:val="right"/>
              <w:spacing w:after="0"/>
              <w:rPr>
                <w:sz w:val="20"/>
                <w:szCs w:val="20"/>
                <w:color w:val="auto"/>
              </w:rPr>
            </w:pPr>
            <w:r>
              <w:rPr>
                <w:rFonts w:ascii="Arial" w:cs="Arial" w:eastAsia="Arial" w:hAnsi="Arial"/>
                <w:sz w:val="18"/>
                <w:szCs w:val="18"/>
                <w:color w:val="auto"/>
              </w:rPr>
              <w:t>1,510,537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1,006,526</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(2,496,324)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3,766,939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gains (losses) on investments</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  2,107,876</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998,162</w:t>
            </w:r>
          </w:p>
        </w:tc>
        <w:tc>
          <w:tcPr>
            <w:tcW w:w="180" w:type="dxa"/>
            <w:vAlign w:val="bottom"/>
          </w:tcPr>
          <w:p>
            <w:pPr>
              <w:spacing w:after="0"/>
              <w:rPr>
                <w:sz w:val="18"/>
                <w:szCs w:val="18"/>
                <w:color w:val="auto"/>
              </w:rPr>
            </w:pPr>
          </w:p>
        </w:tc>
        <w:tc>
          <w:tcPr>
            <w:tcW w:w="1300" w:type="dxa"/>
            <w:vAlign w:val="bottom"/>
            <w:gridSpan w:val="3"/>
          </w:tcPr>
          <w:p>
            <w:pPr>
              <w:jc w:val="right"/>
              <w:ind w:right="80"/>
              <w:spacing w:after="0" w:line="211" w:lineRule="exact"/>
              <w:rPr>
                <w:sz w:val="20"/>
                <w:szCs w:val="20"/>
                <w:color w:val="auto"/>
              </w:rPr>
            </w:pPr>
            <w:r>
              <w:rPr>
                <w:rFonts w:ascii="Arial" w:cs="Arial" w:eastAsia="Arial" w:hAnsi="Arial"/>
                <w:sz w:val="14"/>
                <w:szCs w:val="14"/>
                <w:color w:val="auto"/>
              </w:rPr>
              <w:t>$ (1,638,674</w:t>
            </w:r>
            <w:r>
              <w:rPr>
                <w:rFonts w:ascii="Arial" w:cs="Arial" w:eastAsia="Arial" w:hAnsi="Arial"/>
                <w:sz w:val="24"/>
                <w:szCs w:val="24"/>
                <w:color w:val="auto"/>
                <w:vertAlign w:val="subscript"/>
              </w:rPr>
              <w:t>)</w:t>
            </w:r>
            <w:r>
              <w:rPr>
                <w:rFonts w:ascii="Arial" w:cs="Arial" w:eastAsia="Arial" w:hAnsi="Arial"/>
                <w:sz w:val="14"/>
                <w:szCs w:val="14"/>
                <w:color w:val="auto"/>
              </w:rPr>
              <w:t xml:space="preserve">  $</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3,712,180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060" w:type="dxa"/>
            <w:vAlign w:val="bottom"/>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Review</w:t>
      </w:r>
    </w:p>
    <w:p>
      <w:pPr>
        <w:spacing w:after="0" w:line="216"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Impairment of investment securities results in a charge to operations when a market decline below cost is deemed to be other-than-temporary. The Company regularly reviews its fixed-maturity securities to evaluate the necessity of recording impairment losses for other-than-temporary declines in the estimated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comprehensive income. The credit loss component recognized in earnings is identified as the amount of principal cash flows not expected to be received over the remaining term of the security as projected based on cash flow projections. For held-to-maturity debt securities, the amount of OTTI recorded in comprehensive loss for the noncredit portion of a previous OTTI is amortized prospectively over the remaining life of the security on the basis of timing of future estimated cash flows of the security.</w:t>
      </w:r>
    </w:p>
    <w:p>
      <w:pPr>
        <w:spacing w:after="0" w:line="371"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OTTI losses are recorded in the condensed consolidated statements of operations and comprehensive income (loss) as net realized losses on investments and result in a permanent reduction of the cost basis of the underlying investment. The determination of OTTI is a subjective process and different judgments and assumptions could affect the timing of loss realization. At September 30, 2020 and December 31, 2019, there were 19 and 39 fixed-maturity securities, respectively, that accounted for the gross unrealized loss. The Company determined that none of the unrealized losses were deemed to be OTTI for its portfolio of investments for the nine months ended September 30, 2020 and 2019. Significant factors influencing the Company’s determination that unrealized losses were temporary included the magnitude of the unrealized losses in relation to each security’s cost, the nature of the investment and management’s intent and ability to retain the investment for a period of time sufficient to allow for an anticipated recovery of estimated fair value to the Company’s cost basis.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The Company held available-for-sale securities with unrealized losses representing declines that were considered temporary at September 30, 2020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8"/>
                <w:szCs w:val="18"/>
                <w:b w:val="1"/>
                <w:bCs w:val="1"/>
                <w:color w:val="auto"/>
                <w:w w:val="91"/>
              </w:rPr>
              <w:t>September 30, 2020</w:t>
            </w: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7"/>
          </w:tcPr>
          <w:p>
            <w:pPr>
              <w:ind w:left="560"/>
              <w:spacing w:after="0" w:line="205" w:lineRule="exact"/>
              <w:rPr>
                <w:sz w:val="20"/>
                <w:szCs w:val="20"/>
                <w:color w:val="auto"/>
              </w:rPr>
            </w:pPr>
            <w:r>
              <w:rPr>
                <w:rFonts w:ascii="Arial" w:cs="Arial" w:eastAsia="Arial" w:hAnsi="Arial"/>
                <w:sz w:val="18"/>
                <w:szCs w:val="18"/>
                <w:b w:val="1"/>
                <w:bCs w:val="1"/>
                <w:color w:val="auto"/>
              </w:rPr>
              <w:t>Less than 12 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gridSpan w:val="7"/>
          </w:tcPr>
          <w:p>
            <w:pPr>
              <w:ind w:left="600"/>
              <w:spacing w:after="0" w:line="205" w:lineRule="exact"/>
              <w:rPr>
                <w:sz w:val="20"/>
                <w:szCs w:val="20"/>
                <w:color w:val="auto"/>
              </w:rPr>
            </w:pPr>
            <w:r>
              <w:rPr>
                <w:rFonts w:ascii="Arial" w:cs="Arial" w:eastAsia="Arial" w:hAnsi="Arial"/>
                <w:sz w:val="18"/>
                <w:szCs w:val="18"/>
                <w:b w:val="1"/>
                <w:bCs w:val="1"/>
                <w:color w:val="auto"/>
              </w:rPr>
              <w:t>12 months or more</w:t>
            </w:r>
          </w:p>
        </w:tc>
        <w:tc>
          <w:tcPr>
            <w:tcW w:w="100" w:type="dxa"/>
            <w:vAlign w:val="bottom"/>
          </w:tcPr>
          <w:p>
            <w:pPr>
              <w:spacing w:after="0"/>
              <w:rPr>
                <w:sz w:val="17"/>
                <w:szCs w:val="17"/>
                <w:color w:val="auto"/>
              </w:rPr>
            </w:pPr>
          </w:p>
        </w:tc>
        <w:tc>
          <w:tcPr>
            <w:tcW w:w="1060" w:type="dxa"/>
            <w:vAlign w:val="bottom"/>
            <w:gridSpan w:val="3"/>
          </w:tcPr>
          <w:p>
            <w:pPr>
              <w:ind w:left="620"/>
              <w:spacing w:after="0" w:line="205" w:lineRule="exact"/>
              <w:rPr>
                <w:sz w:val="20"/>
                <w:szCs w:val="20"/>
                <w:color w:val="auto"/>
              </w:rPr>
            </w:pPr>
            <w:r>
              <w:rPr>
                <w:rFonts w:ascii="Arial" w:cs="Arial" w:eastAsia="Arial" w:hAnsi="Arial"/>
                <w:sz w:val="18"/>
                <w:szCs w:val="18"/>
                <w:b w:val="1"/>
                <w:bCs w:val="1"/>
                <w:color w:val="auto"/>
                <w:w w:val="97"/>
              </w:rPr>
              <w:t>Total</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top w:val="single" w:sz="8" w:color="auto"/>
            </w:tcBorders>
            <w:gridSpan w:val="3"/>
          </w:tcPr>
          <w:p>
            <w:pPr>
              <w:jc w:val="center"/>
              <w:ind w:right="200"/>
              <w:spacing w:after="0" w:line="186" w:lineRule="exact"/>
              <w:rPr>
                <w:sz w:val="20"/>
                <w:szCs w:val="20"/>
                <w:color w:val="auto"/>
              </w:rPr>
            </w:pPr>
            <w:r>
              <w:rPr>
                <w:rFonts w:ascii="Arial" w:cs="Arial" w:eastAsia="Arial" w:hAnsi="Arial"/>
                <w:sz w:val="18"/>
                <w:szCs w:val="18"/>
                <w:b w:val="1"/>
                <w:bCs w:val="1"/>
                <w:color w:val="auto"/>
                <w:w w:val="88"/>
              </w:rPr>
              <w:t>Estimated</w:t>
            </w: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86" w:lineRule="exact"/>
              <w:rPr>
                <w:sz w:val="20"/>
                <w:szCs w:val="20"/>
                <w:color w:val="auto"/>
              </w:rPr>
            </w:pPr>
            <w:r>
              <w:rPr>
                <w:rFonts w:ascii="Arial" w:cs="Arial" w:eastAsia="Arial" w:hAnsi="Arial"/>
                <w:sz w:val="18"/>
                <w:szCs w:val="18"/>
                <w:b w:val="1"/>
                <w:bCs w:val="1"/>
                <w:color w:val="auto"/>
                <w:w w:val="86"/>
              </w:rPr>
              <w:t>No.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top w:val="single" w:sz="8" w:color="auto"/>
            </w:tcBorders>
            <w:gridSpan w:val="2"/>
          </w:tcPr>
          <w:p>
            <w:pPr>
              <w:jc w:val="center"/>
              <w:spacing w:after="0" w:line="186" w:lineRule="exact"/>
              <w:rPr>
                <w:sz w:val="20"/>
                <w:szCs w:val="20"/>
                <w:color w:val="auto"/>
              </w:rPr>
            </w:pPr>
            <w:r>
              <w:rPr>
                <w:rFonts w:ascii="Arial" w:cs="Arial" w:eastAsia="Arial" w:hAnsi="Arial"/>
                <w:sz w:val="18"/>
                <w:szCs w:val="18"/>
                <w:b w:val="1"/>
                <w:bCs w:val="1"/>
                <w:color w:val="auto"/>
                <w:w w:val="88"/>
              </w:rPr>
              <w:t>Estimated</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86" w:lineRule="exact"/>
              <w:rPr>
                <w:sz w:val="20"/>
                <w:szCs w:val="20"/>
                <w:color w:val="auto"/>
              </w:rPr>
            </w:pPr>
            <w:r>
              <w:rPr>
                <w:rFonts w:ascii="Arial" w:cs="Arial" w:eastAsia="Arial" w:hAnsi="Arial"/>
                <w:sz w:val="18"/>
                <w:szCs w:val="18"/>
                <w:b w:val="1"/>
                <w:bCs w:val="1"/>
                <w:color w:val="auto"/>
                <w:w w:val="86"/>
              </w:rPr>
              <w:t>No. of</w:t>
            </w:r>
          </w:p>
        </w:tc>
        <w:tc>
          <w:tcPr>
            <w:tcW w:w="200" w:type="dxa"/>
            <w:vAlign w:val="bottom"/>
          </w:tcPr>
          <w:p>
            <w:pPr>
              <w:spacing w:after="0"/>
              <w:rPr>
                <w:sz w:val="16"/>
                <w:szCs w:val="16"/>
                <w:color w:val="auto"/>
              </w:rPr>
            </w:pPr>
          </w:p>
        </w:tc>
        <w:tc>
          <w:tcPr>
            <w:tcW w:w="820" w:type="dxa"/>
            <w:vAlign w:val="bottom"/>
            <w:tcBorders>
              <w:top w:val="single" w:sz="8" w:color="auto"/>
            </w:tcBorders>
            <w:gridSpan w:val="2"/>
          </w:tcPr>
          <w:p>
            <w:pPr>
              <w:jc w:val="center"/>
              <w:spacing w:after="0" w:line="186" w:lineRule="exact"/>
              <w:rPr>
                <w:sz w:val="20"/>
                <w:szCs w:val="20"/>
                <w:color w:val="auto"/>
              </w:rPr>
            </w:pPr>
            <w:r>
              <w:rPr>
                <w:rFonts w:ascii="Arial" w:cs="Arial" w:eastAsia="Arial" w:hAnsi="Arial"/>
                <w:sz w:val="18"/>
                <w:szCs w:val="18"/>
                <w:b w:val="1"/>
                <w:bCs w:val="1"/>
                <w:color w:val="auto"/>
                <w:w w:val="90"/>
              </w:rPr>
              <w:t>Estimated</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Fair</w:t>
            </w: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Positions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Positions</w:t>
            </w:r>
          </w:p>
        </w:tc>
        <w:tc>
          <w:tcPr>
            <w:tcW w:w="100" w:type="dxa"/>
            <w:vAlign w:val="bottom"/>
          </w:tcPr>
          <w:p>
            <w:pPr>
              <w:spacing w:after="0"/>
              <w:rPr>
                <w:sz w:val="18"/>
                <w:szCs w:val="18"/>
                <w:color w:val="auto"/>
              </w:rPr>
            </w:pPr>
          </w:p>
        </w:tc>
        <w:tc>
          <w:tcPr>
            <w:tcW w:w="720" w:type="dxa"/>
            <w:vAlign w:val="bottom"/>
          </w:tcPr>
          <w:p>
            <w:pPr>
              <w:jc w:val="center"/>
              <w:ind w:right="12"/>
              <w:spacing w:after="0"/>
              <w:rPr>
                <w:sz w:val="20"/>
                <w:szCs w:val="20"/>
                <w:color w:val="auto"/>
              </w:rPr>
            </w:pPr>
            <w:r>
              <w:rPr>
                <w:rFonts w:ascii="Arial" w:cs="Arial" w:eastAsia="Arial" w:hAnsi="Arial"/>
                <w:sz w:val="18"/>
                <w:szCs w:val="18"/>
                <w:b w:val="1"/>
                <w:bCs w:val="1"/>
                <w:color w:val="auto"/>
              </w:rPr>
              <w:t>Fair</w:t>
            </w:r>
          </w:p>
        </w:tc>
        <w:tc>
          <w:tcPr>
            <w:tcW w:w="1120" w:type="dxa"/>
            <w:vAlign w:val="bottom"/>
            <w:gridSpan w:val="4"/>
          </w:tcPr>
          <w:p>
            <w:pPr>
              <w:ind w:left="220"/>
              <w:spacing w:after="0"/>
              <w:rPr>
                <w:sz w:val="20"/>
                <w:szCs w:val="20"/>
                <w:color w:val="auto"/>
              </w:rPr>
            </w:pPr>
            <w:r>
              <w:rPr>
                <w:rFonts w:ascii="Arial" w:cs="Arial" w:eastAsia="Arial" w:hAnsi="Arial"/>
                <w:sz w:val="18"/>
                <w:szCs w:val="18"/>
                <w:b w:val="1"/>
                <w:bCs w:val="1"/>
                <w:color w:val="auto"/>
                <w:w w:val="96"/>
              </w:rPr>
              <w:t>Unrealized</w:t>
            </w: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0"/>
              </w:rPr>
              <w:t>Losses</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Held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0"/>
              </w:rPr>
              <w:t>Losses</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Held</w:t>
            </w:r>
          </w:p>
        </w:tc>
        <w:tc>
          <w:tcPr>
            <w:tcW w:w="100" w:type="dxa"/>
            <w:vAlign w:val="bottom"/>
          </w:tcPr>
          <w:p>
            <w:pPr>
              <w:spacing w:after="0"/>
              <w:rPr>
                <w:sz w:val="19"/>
                <w:szCs w:val="19"/>
                <w:color w:val="auto"/>
              </w:rPr>
            </w:pPr>
          </w:p>
        </w:tc>
        <w:tc>
          <w:tcPr>
            <w:tcW w:w="72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415"/>
        </w:trPr>
        <w:tc>
          <w:tcPr>
            <w:tcW w:w="3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and obligations of 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government corporations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and agencies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522,450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4,003,377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(38,491)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5,020,026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(147,253)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9,023,403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(185,744)</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 fixed-maturity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4,525,827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60"/>
              <w:spacing w:after="0" w:line="211" w:lineRule="exact"/>
              <w:rPr>
                <w:sz w:val="20"/>
                <w:szCs w:val="20"/>
                <w:color w:val="auto"/>
              </w:rPr>
            </w:pPr>
            <w:r>
              <w:rPr>
                <w:rFonts w:ascii="Arial" w:cs="Arial" w:eastAsia="Arial" w:hAnsi="Arial"/>
                <w:sz w:val="14"/>
                <w:szCs w:val="14"/>
                <w:color w:val="auto"/>
              </w:rPr>
              <w:t>(40,145</w:t>
            </w:r>
            <w:r>
              <w:rPr>
                <w:rFonts w:ascii="Arial" w:cs="Arial" w:eastAsia="Arial" w:hAnsi="Arial"/>
                <w:sz w:val="24"/>
                <w:szCs w:val="24"/>
                <w:color w:val="auto"/>
                <w:vertAlign w:val="subscript"/>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5,020,026</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60"/>
              <w:spacing w:after="0" w:line="211" w:lineRule="exact"/>
              <w:rPr>
                <w:sz w:val="20"/>
                <w:szCs w:val="20"/>
                <w:color w:val="auto"/>
              </w:rPr>
            </w:pPr>
            <w:r>
              <w:rPr>
                <w:rFonts w:ascii="Arial" w:cs="Arial" w:eastAsia="Arial" w:hAnsi="Arial"/>
                <w:sz w:val="14"/>
                <w:szCs w:val="14"/>
                <w:color w:val="auto"/>
              </w:rPr>
              <w:t>(147,253</w:t>
            </w:r>
            <w:r>
              <w:rPr>
                <w:rFonts w:ascii="Arial" w:cs="Arial" w:eastAsia="Arial" w:hAnsi="Arial"/>
                <w:sz w:val="24"/>
                <w:szCs w:val="24"/>
                <w:color w:val="auto"/>
                <w:vertAlign w:val="subscript"/>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9,545,853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line="211" w:lineRule="exact"/>
              <w:rPr>
                <w:sz w:val="20"/>
                <w:szCs w:val="20"/>
                <w:color w:val="auto"/>
              </w:rPr>
            </w:pPr>
            <w:r>
              <w:rPr>
                <w:rFonts w:ascii="Arial" w:cs="Arial" w:eastAsia="Arial" w:hAnsi="Arial"/>
                <w:sz w:val="14"/>
                <w:szCs w:val="14"/>
                <w:color w:val="auto"/>
              </w:rPr>
              <w:t>(187,398</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7" w:right="339" w:bottom="51"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The Company held available-for-sale securities with unrealized losses representing declines that were considered temporary at December 31, 2019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6"/>
          </w:tcPr>
          <w:p>
            <w:pPr>
              <w:ind w:left="160"/>
              <w:spacing w:after="0"/>
              <w:rPr>
                <w:sz w:val="20"/>
                <w:szCs w:val="20"/>
                <w:color w:val="auto"/>
              </w:rPr>
            </w:pPr>
            <w:r>
              <w:rPr>
                <w:rFonts w:ascii="Arial" w:cs="Arial" w:eastAsia="Arial" w:hAnsi="Arial"/>
                <w:sz w:val="18"/>
                <w:szCs w:val="18"/>
                <w:b w:val="1"/>
                <w:bCs w:val="1"/>
                <w:color w:val="auto"/>
              </w:rPr>
              <w:t>December 31, 2019</w:t>
            </w: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gridSpan w:val="7"/>
          </w:tcPr>
          <w:p>
            <w:pPr>
              <w:ind w:left="600"/>
              <w:spacing w:after="0" w:line="205" w:lineRule="exact"/>
              <w:rPr>
                <w:sz w:val="20"/>
                <w:szCs w:val="20"/>
                <w:color w:val="auto"/>
              </w:rPr>
            </w:pPr>
            <w:r>
              <w:rPr>
                <w:rFonts w:ascii="Arial" w:cs="Arial" w:eastAsia="Arial" w:hAnsi="Arial"/>
                <w:sz w:val="18"/>
                <w:szCs w:val="18"/>
                <w:b w:val="1"/>
                <w:bCs w:val="1"/>
                <w:color w:val="auto"/>
              </w:rPr>
              <w:t>Less than 12 months</w:t>
            </w:r>
          </w:p>
        </w:tc>
        <w:tc>
          <w:tcPr>
            <w:tcW w:w="100" w:type="dxa"/>
            <w:vAlign w:val="bottom"/>
          </w:tcPr>
          <w:p>
            <w:pPr>
              <w:spacing w:after="0"/>
              <w:rPr>
                <w:sz w:val="17"/>
                <w:szCs w:val="17"/>
                <w:color w:val="auto"/>
              </w:rPr>
            </w:pPr>
          </w:p>
        </w:tc>
        <w:tc>
          <w:tcPr>
            <w:tcW w:w="2080" w:type="dxa"/>
            <w:vAlign w:val="bottom"/>
            <w:gridSpan w:val="6"/>
          </w:tcPr>
          <w:p>
            <w:pPr>
              <w:ind w:left="640"/>
              <w:spacing w:after="0" w:line="205" w:lineRule="exact"/>
              <w:rPr>
                <w:sz w:val="20"/>
                <w:szCs w:val="20"/>
                <w:color w:val="auto"/>
              </w:rPr>
            </w:pPr>
            <w:r>
              <w:rPr>
                <w:rFonts w:ascii="Arial" w:cs="Arial" w:eastAsia="Arial" w:hAnsi="Arial"/>
                <w:sz w:val="18"/>
                <w:szCs w:val="18"/>
                <w:b w:val="1"/>
                <w:bCs w:val="1"/>
                <w:color w:val="auto"/>
                <w:w w:val="87"/>
              </w:rPr>
              <w:t>12 months or more</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4"/>
          </w:tcPr>
          <w:p>
            <w:pPr>
              <w:ind w:left="660"/>
              <w:spacing w:after="0" w:line="205" w:lineRule="exact"/>
              <w:rPr>
                <w:sz w:val="20"/>
                <w:szCs w:val="20"/>
                <w:color w:val="auto"/>
              </w:rPr>
            </w:pPr>
            <w:r>
              <w:rPr>
                <w:rFonts w:ascii="Arial" w:cs="Arial" w:eastAsia="Arial" w:hAnsi="Arial"/>
                <w:sz w:val="18"/>
                <w:szCs w:val="18"/>
                <w:b w:val="1"/>
                <w:bCs w:val="1"/>
                <w:color w:val="auto"/>
              </w:rPr>
              <w:t>Total</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gridSpan w:val="3"/>
          </w:tcPr>
          <w:p>
            <w:pPr>
              <w:jc w:val="center"/>
              <w:ind w:right="200"/>
              <w:spacing w:after="0" w:line="186" w:lineRule="exact"/>
              <w:rPr>
                <w:sz w:val="20"/>
                <w:szCs w:val="20"/>
                <w:color w:val="auto"/>
              </w:rPr>
            </w:pPr>
            <w:r>
              <w:rPr>
                <w:rFonts w:ascii="Arial" w:cs="Arial" w:eastAsia="Arial" w:hAnsi="Arial"/>
                <w:sz w:val="18"/>
                <w:szCs w:val="18"/>
                <w:b w:val="1"/>
                <w:bCs w:val="1"/>
                <w:color w:val="auto"/>
                <w:w w:val="88"/>
              </w:rPr>
              <w:t>Estimated</w:t>
            </w: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86" w:lineRule="exact"/>
              <w:rPr>
                <w:sz w:val="20"/>
                <w:szCs w:val="20"/>
                <w:color w:val="auto"/>
              </w:rPr>
            </w:pPr>
            <w:r>
              <w:rPr>
                <w:rFonts w:ascii="Arial" w:cs="Arial" w:eastAsia="Arial" w:hAnsi="Arial"/>
                <w:sz w:val="18"/>
                <w:szCs w:val="18"/>
                <w:b w:val="1"/>
                <w:bCs w:val="1"/>
                <w:color w:val="auto"/>
                <w:w w:val="90"/>
              </w:rPr>
              <w:t>No. of</w:t>
            </w:r>
          </w:p>
        </w:tc>
        <w:tc>
          <w:tcPr>
            <w:tcW w:w="200" w:type="dxa"/>
            <w:vAlign w:val="bottom"/>
          </w:tcPr>
          <w:p>
            <w:pPr>
              <w:spacing w:after="0"/>
              <w:rPr>
                <w:sz w:val="16"/>
                <w:szCs w:val="16"/>
                <w:color w:val="auto"/>
              </w:rPr>
            </w:pPr>
          </w:p>
        </w:tc>
        <w:tc>
          <w:tcPr>
            <w:tcW w:w="1120" w:type="dxa"/>
            <w:vAlign w:val="bottom"/>
            <w:tcBorders>
              <w:top w:val="single" w:sz="8" w:color="auto"/>
            </w:tcBorders>
            <w:gridSpan w:val="3"/>
          </w:tcPr>
          <w:p>
            <w:pPr>
              <w:jc w:val="center"/>
              <w:ind w:right="200"/>
              <w:spacing w:after="0" w:line="186" w:lineRule="exact"/>
              <w:rPr>
                <w:sz w:val="20"/>
                <w:szCs w:val="20"/>
                <w:color w:val="auto"/>
              </w:rPr>
            </w:pPr>
            <w:r>
              <w:rPr>
                <w:rFonts w:ascii="Arial" w:cs="Arial" w:eastAsia="Arial" w:hAnsi="Arial"/>
                <w:sz w:val="18"/>
                <w:szCs w:val="18"/>
                <w:b w:val="1"/>
                <w:bCs w:val="1"/>
                <w:color w:val="auto"/>
                <w:w w:val="88"/>
              </w:rPr>
              <w:t>Estimated</w:t>
            </w: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center"/>
              <w:spacing w:after="0" w:line="186" w:lineRule="exact"/>
              <w:rPr>
                <w:sz w:val="20"/>
                <w:szCs w:val="20"/>
                <w:color w:val="auto"/>
              </w:rPr>
            </w:pPr>
            <w:r>
              <w:rPr>
                <w:rFonts w:ascii="Arial" w:cs="Arial" w:eastAsia="Arial" w:hAnsi="Arial"/>
                <w:sz w:val="18"/>
                <w:szCs w:val="18"/>
                <w:b w:val="1"/>
                <w:bCs w:val="1"/>
                <w:color w:val="auto"/>
                <w:w w:val="86"/>
              </w:rPr>
              <w:t>No. of</w:t>
            </w:r>
          </w:p>
        </w:tc>
        <w:tc>
          <w:tcPr>
            <w:tcW w:w="200" w:type="dxa"/>
            <w:vAlign w:val="bottom"/>
          </w:tcPr>
          <w:p>
            <w:pPr>
              <w:spacing w:after="0"/>
              <w:rPr>
                <w:sz w:val="16"/>
                <w:szCs w:val="16"/>
                <w:color w:val="auto"/>
              </w:rPr>
            </w:pPr>
          </w:p>
        </w:tc>
        <w:tc>
          <w:tcPr>
            <w:tcW w:w="1000" w:type="dxa"/>
            <w:vAlign w:val="bottom"/>
            <w:tcBorders>
              <w:top w:val="single" w:sz="8" w:color="auto"/>
            </w:tcBorders>
            <w:gridSpan w:val="3"/>
          </w:tcPr>
          <w:p>
            <w:pPr>
              <w:jc w:val="center"/>
              <w:ind w:right="100"/>
              <w:spacing w:after="0" w:line="186" w:lineRule="exact"/>
              <w:rPr>
                <w:sz w:val="20"/>
                <w:szCs w:val="20"/>
                <w:color w:val="auto"/>
              </w:rPr>
            </w:pPr>
            <w:r>
              <w:rPr>
                <w:rFonts w:ascii="Arial" w:cs="Arial" w:eastAsia="Arial" w:hAnsi="Arial"/>
                <w:sz w:val="18"/>
                <w:szCs w:val="18"/>
                <w:b w:val="1"/>
                <w:bCs w:val="1"/>
                <w:color w:val="auto"/>
                <w:w w:val="90"/>
              </w:rPr>
              <w:t>Estimated</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Fair</w:t>
            </w: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Positions</w:t>
            </w: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Fair</w:t>
            </w:r>
          </w:p>
        </w:tc>
        <w:tc>
          <w:tcPr>
            <w:tcW w:w="1060" w:type="dxa"/>
            <w:vAlign w:val="bottom"/>
            <w:gridSpan w:val="4"/>
          </w:tcPr>
          <w:p>
            <w:pPr>
              <w:spacing w:after="0"/>
              <w:rPr>
                <w:sz w:val="20"/>
                <w:szCs w:val="20"/>
                <w:color w:val="auto"/>
              </w:rPr>
            </w:pPr>
            <w:r>
              <w:rPr>
                <w:rFonts w:ascii="Arial" w:cs="Arial" w:eastAsia="Arial" w:hAnsi="Arial"/>
                <w:sz w:val="18"/>
                <w:szCs w:val="18"/>
                <w:b w:val="1"/>
                <w:bCs w:val="1"/>
                <w:color w:val="auto"/>
              </w:rPr>
              <w:t>Unrealized</w:t>
            </w: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Positions</w:t>
            </w: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Fair</w:t>
            </w:r>
          </w:p>
        </w:tc>
        <w:tc>
          <w:tcPr>
            <w:tcW w:w="1020" w:type="dxa"/>
            <w:vAlign w:val="bottom"/>
            <w:gridSpan w:val="4"/>
          </w:tcPr>
          <w:p>
            <w:pPr>
              <w:ind w:left="120"/>
              <w:spacing w:after="0"/>
              <w:rPr>
                <w:sz w:val="20"/>
                <w:szCs w:val="20"/>
                <w:color w:val="auto"/>
              </w:rPr>
            </w:pPr>
            <w:r>
              <w:rPr>
                <w:rFonts w:ascii="Arial" w:cs="Arial" w:eastAsia="Arial" w:hAnsi="Arial"/>
                <w:sz w:val="18"/>
                <w:szCs w:val="18"/>
                <w:b w:val="1"/>
                <w:bCs w:val="1"/>
                <w:color w:val="auto"/>
                <w:w w:val="96"/>
              </w:rPr>
              <w:t>Unrealized</w:t>
            </w:r>
          </w:p>
        </w:tc>
        <w:tc>
          <w:tcPr>
            <w:tcW w:w="0" w:type="dxa"/>
            <w:vAlign w:val="bottom"/>
          </w:tcPr>
          <w:p>
            <w:pPr>
              <w:spacing w:after="0"/>
              <w:rPr>
                <w:sz w:val="1"/>
                <w:szCs w:val="1"/>
                <w:color w:val="auto"/>
              </w:rPr>
            </w:pPr>
          </w:p>
        </w:tc>
      </w:tr>
      <w:tr>
        <w:trPr>
          <w:trHeight w:val="229"/>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0"/>
              </w:rPr>
              <w:t>Losses</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Held</w:t>
            </w:r>
          </w:p>
        </w:tc>
        <w:tc>
          <w:tcPr>
            <w:tcW w:w="10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19"/>
                <w:szCs w:val="19"/>
                <w:color w:val="auto"/>
              </w:rPr>
            </w:pPr>
          </w:p>
        </w:tc>
        <w:tc>
          <w:tcPr>
            <w:tcW w:w="940" w:type="dxa"/>
            <w:vAlign w:val="bottom"/>
            <w:gridSpan w:val="3"/>
          </w:tcPr>
          <w:p>
            <w:pPr>
              <w:ind w:left="40"/>
              <w:spacing w:after="0"/>
              <w:rPr>
                <w:sz w:val="20"/>
                <w:szCs w:val="20"/>
                <w:color w:val="auto"/>
              </w:rPr>
            </w:pPr>
            <w:r>
              <w:rPr>
                <w:rFonts w:ascii="Arial" w:cs="Arial" w:eastAsia="Arial" w:hAnsi="Arial"/>
                <w:sz w:val="18"/>
                <w:szCs w:val="18"/>
                <w:b w:val="1"/>
                <w:bCs w:val="1"/>
                <w:color w:val="auto"/>
              </w:rPr>
              <w:t>Losses</w:t>
            </w: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Held</w:t>
            </w:r>
          </w:p>
        </w:tc>
        <w:tc>
          <w:tcPr>
            <w:tcW w:w="100" w:type="dxa"/>
            <w:vAlign w:val="bottom"/>
          </w:tcPr>
          <w:p>
            <w:pPr>
              <w:spacing w:after="0"/>
              <w:rPr>
                <w:sz w:val="19"/>
                <w:szCs w:val="19"/>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415"/>
        </w:trPr>
        <w:tc>
          <w:tcPr>
            <w:tcW w:w="28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Fixed-Maturity Securities: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and obligations of 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government corporations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and agencies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3,067,428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(11,316)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3,067,428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(11,316)</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3,730,478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(16,685)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1,300,915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(13,473)</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5,031,393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(30,158)</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5,862,636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(68,793)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13,534,768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(276,451)</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19,397,404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(345,244)</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 fixed-maturity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12,660,542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60"/>
              <w:spacing w:after="0" w:line="211" w:lineRule="exact"/>
              <w:rPr>
                <w:sz w:val="20"/>
                <w:szCs w:val="20"/>
                <w:color w:val="auto"/>
              </w:rPr>
            </w:pPr>
            <w:r>
              <w:rPr>
                <w:rFonts w:ascii="Arial" w:cs="Arial" w:eastAsia="Arial" w:hAnsi="Arial"/>
                <w:sz w:val="14"/>
                <w:szCs w:val="14"/>
                <w:color w:val="auto"/>
              </w:rPr>
              <w:t>(96,794</w:t>
            </w:r>
            <w:r>
              <w:rPr>
                <w:rFonts w:ascii="Arial" w:cs="Arial" w:eastAsia="Arial" w:hAnsi="Arial"/>
                <w:sz w:val="24"/>
                <w:szCs w:val="24"/>
                <w:color w:val="auto"/>
                <w:vertAlign w:val="subscript"/>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14,835,683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60"/>
              <w:spacing w:after="0" w:line="211" w:lineRule="exact"/>
              <w:rPr>
                <w:sz w:val="20"/>
                <w:szCs w:val="20"/>
                <w:color w:val="auto"/>
              </w:rPr>
            </w:pPr>
            <w:r>
              <w:rPr>
                <w:rFonts w:ascii="Arial" w:cs="Arial" w:eastAsia="Arial" w:hAnsi="Arial"/>
                <w:sz w:val="14"/>
                <w:szCs w:val="14"/>
                <w:color w:val="auto"/>
              </w:rPr>
              <w:t>(289,924</w:t>
            </w:r>
            <w:r>
              <w:rPr>
                <w:rFonts w:ascii="Arial" w:cs="Arial" w:eastAsia="Arial" w:hAnsi="Arial"/>
                <w:sz w:val="24"/>
                <w:szCs w:val="24"/>
                <w:color w:val="auto"/>
                <w:vertAlign w:val="subscript"/>
              </w:rPr>
              <w:t>)</w:t>
            </w: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27,496,225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line="211" w:lineRule="exact"/>
              <w:rPr>
                <w:sz w:val="20"/>
                <w:szCs w:val="20"/>
                <w:color w:val="auto"/>
              </w:rPr>
            </w:pPr>
            <w:r>
              <w:rPr>
                <w:rFonts w:ascii="Arial" w:cs="Arial" w:eastAsia="Arial" w:hAnsi="Arial"/>
                <w:sz w:val="14"/>
                <w:szCs w:val="14"/>
                <w:color w:val="auto"/>
              </w:rPr>
              <w:t>(386,718</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633"/>
        </w:trPr>
        <w:tc>
          <w:tcPr>
            <w:tcW w:w="20" w:type="dxa"/>
            <w:vAlign w:val="bottom"/>
          </w:tcPr>
          <w:p>
            <w:pPr>
              <w:spacing w:after="0"/>
              <w:rPr>
                <w:sz w:val="24"/>
                <w:szCs w:val="24"/>
                <w:color w:val="auto"/>
              </w:rPr>
            </w:pPr>
          </w:p>
        </w:tc>
        <w:tc>
          <w:tcPr>
            <w:tcW w:w="28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880" w:type="dxa"/>
            <w:vAlign w:val="bottom"/>
            <w:gridSpan w:val="2"/>
          </w:tcPr>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w w:val="99"/>
              </w:rPr>
              <w:t>Note 4 - Fair Value Measurements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information about the Company’s investments that are measured at fair value on a recurring basis at September 30, 2020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indicating the fair value hierarchy of the valuation inputs the Company utilized to determine such fair value:</w:t>
      </w:r>
    </w:p>
    <w:p>
      <w:pPr>
        <w:sectPr>
          <w:pgSz w:w="11900" w:h="16838" w:orient="portrait"/>
          <w:cols w:equalWidth="0" w:num="1">
            <w:col w:w="11240"/>
          </w:cols>
          <w:pgMar w:left="320" w:top="12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60" w:right="1000"/>
        <w:spacing w:after="0" w:line="251" w:lineRule="auto"/>
        <w:rPr>
          <w:sz w:val="20"/>
          <w:szCs w:val="20"/>
          <w:color w:val="auto"/>
        </w:rPr>
      </w:pPr>
      <w:r>
        <w:rPr>
          <w:rFonts w:ascii="Arial" w:cs="Arial" w:eastAsia="Arial" w:hAnsi="Arial"/>
          <w:sz w:val="18"/>
          <w:szCs w:val="18"/>
          <w:b w:val="1"/>
          <w:bCs w:val="1"/>
          <w:color w:val="auto"/>
        </w:rPr>
        <w:t xml:space="preserve">Fixed-maturity securities available-for-sale </w:t>
      </w:r>
      <w:r>
        <w:rPr>
          <w:rFonts w:ascii="Arial" w:cs="Arial" w:eastAsia="Arial" w:hAnsi="Arial"/>
          <w:sz w:val="18"/>
          <w:szCs w:val="18"/>
          <w:color w:val="auto"/>
        </w:rPr>
        <w:t>U.S. Treasury securities and obligations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-542925</wp:posOffset>
            </wp:positionV>
            <wp:extent cx="31445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44520" cy="8255"/>
                    </a:xfrm>
                    <a:prstGeom prst="rect">
                      <a:avLst/>
                    </a:prstGeom>
                    <a:noFill/>
                  </pic:spPr>
                </pic:pic>
              </a:graphicData>
            </a:graphic>
          </wp:anchor>
        </w:drawing>
      </w:r>
    </w:p>
    <w:p>
      <w:pPr>
        <w:ind w:left="860"/>
        <w:spacing w:after="0"/>
        <w:rPr>
          <w:sz w:val="20"/>
          <w:szCs w:val="20"/>
          <w:color w:val="auto"/>
        </w:rPr>
      </w:pPr>
      <w:r>
        <w:rPr>
          <w:rFonts w:ascii="Arial" w:cs="Arial" w:eastAsia="Arial" w:hAnsi="Arial"/>
          <w:sz w:val="18"/>
          <w:szCs w:val="18"/>
          <w:color w:val="auto"/>
        </w:rPr>
        <w:t>government corporations</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and agencies</w:t>
      </w:r>
    </w:p>
    <w:p>
      <w:pPr>
        <w:spacing w:after="0" w:line="20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Political subdivisions of</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States, Territories and</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Possessions</w:t>
      </w:r>
    </w:p>
    <w:p>
      <w:pPr>
        <w:spacing w:after="0" w:line="20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Corporate and other</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bonds industrial and</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September 30, 2020</w:t>
      </w:r>
    </w:p>
    <w:p>
      <w:pPr>
        <w:spacing w:after="0" w:line="22" w:lineRule="exact"/>
        <w:rPr>
          <w:sz w:val="20"/>
          <w:szCs w:val="20"/>
          <w:color w:val="auto"/>
        </w:rPr>
      </w:pPr>
    </w:p>
    <w:p>
      <w:pPr>
        <w:ind w:left="320"/>
        <w:spacing w:after="0"/>
        <w:tabs>
          <w:tab w:leader="none" w:pos="1440" w:val="left"/>
          <w:tab w:leader="none" w:pos="2580" w:val="left"/>
          <w:tab w:leader="none" w:pos="380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288290</wp:posOffset>
            </wp:positionV>
            <wp:extent cx="6062345" cy="536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62345" cy="53657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-130175</wp:posOffset>
            </wp:positionV>
            <wp:extent cx="28003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00350" cy="825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11430</wp:posOffset>
            </wp:positionV>
            <wp:extent cx="28003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00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634"/>
        </w:trPr>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3,069,330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3,069,330</w:t>
            </w:r>
          </w:p>
        </w:tc>
      </w:tr>
      <w:tr>
        <w:trPr>
          <w:trHeight w:val="423"/>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23"/>
        </w:trPr>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94"/>
              </w:rPr>
              <w:t>5,916,075</w:t>
            </w:r>
          </w:p>
        </w:tc>
        <w:tc>
          <w:tcPr>
            <w:tcW w:w="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5,916,075</w:t>
            </w:r>
          </w:p>
        </w:tc>
      </w:tr>
      <w:tr>
        <w:trPr>
          <w:trHeight w:val="423"/>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23"/>
        </w:trPr>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121,119,461</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94"/>
              </w:rPr>
              <w:t>2,081,297</w:t>
            </w:r>
          </w:p>
        </w:tc>
        <w:tc>
          <w:tcPr>
            <w:tcW w:w="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5"/>
              </w:rPr>
              <w:t>123,200,758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-938530</wp:posOffset>
            </wp:positionV>
            <wp:extent cx="6062345" cy="402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62345" cy="4025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-401955</wp:posOffset>
            </wp:positionV>
            <wp:extent cx="6062345" cy="402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62345" cy="402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720"/>
            <w:col w:w="5440"/>
          </w:cols>
          <w:pgMar w:left="320" w:top="127" w:right="339" w:bottom="0" w:gutter="0" w:footer="0" w:header="0"/>
          <w:type w:val="continuous"/>
        </w:sectPr>
      </w:pPr>
    </w:p>
    <w:p>
      <w:pPr>
        <w:spacing w:after="0" w:line="11" w:lineRule="exact"/>
        <w:rPr>
          <w:sz w:val="20"/>
          <w:szCs w:val="20"/>
          <w:color w:val="auto"/>
        </w:rPr>
      </w:pPr>
    </w:p>
    <w:tbl>
      <w:tblPr>
        <w:tblLayout w:type="fixed"/>
        <w:tblInd w:w="8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24,352,426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24,352,426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920" w:type="dxa"/>
            <w:vAlign w:val="bottom"/>
          </w:tcPr>
          <w:p>
            <w:pPr>
              <w:spacing w:after="0" w:line="205" w:lineRule="exact"/>
              <w:rPr>
                <w:sz w:val="20"/>
                <w:szCs w:val="20"/>
                <w:color w:val="auto"/>
              </w:rPr>
            </w:pPr>
            <w:r>
              <w:rPr>
                <w:rFonts w:ascii="Arial" w:cs="Arial" w:eastAsia="Arial" w:hAnsi="Arial"/>
                <w:sz w:val="18"/>
                <w:szCs w:val="18"/>
                <w:color w:val="auto"/>
              </w:rPr>
              <w:t>Total fixed maturities</w:t>
            </w:r>
          </w:p>
        </w:tc>
        <w:tc>
          <w:tcPr>
            <w:tcW w:w="100" w:type="dxa"/>
            <w:vAlign w:val="bottom"/>
          </w:tcPr>
          <w:p>
            <w:pPr>
              <w:spacing w:after="0"/>
              <w:rPr>
                <w:sz w:val="17"/>
                <w:szCs w:val="17"/>
                <w:color w:val="auto"/>
              </w:rPr>
            </w:pPr>
          </w:p>
        </w:tc>
        <w:tc>
          <w:tcPr>
            <w:tcW w:w="980" w:type="dxa"/>
            <w:vAlign w:val="bottom"/>
          </w:tcPr>
          <w:p>
            <w:pPr>
              <w:jc w:val="right"/>
              <w:spacing w:after="0" w:line="205" w:lineRule="exact"/>
              <w:rPr>
                <w:sz w:val="20"/>
                <w:szCs w:val="20"/>
                <w:color w:val="auto"/>
              </w:rPr>
            </w:pPr>
            <w:r>
              <w:rPr>
                <w:rFonts w:ascii="Arial" w:cs="Arial" w:eastAsia="Arial" w:hAnsi="Arial"/>
                <w:sz w:val="18"/>
                <w:szCs w:val="18"/>
                <w:color w:val="auto"/>
                <w:w w:val="95"/>
              </w:rPr>
              <w:t>124,188,791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32,349,798</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gridSpan w:val="2"/>
          </w:tcPr>
          <w:p>
            <w:pPr>
              <w:jc w:val="right"/>
              <w:ind w:right="180"/>
              <w:spacing w:after="0" w:line="205"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5" w:lineRule="exact"/>
              <w:rPr>
                <w:sz w:val="20"/>
                <w:szCs w:val="20"/>
                <w:color w:val="auto"/>
              </w:rPr>
            </w:pPr>
            <w:r>
              <w:rPr>
                <w:rFonts w:ascii="Arial" w:cs="Arial" w:eastAsia="Arial" w:hAnsi="Arial"/>
                <w:sz w:val="18"/>
                <w:szCs w:val="18"/>
                <w:color w:val="auto"/>
                <w:w w:val="95"/>
              </w:rPr>
              <w:t>156,538,589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29,623,267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29,623,267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920" w:type="dxa"/>
            <w:vAlign w:val="bottom"/>
          </w:tcPr>
          <w:p>
            <w:pPr>
              <w:spacing w:after="0" w:line="205" w:lineRule="exact"/>
              <w:rPr>
                <w:sz w:val="20"/>
                <w:szCs w:val="20"/>
                <w:color w:val="auto"/>
              </w:rPr>
            </w:pPr>
            <w:r>
              <w:rPr>
                <w:rFonts w:ascii="Arial" w:cs="Arial" w:eastAsia="Arial" w:hAnsi="Arial"/>
                <w:sz w:val="18"/>
                <w:szCs w:val="18"/>
                <w:color w:val="auto"/>
              </w:rPr>
              <w:t>Total investments</w:t>
            </w:r>
          </w:p>
        </w:tc>
        <w:tc>
          <w:tcPr>
            <w:tcW w:w="1160" w:type="dxa"/>
            <w:vAlign w:val="bottom"/>
            <w:gridSpan w:val="3"/>
          </w:tcPr>
          <w:p>
            <w:pPr>
              <w:jc w:val="right"/>
              <w:ind w:right="80"/>
              <w:spacing w:after="0" w:line="205" w:lineRule="exact"/>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153,812,058</w:t>
            </w:r>
          </w:p>
        </w:tc>
        <w:tc>
          <w:tcPr>
            <w:tcW w:w="1140" w:type="dxa"/>
            <w:vAlign w:val="bottom"/>
            <w:gridSpan w:val="3"/>
          </w:tcPr>
          <w:p>
            <w:pPr>
              <w:jc w:val="right"/>
              <w:ind w:right="100"/>
              <w:spacing w:after="0" w:line="205" w:lineRule="exact"/>
              <w:rPr>
                <w:sz w:val="20"/>
                <w:szCs w:val="20"/>
                <w:color w:val="auto"/>
              </w:rPr>
            </w:pPr>
            <w:r>
              <w:rPr>
                <w:rFonts w:ascii="Arial" w:cs="Arial" w:eastAsia="Arial" w:hAnsi="Arial"/>
                <w:sz w:val="18"/>
                <w:szCs w:val="18"/>
                <w:color w:val="auto"/>
                <w:w w:val="97"/>
              </w:rPr>
              <w:t>$ 32,349,798</w:t>
            </w:r>
          </w:p>
        </w:tc>
        <w:tc>
          <w:tcPr>
            <w:tcW w:w="920" w:type="dxa"/>
            <w:vAlign w:val="bottom"/>
            <w:gridSpan w:val="2"/>
          </w:tcPr>
          <w:p>
            <w:pPr>
              <w:jc w:val="right"/>
              <w:ind w:right="652"/>
              <w:spacing w:after="0" w:line="205"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80"/>
              <w:spacing w:after="0" w:line="205"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5"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186,161,856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200" w:type="dxa"/>
            <w:vAlign w:val="bottom"/>
            <w:gridSpan w:val="2"/>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2"/>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8"/>
                <w:szCs w:val="18"/>
                <w:b w:val="1"/>
                <w:bCs w:val="1"/>
                <w:color w:val="auto"/>
              </w:rPr>
              <w:t>December 31, 2019</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132"/>
              <w:spacing w:after="0" w:line="206" w:lineRule="exact"/>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ind w:left="200"/>
              <w:spacing w:after="0" w:line="206" w:lineRule="exact"/>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b w:val="1"/>
                <w:bCs w:val="1"/>
                <w:color w:val="auto"/>
              </w:rPr>
              <w:t>Level 3</w:t>
            </w:r>
          </w:p>
        </w:tc>
        <w:tc>
          <w:tcPr>
            <w:tcW w:w="1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bottom w:val="single" w:sz="8" w:color="auto"/>
            </w:tcBorders>
          </w:tcPr>
          <w:p>
            <w:pPr>
              <w:jc w:val="right"/>
              <w:ind w:right="212"/>
              <w:spacing w:after="0" w:line="206"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ectPr>
          <w:pgSz w:w="11900" w:h="16838" w:orient="portrait"/>
          <w:cols w:equalWidth="0" w:num="1">
            <w:col w:w="11240"/>
          </w:cols>
          <w:pgMar w:left="320" w:top="127" w:right="339" w:bottom="0" w:gutter="0" w:footer="0" w:header="0"/>
          <w:type w:val="continuous"/>
        </w:sectPr>
      </w:pPr>
    </w:p>
    <w:p>
      <w:pPr>
        <w:ind w:left="860" w:right="1000"/>
        <w:spacing w:after="0" w:line="251" w:lineRule="auto"/>
        <w:rPr>
          <w:sz w:val="20"/>
          <w:szCs w:val="20"/>
          <w:color w:val="auto"/>
        </w:rPr>
      </w:pPr>
      <w:r>
        <w:rPr>
          <w:rFonts w:ascii="Arial" w:cs="Arial" w:eastAsia="Arial" w:hAnsi="Arial"/>
          <w:sz w:val="18"/>
          <w:szCs w:val="18"/>
          <w:b w:val="1"/>
          <w:bCs w:val="1"/>
          <w:color w:val="auto"/>
        </w:rPr>
        <w:t xml:space="preserve">Fixed-maturity securities available-for-sale </w:t>
      </w:r>
      <w:r>
        <w:rPr>
          <w:rFonts w:ascii="Arial" w:cs="Arial" w:eastAsia="Arial" w:hAnsi="Arial"/>
          <w:sz w:val="18"/>
          <w:szCs w:val="18"/>
          <w:color w:val="auto"/>
        </w:rPr>
        <w:t>U.S. Treasury securities and obligations of U.S.</w:t>
      </w:r>
    </w:p>
    <w:p>
      <w:pPr>
        <w:spacing w:after="0" w:line="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government corporations</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and agencies</w:t>
      </w:r>
    </w:p>
    <w:p>
      <w:pPr>
        <w:spacing w:after="0" w:line="20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Political subdivisions of</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States, Territories and</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Possessions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34"/>
        </w:trPr>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7,061,100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7,061,100</w:t>
            </w:r>
          </w:p>
        </w:tc>
      </w:tr>
      <w:tr>
        <w:trPr>
          <w:trHeight w:val="423"/>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23"/>
        </w:trPr>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9,321,812</w:t>
            </w:r>
          </w:p>
        </w:tc>
        <w:tc>
          <w:tcPr>
            <w:tcW w:w="5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9,321,812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-1072515</wp:posOffset>
            </wp:positionV>
            <wp:extent cx="6062345" cy="536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62345" cy="53657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-401955</wp:posOffset>
            </wp:positionV>
            <wp:extent cx="6062345" cy="402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62345" cy="4025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133985</wp:posOffset>
            </wp:positionV>
            <wp:extent cx="6062345"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62345" cy="51435"/>
                    </a:xfrm>
                    <a:prstGeom prst="rect">
                      <a:avLst/>
                    </a:prstGeom>
                    <a:noFill/>
                  </pic:spPr>
                </pic:pic>
              </a:graphicData>
            </a:graphic>
          </wp:anchor>
        </w:drawing>
      </w:r>
    </w:p>
    <w:p>
      <w:pPr>
        <w:sectPr>
          <w:pgSz w:w="11900" w:h="16838" w:orient="portrait"/>
          <w:cols w:equalWidth="0" w:num="2">
            <w:col w:w="5080" w:space="720"/>
            <w:col w:w="5440"/>
          </w:cols>
          <w:pgMar w:left="320" w:top="127" w:right="339" w:bottom="0" w:gutter="0" w:footer="0" w:header="0"/>
          <w:type w:val="continuous"/>
        </w:sectPr>
      </w:pPr>
    </w:p>
    <w:bookmarkStart w:id="12" w:name="page13"/>
    <w:bookmarkEnd w:id="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123,010,772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2,611,267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125,622,039</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32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1340" w:type="dxa"/>
            <w:vAlign w:val="bottom"/>
            <w:gridSpan w:val="2"/>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26,231,230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26,231,230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vMerge w:val="continue"/>
          </w:tcPr>
          <w:p>
            <w:pPr>
              <w:spacing w:after="0"/>
              <w:rPr>
                <w:sz w:val="17"/>
                <w:szCs w:val="17"/>
                <w:color w:val="auto"/>
              </w:rPr>
            </w:pPr>
          </w:p>
        </w:tc>
        <w:tc>
          <w:tcPr>
            <w:tcW w:w="3700" w:type="dxa"/>
            <w:vAlign w:val="bottom"/>
          </w:tcPr>
          <w:p>
            <w:pPr>
              <w:spacing w:after="0" w:line="205" w:lineRule="exact"/>
              <w:rPr>
                <w:sz w:val="20"/>
                <w:szCs w:val="20"/>
                <w:color w:val="auto"/>
              </w:rPr>
            </w:pPr>
            <w:r>
              <w:rPr>
                <w:rFonts w:ascii="Arial" w:cs="Arial" w:eastAsia="Arial" w:hAnsi="Arial"/>
                <w:sz w:val="18"/>
                <w:szCs w:val="18"/>
                <w:color w:val="auto"/>
              </w:rPr>
              <w:t>Total fixed maturities</w:t>
            </w:r>
          </w:p>
        </w:tc>
        <w:tc>
          <w:tcPr>
            <w:tcW w:w="1340" w:type="dxa"/>
            <w:vAlign w:val="bottom"/>
            <w:gridSpan w:val="2"/>
          </w:tcPr>
          <w:p>
            <w:pPr>
              <w:spacing w:after="0"/>
              <w:rPr>
                <w:sz w:val="17"/>
                <w:szCs w:val="17"/>
                <w:color w:val="auto"/>
              </w:rPr>
            </w:pPr>
          </w:p>
        </w:tc>
        <w:tc>
          <w:tcPr>
            <w:tcW w:w="980" w:type="dxa"/>
            <w:vAlign w:val="bottom"/>
          </w:tcPr>
          <w:p>
            <w:pPr>
              <w:jc w:val="right"/>
              <w:spacing w:after="0" w:line="205" w:lineRule="exact"/>
              <w:rPr>
                <w:sz w:val="20"/>
                <w:szCs w:val="20"/>
                <w:color w:val="auto"/>
              </w:rPr>
            </w:pPr>
            <w:r>
              <w:rPr>
                <w:rFonts w:ascii="Arial" w:cs="Arial" w:eastAsia="Arial" w:hAnsi="Arial"/>
                <w:sz w:val="18"/>
                <w:szCs w:val="18"/>
                <w:color w:val="auto"/>
                <w:w w:val="95"/>
              </w:rPr>
              <w:t>130,071,872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38,164,309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gridSpan w:val="2"/>
          </w:tcPr>
          <w:p>
            <w:pPr>
              <w:jc w:val="right"/>
              <w:ind w:right="180"/>
              <w:spacing w:after="0" w:line="205"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5" w:lineRule="exact"/>
              <w:rPr>
                <w:sz w:val="20"/>
                <w:szCs w:val="20"/>
                <w:color w:val="auto"/>
              </w:rPr>
            </w:pPr>
            <w:r>
              <w:rPr>
                <w:rFonts w:ascii="Arial" w:cs="Arial" w:eastAsia="Arial" w:hAnsi="Arial"/>
                <w:sz w:val="18"/>
                <w:szCs w:val="18"/>
                <w:color w:val="auto"/>
                <w:w w:val="95"/>
              </w:rPr>
              <w:t>168,236,181</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securities</w:t>
            </w:r>
          </w:p>
        </w:tc>
        <w:tc>
          <w:tcPr>
            <w:tcW w:w="1340" w:type="dxa"/>
            <w:vAlign w:val="bottom"/>
            <w:gridSpan w:val="2"/>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24,661,382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24,661,382</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60" w:type="dxa"/>
            <w:vAlign w:val="bottom"/>
            <w:vMerge w:val="continue"/>
          </w:tcPr>
          <w:p>
            <w:pPr>
              <w:spacing w:after="0"/>
              <w:rPr>
                <w:sz w:val="19"/>
                <w:szCs w:val="19"/>
                <w:color w:val="auto"/>
              </w:rPr>
            </w:pPr>
          </w:p>
        </w:tc>
        <w:tc>
          <w:tcPr>
            <w:tcW w:w="3700" w:type="dxa"/>
            <w:vAlign w:val="bottom"/>
          </w:tcPr>
          <w:p>
            <w:pPr>
              <w:spacing w:after="0" w:line="205" w:lineRule="exact"/>
              <w:rPr>
                <w:sz w:val="20"/>
                <w:szCs w:val="20"/>
                <w:color w:val="auto"/>
              </w:rPr>
            </w:pPr>
            <w:r>
              <w:rPr>
                <w:rFonts w:ascii="Arial" w:cs="Arial" w:eastAsia="Arial" w:hAnsi="Arial"/>
                <w:sz w:val="18"/>
                <w:szCs w:val="18"/>
                <w:color w:val="auto"/>
              </w:rPr>
              <w:t>Total investments</w:t>
            </w:r>
          </w:p>
        </w:tc>
        <w:tc>
          <w:tcPr>
            <w:tcW w:w="2400" w:type="dxa"/>
            <w:vAlign w:val="bottom"/>
            <w:gridSpan w:val="4"/>
          </w:tcPr>
          <w:p>
            <w:pPr>
              <w:jc w:val="right"/>
              <w:ind w:right="80"/>
              <w:spacing w:after="0" w:line="205"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154,733,254</w:t>
            </w:r>
          </w:p>
        </w:tc>
        <w:tc>
          <w:tcPr>
            <w:tcW w:w="1140" w:type="dxa"/>
            <w:vAlign w:val="bottom"/>
            <w:gridSpan w:val="3"/>
          </w:tcPr>
          <w:p>
            <w:pPr>
              <w:jc w:val="right"/>
              <w:ind w:right="100"/>
              <w:spacing w:after="0" w:line="205" w:lineRule="exact"/>
              <w:rPr>
                <w:sz w:val="20"/>
                <w:szCs w:val="20"/>
                <w:color w:val="auto"/>
              </w:rPr>
            </w:pPr>
            <w:r>
              <w:rPr>
                <w:rFonts w:ascii="Arial" w:cs="Arial" w:eastAsia="Arial" w:hAnsi="Arial"/>
                <w:sz w:val="18"/>
                <w:szCs w:val="18"/>
                <w:color w:val="auto"/>
                <w:w w:val="97"/>
              </w:rPr>
              <w:t>$ 38,164,309</w:t>
            </w:r>
          </w:p>
        </w:tc>
        <w:tc>
          <w:tcPr>
            <w:tcW w:w="580" w:type="dxa"/>
            <w:vAlign w:val="bottom"/>
            <w:gridSpan w:val="2"/>
          </w:tcPr>
          <w:p>
            <w:pPr>
              <w:jc w:val="right"/>
              <w:ind w:right="400"/>
              <w:spacing w:after="0" w:line="205"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line="205"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5"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192,897,563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3"/>
        </w:trPr>
        <w:tc>
          <w:tcPr>
            <w:tcW w:w="8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sets forth the Company’s investment in a hedge fund measured at Net Asset Value (“NAV”) per share as of September 30, 2020 and December 31, 2019. The Company measures this investment at fair value on a recurring basis. Fair value using NAV per share is as follows as of the dates indicated:</w:t>
      </w:r>
    </w:p>
    <w:p>
      <w:pPr>
        <w:spacing w:after="0" w:line="182" w:lineRule="exact"/>
        <w:rPr>
          <w:sz w:val="20"/>
          <w:szCs w:val="20"/>
          <w:color w:val="auto"/>
        </w:rPr>
      </w:pPr>
    </w:p>
    <w:tbl>
      <w:tblPr>
        <w:tblLayout w:type="fixed"/>
        <w:tblInd w:w="8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w:t>
            </w:r>
          </w:p>
        </w:tc>
        <w:tc>
          <w:tcPr>
            <w:tcW w:w="8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b w:val="1"/>
                <w:bCs w:val="1"/>
                <w:color w:val="auto"/>
              </w:rPr>
              <w:t>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Other Investments: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Hedge fund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2,829,078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7240" w:type="dxa"/>
            <w:vAlign w:val="bottom"/>
          </w:tcPr>
          <w:p>
            <w:pPr>
              <w:spacing w:after="0" w:line="205" w:lineRule="exact"/>
              <w:rPr>
                <w:sz w:val="20"/>
                <w:szCs w:val="20"/>
                <w:color w:val="auto"/>
              </w:rPr>
            </w:pPr>
            <w:r>
              <w:rPr>
                <w:rFonts w:ascii="Arial" w:cs="Arial" w:eastAsia="Arial" w:hAnsi="Arial"/>
                <w:sz w:val="18"/>
                <w:szCs w:val="18"/>
                <w:color w:val="auto"/>
              </w:rPr>
              <w:t>Total</w:t>
            </w:r>
          </w:p>
        </w:tc>
        <w:tc>
          <w:tcPr>
            <w:tcW w:w="2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5" w:lineRule="exact"/>
              <w:rPr>
                <w:sz w:val="20"/>
                <w:szCs w:val="20"/>
                <w:color w:val="auto"/>
              </w:rPr>
            </w:pPr>
            <w:r>
              <w:rPr>
                <w:rFonts w:ascii="Arial" w:cs="Arial" w:eastAsia="Arial" w:hAnsi="Arial"/>
                <w:sz w:val="18"/>
                <w:szCs w:val="18"/>
                <w:color w:val="auto"/>
                <w:w w:val="94"/>
              </w:rPr>
              <w:t>2,829,078</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205" w:lineRule="exact"/>
              <w:rPr>
                <w:sz w:val="20"/>
                <w:szCs w:val="20"/>
                <w:color w:val="auto"/>
              </w:rPr>
            </w:pPr>
            <w:r>
              <w:rPr>
                <w:rFonts w:ascii="Arial" w:cs="Arial" w:eastAsia="Arial" w:hAnsi="Arial"/>
                <w:sz w:val="18"/>
                <w:szCs w:val="18"/>
                <w:color w:val="auto"/>
              </w:rPr>
              <w:t>2,584,913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328" w:lineRule="auto"/>
        <w:rPr>
          <w:sz w:val="20"/>
          <w:szCs w:val="20"/>
          <w:color w:val="auto"/>
        </w:rPr>
      </w:pPr>
      <w:r>
        <w:rPr>
          <w:rFonts w:ascii="Arial" w:cs="Arial" w:eastAsia="Arial" w:hAnsi="Arial"/>
          <w:sz w:val="15"/>
          <w:szCs w:val="15"/>
          <w:color w:val="auto"/>
        </w:rPr>
        <w:t>The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Such amounts have been recorded in the condensed consolidated statements of operations and comprehensive income (loss) within net gains (losses) on investments.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fair value and the level of the fair value hierarchy of the Company’s long-term debt as of September 30, 2020 and December 31, 2019 not measured at fair value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93"/>
              </w:rPr>
              <w:t>September 30, 2020</w:t>
            </w: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ind w:left="100"/>
              <w:spacing w:after="0" w:line="205" w:lineRule="exact"/>
              <w:rPr>
                <w:sz w:val="20"/>
                <w:szCs w:val="20"/>
                <w:color w:val="auto"/>
              </w:rPr>
            </w:pPr>
            <w:r>
              <w:rPr>
                <w:rFonts w:ascii="Arial" w:cs="Arial" w:eastAsia="Arial" w:hAnsi="Arial"/>
                <w:sz w:val="18"/>
                <w:szCs w:val="18"/>
                <w:b w:val="1"/>
                <w:bCs w:val="1"/>
                <w:color w:val="auto"/>
              </w:rPr>
              <w:t>Level 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4"/>
          </w:tcPr>
          <w:p>
            <w:pPr>
              <w:jc w:val="center"/>
              <w:ind w:right="260"/>
              <w:spacing w:after="0" w:line="205" w:lineRule="exact"/>
              <w:rPr>
                <w:sz w:val="20"/>
                <w:szCs w:val="20"/>
                <w:color w:val="auto"/>
              </w:rPr>
            </w:pPr>
            <w:r>
              <w:rPr>
                <w:rFonts w:ascii="Arial" w:cs="Arial" w:eastAsia="Arial" w:hAnsi="Arial"/>
                <w:sz w:val="18"/>
                <w:szCs w:val="18"/>
                <w:b w:val="1"/>
                <w:bCs w:val="1"/>
                <w:color w:val="auto"/>
                <w:w w:val="88"/>
              </w:rPr>
              <w:t>Level 2</w:t>
            </w:r>
          </w:p>
        </w:tc>
        <w:tc>
          <w:tcPr>
            <w:tcW w:w="100" w:type="dxa"/>
            <w:vAlign w:val="bottom"/>
          </w:tcPr>
          <w:p>
            <w:pPr>
              <w:spacing w:after="0"/>
              <w:rPr>
                <w:sz w:val="17"/>
                <w:szCs w:val="17"/>
                <w:color w:val="auto"/>
              </w:rPr>
            </w:pPr>
          </w:p>
        </w:tc>
        <w:tc>
          <w:tcPr>
            <w:tcW w:w="780" w:type="dxa"/>
            <w:vAlign w:val="bottom"/>
            <w:gridSpan w:val="3"/>
          </w:tcPr>
          <w:p>
            <w:pPr>
              <w:jc w:val="right"/>
              <w:spacing w:after="0" w:line="205" w:lineRule="exact"/>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center"/>
              <w:ind w:left="192"/>
              <w:spacing w:after="0" w:line="205" w:lineRule="exact"/>
              <w:rPr>
                <w:sz w:val="20"/>
                <w:szCs w:val="20"/>
                <w:color w:val="auto"/>
              </w:rPr>
            </w:pPr>
            <w:r>
              <w:rPr>
                <w:rFonts w:ascii="Arial" w:cs="Arial" w:eastAsia="Arial" w:hAnsi="Arial"/>
                <w:sz w:val="18"/>
                <w:szCs w:val="18"/>
                <w:b w:val="1"/>
                <w:bCs w:val="1"/>
                <w:color w:val="auto"/>
                <w:w w:val="88"/>
              </w:rPr>
              <w:t>Total</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Long-term debt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40" w:type="dxa"/>
            <w:vAlign w:val="bottom"/>
            <w:vMerge w:val="restart"/>
          </w:tcPr>
          <w:p>
            <w:pPr>
              <w:spacing w:after="0"/>
              <w:rPr>
                <w:sz w:val="16"/>
                <w:szCs w:val="16"/>
                <w:color w:val="auto"/>
              </w:rPr>
            </w:pPr>
          </w:p>
        </w:tc>
        <w:tc>
          <w:tcPr>
            <w:tcW w:w="5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gridSpan w:val="2"/>
          </w:tcPr>
          <w:p>
            <w:pPr>
              <w:spacing w:after="0"/>
              <w:rPr>
                <w:sz w:val="16"/>
                <w:szCs w:val="16"/>
                <w:color w:val="auto"/>
              </w:rPr>
            </w:pPr>
          </w:p>
        </w:tc>
        <w:tc>
          <w:tcPr>
            <w:tcW w:w="66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gridSpan w:val="3"/>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due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7"/>
            <w:shd w:val="clear" w:color="auto" w:fill="CCEEFF"/>
          </w:tcPr>
          <w:p>
            <w:pPr>
              <w:jc w:val="center"/>
              <w:ind w:right="20"/>
              <w:spacing w:after="0"/>
              <w:rPr>
                <w:sz w:val="20"/>
                <w:szCs w:val="20"/>
                <w:color w:val="auto"/>
              </w:rPr>
            </w:pPr>
            <w:r>
              <w:rPr>
                <w:rFonts w:ascii="Arial" w:cs="Arial" w:eastAsia="Arial" w:hAnsi="Arial"/>
                <w:sz w:val="18"/>
                <w:szCs w:val="18"/>
                <w:color w:val="auto"/>
                <w:w w:val="91"/>
              </w:rPr>
              <w:t>$ 27,279,652</w:t>
            </w:r>
          </w:p>
        </w:tc>
        <w:tc>
          <w:tcPr>
            <w:tcW w:w="3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9"/>
              </w:rPr>
              <w:t>$ 27,279,652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7"/>
          </w:tcPr>
          <w:p>
            <w:pPr>
              <w:jc w:val="right"/>
              <w:ind w:right="72"/>
              <w:spacing w:after="0"/>
              <w:rPr>
                <w:sz w:val="20"/>
                <w:szCs w:val="20"/>
                <w:color w:val="auto"/>
              </w:rPr>
            </w:pPr>
            <w:r>
              <w:rPr>
                <w:rFonts w:ascii="Arial" w:cs="Arial" w:eastAsia="Arial" w:hAnsi="Arial"/>
                <w:sz w:val="18"/>
                <w:szCs w:val="18"/>
                <w:b w:val="1"/>
                <w:bCs w:val="1"/>
                <w:color w:val="auto"/>
                <w:w w:val="88"/>
              </w:rPr>
              <w:t>December 31, 2019</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ind w:left="100"/>
              <w:spacing w:after="0" w:line="205" w:lineRule="exact"/>
              <w:rPr>
                <w:sz w:val="20"/>
                <w:szCs w:val="20"/>
                <w:color w:val="auto"/>
              </w:rPr>
            </w:pPr>
            <w:r>
              <w:rPr>
                <w:rFonts w:ascii="Arial" w:cs="Arial" w:eastAsia="Arial" w:hAnsi="Arial"/>
                <w:sz w:val="18"/>
                <w:szCs w:val="18"/>
                <w:b w:val="1"/>
                <w:bCs w:val="1"/>
                <w:color w:val="auto"/>
              </w:rPr>
              <w:t>Level 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4"/>
          </w:tcPr>
          <w:p>
            <w:pPr>
              <w:jc w:val="center"/>
              <w:ind w:right="260"/>
              <w:spacing w:after="0" w:line="205" w:lineRule="exact"/>
              <w:rPr>
                <w:sz w:val="20"/>
                <w:szCs w:val="20"/>
                <w:color w:val="auto"/>
              </w:rPr>
            </w:pPr>
            <w:r>
              <w:rPr>
                <w:rFonts w:ascii="Arial" w:cs="Arial" w:eastAsia="Arial" w:hAnsi="Arial"/>
                <w:sz w:val="18"/>
                <w:szCs w:val="18"/>
                <w:b w:val="1"/>
                <w:bCs w:val="1"/>
                <w:color w:val="auto"/>
                <w:w w:val="88"/>
              </w:rPr>
              <w:t>Level 2</w:t>
            </w:r>
          </w:p>
        </w:tc>
        <w:tc>
          <w:tcPr>
            <w:tcW w:w="100" w:type="dxa"/>
            <w:vAlign w:val="bottom"/>
          </w:tcPr>
          <w:p>
            <w:pPr>
              <w:spacing w:after="0"/>
              <w:rPr>
                <w:sz w:val="17"/>
                <w:szCs w:val="17"/>
                <w:color w:val="auto"/>
              </w:rPr>
            </w:pPr>
          </w:p>
        </w:tc>
        <w:tc>
          <w:tcPr>
            <w:tcW w:w="780" w:type="dxa"/>
            <w:vAlign w:val="bottom"/>
            <w:gridSpan w:val="3"/>
          </w:tcPr>
          <w:p>
            <w:pPr>
              <w:jc w:val="right"/>
              <w:spacing w:after="0" w:line="205" w:lineRule="exact"/>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center"/>
              <w:ind w:left="192"/>
              <w:spacing w:after="0" w:line="205" w:lineRule="exact"/>
              <w:rPr>
                <w:sz w:val="20"/>
                <w:szCs w:val="20"/>
                <w:color w:val="auto"/>
              </w:rPr>
            </w:pPr>
            <w:r>
              <w:rPr>
                <w:rFonts w:ascii="Arial" w:cs="Arial" w:eastAsia="Arial" w:hAnsi="Arial"/>
                <w:sz w:val="18"/>
                <w:szCs w:val="18"/>
                <w:b w:val="1"/>
                <w:bCs w:val="1"/>
                <w:color w:val="auto"/>
                <w:w w:val="88"/>
              </w:rPr>
              <w:t>Total</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Long-term debt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840" w:type="dxa"/>
            <w:vAlign w:val="bottom"/>
            <w:vMerge w:val="restart"/>
          </w:tcPr>
          <w:p>
            <w:pPr>
              <w:spacing w:after="0"/>
              <w:rPr>
                <w:sz w:val="16"/>
                <w:szCs w:val="16"/>
                <w:color w:val="auto"/>
              </w:rPr>
            </w:pPr>
          </w:p>
        </w:tc>
        <w:tc>
          <w:tcPr>
            <w:tcW w:w="50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200" w:type="dxa"/>
            <w:vAlign w:val="bottom"/>
            <w:gridSpan w:val="2"/>
          </w:tcPr>
          <w:p>
            <w:pPr>
              <w:spacing w:after="0"/>
              <w:rPr>
                <w:sz w:val="16"/>
                <w:szCs w:val="16"/>
                <w:color w:val="auto"/>
              </w:rPr>
            </w:pPr>
          </w:p>
        </w:tc>
        <w:tc>
          <w:tcPr>
            <w:tcW w:w="740" w:type="dxa"/>
            <w:vAlign w:val="bottom"/>
            <w:gridSpan w:val="3"/>
          </w:tcPr>
          <w:p>
            <w:pPr>
              <w:spacing w:after="0"/>
              <w:rPr>
                <w:sz w:val="16"/>
                <w:szCs w:val="16"/>
                <w:color w:val="auto"/>
              </w:rPr>
            </w:pPr>
          </w:p>
        </w:tc>
        <w:tc>
          <w:tcPr>
            <w:tcW w:w="38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gridSpan w:val="2"/>
          </w:tcPr>
          <w:p>
            <w:pPr>
              <w:spacing w:after="0"/>
              <w:rPr>
                <w:sz w:val="16"/>
                <w:szCs w:val="16"/>
                <w:color w:val="auto"/>
              </w:rPr>
            </w:pPr>
          </w:p>
        </w:tc>
        <w:tc>
          <w:tcPr>
            <w:tcW w:w="620" w:type="dxa"/>
            <w:vAlign w:val="bottom"/>
            <w:gridSpan w:val="2"/>
          </w:tcPr>
          <w:p>
            <w:pPr>
              <w:spacing w:after="0"/>
              <w:rPr>
                <w:sz w:val="16"/>
                <w:szCs w:val="16"/>
                <w:color w:val="auto"/>
              </w:rPr>
            </w:pPr>
          </w:p>
        </w:tc>
        <w:tc>
          <w:tcPr>
            <w:tcW w:w="580" w:type="dxa"/>
            <w:vAlign w:val="bottom"/>
            <w:gridSpan w:val="4"/>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due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7"/>
            <w:shd w:val="clear" w:color="auto" w:fill="CCEEFF"/>
          </w:tcPr>
          <w:p>
            <w:pPr>
              <w:jc w:val="center"/>
              <w:ind w:right="20"/>
              <w:spacing w:after="0"/>
              <w:rPr>
                <w:sz w:val="20"/>
                <w:szCs w:val="20"/>
                <w:color w:val="auto"/>
              </w:rPr>
            </w:pPr>
            <w:r>
              <w:rPr>
                <w:rFonts w:ascii="Arial" w:cs="Arial" w:eastAsia="Arial" w:hAnsi="Arial"/>
                <w:sz w:val="18"/>
                <w:szCs w:val="18"/>
                <w:color w:val="auto"/>
                <w:w w:val="91"/>
              </w:rPr>
              <w:t>$ 27,313,994</w:t>
            </w:r>
          </w:p>
        </w:tc>
        <w:tc>
          <w:tcPr>
            <w:tcW w:w="3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9"/>
              </w:rPr>
              <w:t>$ 27,313,994</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5940" w:type="dxa"/>
            <w:vAlign w:val="bottom"/>
            <w:gridSpan w:val="4"/>
          </w:tcPr>
          <w:p>
            <w:pPr>
              <w:spacing w:after="0"/>
              <w:rPr>
                <w:sz w:val="20"/>
                <w:szCs w:val="20"/>
                <w:color w:val="auto"/>
              </w:rPr>
            </w:pPr>
            <w:r>
              <w:rPr>
                <w:rFonts w:ascii="Arial" w:cs="Arial" w:eastAsia="Arial" w:hAnsi="Arial"/>
                <w:sz w:val="18"/>
                <w:szCs w:val="18"/>
                <w:b w:val="1"/>
                <w:bCs w:val="1"/>
                <w:color w:val="auto"/>
              </w:rPr>
              <w:t>Note 5 - Fair Value of Financial Instruments and Real Estate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240" w:type="dxa"/>
            <w:vAlign w:val="bottom"/>
            <w:gridSpan w:val="29"/>
          </w:tcPr>
          <w:p>
            <w:pPr>
              <w:spacing w:after="0"/>
              <w:rPr>
                <w:sz w:val="20"/>
                <w:szCs w:val="20"/>
                <w:color w:val="auto"/>
              </w:rPr>
            </w:pPr>
            <w:r>
              <w:rPr>
                <w:rFonts w:ascii="Arial" w:cs="Arial" w:eastAsia="Arial" w:hAnsi="Arial"/>
                <w:sz w:val="18"/>
                <w:szCs w:val="18"/>
                <w:color w:val="auto"/>
                <w:w w:val="95"/>
              </w:rPr>
              <w:t>The estimated fair values of the Company’s financial instruments and real estate as of September 30, 2020 and December 31, 2019 are as follows: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9"/>
          </w:tcPr>
          <w:p>
            <w:pPr>
              <w:ind w:left="320"/>
              <w:spacing w:after="0"/>
              <w:rPr>
                <w:sz w:val="20"/>
                <w:szCs w:val="20"/>
                <w:color w:val="auto"/>
              </w:rPr>
            </w:pPr>
            <w:r>
              <w:rPr>
                <w:rFonts w:ascii="Arial" w:cs="Arial" w:eastAsia="Arial" w:hAnsi="Arial"/>
                <w:sz w:val="18"/>
                <w:szCs w:val="18"/>
                <w:b w:val="1"/>
                <w:bCs w:val="1"/>
                <w:color w:val="auto"/>
                <w:w w:val="92"/>
              </w:rPr>
              <w:t>September 30, 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40" w:type="dxa"/>
            <w:vAlign w:val="bottom"/>
            <w:gridSpan w:val="8"/>
          </w:tcPr>
          <w:p>
            <w:pPr>
              <w:ind w:left="2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center"/>
              <w:spacing w:after="0" w:line="187" w:lineRule="exact"/>
              <w:rPr>
                <w:sz w:val="20"/>
                <w:szCs w:val="20"/>
                <w:color w:val="auto"/>
              </w:rPr>
            </w:pPr>
            <w:r>
              <w:rPr>
                <w:rFonts w:ascii="Arial" w:cs="Arial" w:eastAsia="Arial" w:hAnsi="Arial"/>
                <w:sz w:val="18"/>
                <w:szCs w:val="18"/>
                <w:b w:val="1"/>
                <w:bCs w:val="1"/>
                <w:color w:val="auto"/>
                <w:w w:val="91"/>
              </w:rPr>
              <w:t>Carrying</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4"/>
          </w:tcPr>
          <w:p>
            <w:pPr>
              <w:ind w:left="40"/>
              <w:spacing w:after="0" w:line="187" w:lineRule="exact"/>
              <w:rPr>
                <w:sz w:val="20"/>
                <w:szCs w:val="20"/>
                <w:color w:val="auto"/>
              </w:rPr>
            </w:pPr>
            <w:r>
              <w:rPr>
                <w:rFonts w:ascii="Arial" w:cs="Arial" w:eastAsia="Arial" w:hAnsi="Arial"/>
                <w:sz w:val="18"/>
                <w:szCs w:val="18"/>
                <w:b w:val="1"/>
                <w:bCs w:val="1"/>
                <w:color w:val="auto"/>
              </w:rPr>
              <w:t>Estimated</w:t>
            </w:r>
          </w:p>
        </w:tc>
        <w:tc>
          <w:tcPr>
            <w:tcW w:w="200" w:type="dxa"/>
            <w:vAlign w:val="bottom"/>
          </w:tcPr>
          <w:p>
            <w:pPr>
              <w:spacing w:after="0"/>
              <w:rPr>
                <w:sz w:val="16"/>
                <w:szCs w:val="16"/>
                <w:color w:val="auto"/>
              </w:rPr>
            </w:pPr>
          </w:p>
        </w:tc>
        <w:tc>
          <w:tcPr>
            <w:tcW w:w="1320" w:type="dxa"/>
            <w:vAlign w:val="bottom"/>
            <w:tcBorders>
              <w:top w:val="single" w:sz="8" w:color="auto"/>
            </w:tcBorders>
            <w:gridSpan w:val="6"/>
          </w:tcPr>
          <w:p>
            <w:pPr>
              <w:jc w:val="center"/>
              <w:ind w:right="200"/>
              <w:spacing w:after="0" w:line="187" w:lineRule="exact"/>
              <w:rPr>
                <w:sz w:val="20"/>
                <w:szCs w:val="20"/>
                <w:color w:val="auto"/>
              </w:rPr>
            </w:pPr>
            <w:r>
              <w:rPr>
                <w:rFonts w:ascii="Arial" w:cs="Arial" w:eastAsia="Arial" w:hAnsi="Arial"/>
                <w:sz w:val="18"/>
                <w:szCs w:val="18"/>
                <w:b w:val="1"/>
                <w:bCs w:val="1"/>
                <w:color w:val="auto"/>
                <w:w w:val="91"/>
              </w:rPr>
              <w:t>Carrying</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ind w:left="40"/>
              <w:spacing w:after="0" w:line="187"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Value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5"/>
          </w:tcPr>
          <w:p>
            <w:pPr>
              <w:ind w:left="20"/>
              <w:spacing w:after="0"/>
              <w:rPr>
                <w:sz w:val="20"/>
                <w:szCs w:val="20"/>
                <w:color w:val="auto"/>
              </w:rPr>
            </w:pPr>
            <w:r>
              <w:rPr>
                <w:rFonts w:ascii="Arial" w:cs="Arial" w:eastAsia="Arial" w:hAnsi="Arial"/>
                <w:sz w:val="18"/>
                <w:szCs w:val="18"/>
                <w:b w:val="1"/>
                <w:bCs w:val="1"/>
                <w:color w:val="auto"/>
              </w:rPr>
              <w:t>Fair Value</w:t>
            </w:r>
          </w:p>
        </w:tc>
        <w:tc>
          <w:tcPr>
            <w:tcW w:w="300" w:type="dxa"/>
            <w:vAlign w:val="bottom"/>
          </w:tcPr>
          <w:p>
            <w:pPr>
              <w:spacing w:after="0"/>
              <w:rPr>
                <w:sz w:val="19"/>
                <w:szCs w:val="19"/>
                <w:color w:val="auto"/>
              </w:rPr>
            </w:pPr>
          </w:p>
        </w:tc>
        <w:tc>
          <w:tcPr>
            <w:tcW w:w="10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19"/>
                <w:szCs w:val="19"/>
                <w:color w:val="auto"/>
              </w:rPr>
            </w:pPr>
          </w:p>
        </w:tc>
        <w:tc>
          <w:tcPr>
            <w:tcW w:w="1080" w:type="dxa"/>
            <w:vAlign w:val="bottom"/>
            <w:gridSpan w:val="4"/>
          </w:tcPr>
          <w:p>
            <w:pPr>
              <w:ind w:left="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Fixed-maturity securities-held-to maturity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7,369,608</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7,899,304</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99"/>
              </w:rPr>
              <w:t>3,825,952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4,124,767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24,388,103</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5"/>
          </w:tcPr>
          <w:p>
            <w:pPr>
              <w:jc w:val="right"/>
              <w:ind w:right="200"/>
              <w:spacing w:after="0"/>
              <w:rPr>
                <w:sz w:val="20"/>
                <w:szCs w:val="20"/>
                <w:color w:val="auto"/>
              </w:rPr>
            </w:pPr>
            <w:r>
              <w:rPr>
                <w:rFonts w:ascii="Arial" w:cs="Arial" w:eastAsia="Arial" w:hAnsi="Arial"/>
                <w:sz w:val="18"/>
                <w:szCs w:val="18"/>
                <w:color w:val="auto"/>
              </w:rPr>
              <w:t>24,388,103</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gridSpan w:val="5"/>
          </w:tcPr>
          <w:p>
            <w:pPr>
              <w:jc w:val="right"/>
              <w:ind w:right="200"/>
              <w:spacing w:after="0"/>
              <w:rPr>
                <w:sz w:val="20"/>
                <w:szCs w:val="20"/>
                <w:color w:val="auto"/>
              </w:rPr>
            </w:pPr>
            <w:r>
              <w:rPr>
                <w:rFonts w:ascii="Arial" w:cs="Arial" w:eastAsia="Arial" w:hAnsi="Arial"/>
                <w:sz w:val="18"/>
                <w:szCs w:val="18"/>
                <w:color w:val="auto"/>
                <w:w w:val="88"/>
              </w:rPr>
              <w:t>32,391,485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32,391,485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Premiums receivable, net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13,883,708</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13,883,708</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88"/>
              </w:rPr>
              <w:t>12,706,411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12,706,411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Reinsurance receivables, net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55,529,408</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5"/>
          </w:tcPr>
          <w:p>
            <w:pPr>
              <w:jc w:val="right"/>
              <w:ind w:right="200"/>
              <w:spacing w:after="0"/>
              <w:rPr>
                <w:sz w:val="20"/>
                <w:szCs w:val="20"/>
                <w:color w:val="auto"/>
              </w:rPr>
            </w:pPr>
            <w:r>
              <w:rPr>
                <w:rFonts w:ascii="Arial" w:cs="Arial" w:eastAsia="Arial" w:hAnsi="Arial"/>
                <w:sz w:val="18"/>
                <w:szCs w:val="18"/>
                <w:color w:val="auto"/>
              </w:rPr>
              <w:t>55,529,408</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gridSpan w:val="5"/>
          </w:tcPr>
          <w:p>
            <w:pPr>
              <w:jc w:val="right"/>
              <w:ind w:right="200"/>
              <w:spacing w:after="0"/>
              <w:rPr>
                <w:sz w:val="20"/>
                <w:szCs w:val="20"/>
                <w:color w:val="auto"/>
              </w:rPr>
            </w:pPr>
            <w:r>
              <w:rPr>
                <w:rFonts w:ascii="Arial" w:cs="Arial" w:eastAsia="Arial" w:hAnsi="Arial"/>
                <w:sz w:val="18"/>
                <w:szCs w:val="18"/>
                <w:color w:val="auto"/>
                <w:w w:val="88"/>
              </w:rPr>
              <w:t>40,750,538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40,750,538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 net of accumulated depreciation</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2,238,435</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2,705,000</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w w:val="99"/>
              </w:rPr>
              <w:t>2,292,743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2,705,000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Reinsurance balances payable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5"/>
          </w:tcPr>
          <w:p>
            <w:pPr>
              <w:jc w:val="right"/>
              <w:ind w:right="60"/>
              <w:spacing w:after="0"/>
              <w:rPr>
                <w:sz w:val="20"/>
                <w:szCs w:val="20"/>
                <w:color w:val="auto"/>
              </w:rPr>
            </w:pPr>
            <w:r>
              <w:rPr>
                <w:rFonts w:ascii="Arial" w:cs="Arial" w:eastAsia="Arial" w:hAnsi="Arial"/>
                <w:sz w:val="18"/>
                <w:szCs w:val="18"/>
                <w:color w:val="auto"/>
              </w:rPr>
              <w:t>10,062,649</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5"/>
          </w:tcPr>
          <w:p>
            <w:pPr>
              <w:jc w:val="right"/>
              <w:ind w:right="200"/>
              <w:spacing w:after="0"/>
              <w:rPr>
                <w:sz w:val="20"/>
                <w:szCs w:val="20"/>
                <w:color w:val="auto"/>
              </w:rPr>
            </w:pPr>
            <w:r>
              <w:rPr>
                <w:rFonts w:ascii="Arial" w:cs="Arial" w:eastAsia="Arial" w:hAnsi="Arial"/>
                <w:sz w:val="18"/>
                <w:szCs w:val="18"/>
                <w:color w:val="auto"/>
              </w:rPr>
              <w:t>10,062,649</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gridSpan w:val="5"/>
          </w:tcPr>
          <w:p>
            <w:pPr>
              <w:jc w:val="right"/>
              <w:ind w:right="200"/>
              <w:spacing w:after="0"/>
              <w:rPr>
                <w:sz w:val="20"/>
                <w:szCs w:val="20"/>
                <w:color w:val="auto"/>
              </w:rPr>
            </w:pPr>
            <w:r>
              <w:rPr>
                <w:rFonts w:ascii="Arial" w:cs="Arial" w:eastAsia="Arial" w:hAnsi="Arial"/>
                <w:sz w:val="18"/>
                <w:szCs w:val="18"/>
                <w:color w:val="auto"/>
                <w:w w:val="88"/>
              </w:rPr>
              <w:t>11,714,724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11,714,724</w:t>
            </w:r>
          </w:p>
        </w:tc>
        <w:tc>
          <w:tcPr>
            <w:tcW w:w="0" w:type="dxa"/>
            <w:vAlign w:val="bottom"/>
          </w:tcPr>
          <w:p>
            <w:pPr>
              <w:spacing w:after="0"/>
              <w:rPr>
                <w:sz w:val="1"/>
                <w:szCs w:val="1"/>
                <w:color w:val="auto"/>
              </w:rPr>
            </w:pP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and Casualty Insurance Activity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Premiums Earned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Premiums written, ceded and earned are as follows: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229"/>
        </w:trPr>
        <w:tc>
          <w:tcPr>
            <w:tcW w:w="4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gridSpan w:val="2"/>
          </w:tcPr>
          <w:p>
            <w:pPr>
              <w:ind w:left="260"/>
              <w:spacing w:after="0"/>
              <w:rPr>
                <w:sz w:val="20"/>
                <w:szCs w:val="20"/>
                <w:color w:val="auto"/>
              </w:rPr>
            </w:pPr>
            <w:r>
              <w:rPr>
                <w:rFonts w:ascii="Arial" w:cs="Arial" w:eastAsia="Arial" w:hAnsi="Arial"/>
                <w:sz w:val="18"/>
                <w:szCs w:val="18"/>
                <w:b w:val="1"/>
                <w:bCs w:val="1"/>
                <w:color w:val="auto"/>
              </w:rPr>
              <w:t>Direct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6"/>
              </w:rPr>
              <w:t>Assumed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Ceded</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Net</w:t>
            </w:r>
          </w:p>
        </w:tc>
      </w:tr>
      <w:tr>
        <w:trPr>
          <w:trHeight w:val="416"/>
        </w:trPr>
        <w:tc>
          <w:tcPr>
            <w:tcW w:w="4000" w:type="dxa"/>
            <w:vAlign w:val="bottom"/>
          </w:tcPr>
          <w:p>
            <w:pPr>
              <w:spacing w:after="0"/>
              <w:rPr>
                <w:sz w:val="20"/>
                <w:szCs w:val="20"/>
                <w:color w:val="auto"/>
              </w:rPr>
            </w:pPr>
            <w:r>
              <w:rPr>
                <w:rFonts w:ascii="Arial" w:cs="Arial" w:eastAsia="Arial" w:hAnsi="Arial"/>
                <w:sz w:val="18"/>
                <w:szCs w:val="18"/>
                <w:b w:val="1"/>
                <w:bCs w:val="1"/>
                <w:color w:val="auto"/>
              </w:rPr>
              <w:t>Nine months ended September 30, 2020</w:t>
            </w:r>
          </w:p>
        </w:tc>
        <w:tc>
          <w:tcPr>
            <w:tcW w:w="10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Premiums written</w:t>
            </w:r>
          </w:p>
        </w:tc>
        <w:tc>
          <w:tcPr>
            <w:tcW w:w="2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$125,089,571</w:t>
            </w:r>
          </w:p>
        </w:tc>
        <w:tc>
          <w:tcPr>
            <w:tcW w:w="94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6"/>
              </w:rPr>
              <w:t>$(43,813,468)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$ 81,276,103</w:t>
            </w:r>
          </w:p>
        </w:tc>
      </w:tr>
      <w:tr>
        <w:trPr>
          <w:trHeight w:val="211"/>
        </w:trPr>
        <w:tc>
          <w:tcPr>
            <w:tcW w:w="4000" w:type="dxa"/>
            <w:vAlign w:val="bottom"/>
          </w:tcPr>
          <w:p>
            <w:pPr>
              <w:ind w:left="180"/>
              <w:spacing w:after="0"/>
              <w:rPr>
                <w:sz w:val="20"/>
                <w:szCs w:val="20"/>
                <w:color w:val="auto"/>
              </w:rPr>
            </w:pPr>
            <w:r>
              <w:rPr>
                <w:rFonts w:ascii="Arial" w:cs="Arial" w:eastAsia="Arial" w:hAnsi="Arial"/>
                <w:sz w:val="18"/>
                <w:szCs w:val="18"/>
                <w:color w:val="auto"/>
              </w:rPr>
              <w:t>Change in unearned premiums</w:t>
            </w:r>
          </w:p>
        </w:tc>
        <w:tc>
          <w:tcPr>
            <w:tcW w:w="10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2,215,602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(2,392,318)</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(176,716)</w:t>
            </w:r>
          </w:p>
        </w:tc>
      </w:tr>
      <w:tr>
        <w:trPr>
          <w:trHeight w:val="22"/>
        </w:trPr>
        <w:tc>
          <w:tcPr>
            <w:tcW w:w="40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ectPr>
          <w:pgSz w:w="11900" w:h="16900" w:orient="portrait"/>
          <w:cols w:equalWidth="0" w:num="1">
            <w:col w:w="11240"/>
          </w:cols>
          <w:pgMar w:left="320" w:top="140" w:right="339" w:bottom="0" w:gutter="0" w:footer="0" w:header="0"/>
        </w:sectPr>
      </w:pPr>
    </w:p>
    <w:bookmarkStart w:id="13" w:name="page14"/>
    <w:bookmarkEnd w:id="13"/>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Premiums earned</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shd w:val="clear" w:color="auto" w:fill="CCEEFF"/>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127,305,173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(46,205,786)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81,099,387</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49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Premiums written</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128,333,117</w:t>
            </w:r>
          </w:p>
        </w:tc>
        <w:tc>
          <w:tcPr>
            <w:tcW w:w="80" w:type="dxa"/>
            <w:vAlign w:val="bottom"/>
          </w:tcPr>
          <w:p>
            <w:pPr>
              <w:spacing w:after="0"/>
              <w:rPr>
                <w:sz w:val="18"/>
                <w:szCs w:val="18"/>
                <w:color w:val="auto"/>
              </w:rPr>
            </w:pPr>
          </w:p>
        </w:tc>
        <w:tc>
          <w:tcPr>
            <w:tcW w:w="460" w:type="dxa"/>
            <w:vAlign w:val="bottom"/>
            <w:gridSpan w:val="2"/>
          </w:tcPr>
          <w:p>
            <w:pPr>
              <w:jc w:val="right"/>
              <w:ind w:right="203"/>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(20,914,074)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107,419,981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unearned premiums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(11,035,993)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(1,366,251)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(12,402,803)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920" w:type="dxa"/>
            <w:vAlign w:val="bottom"/>
          </w:tcPr>
          <w:p>
            <w:pPr>
              <w:ind w:left="160"/>
              <w:spacing w:after="0" w:line="205" w:lineRule="exact"/>
              <w:rPr>
                <w:sz w:val="20"/>
                <w:szCs w:val="20"/>
                <w:color w:val="auto"/>
              </w:rPr>
            </w:pPr>
            <w:r>
              <w:rPr>
                <w:rFonts w:ascii="Arial" w:cs="Arial" w:eastAsia="Arial" w:hAnsi="Arial"/>
                <w:sz w:val="18"/>
                <w:szCs w:val="18"/>
                <w:color w:val="auto"/>
              </w:rPr>
              <w:t>Premiums earned</w:t>
            </w:r>
          </w:p>
        </w:tc>
        <w:tc>
          <w:tcPr>
            <w:tcW w:w="180" w:type="dxa"/>
            <w:vAlign w:val="bottom"/>
            <w:gridSpan w:val="2"/>
          </w:tcPr>
          <w:p>
            <w:pPr>
              <w:jc w:val="right"/>
              <w:spacing w:after="0" w:line="205" w:lineRule="exact"/>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w w:val="87"/>
              </w:rPr>
              <w:t>117,297,124</w:t>
            </w:r>
          </w:p>
        </w:tc>
        <w:tc>
          <w:tcPr>
            <w:tcW w:w="80" w:type="dxa"/>
            <w:vAlign w:val="bottom"/>
          </w:tcPr>
          <w:p>
            <w:pPr>
              <w:spacing w:after="0"/>
              <w:rPr>
                <w:sz w:val="17"/>
                <w:szCs w:val="17"/>
                <w:color w:val="auto"/>
              </w:rPr>
            </w:pPr>
          </w:p>
        </w:tc>
        <w:tc>
          <w:tcPr>
            <w:tcW w:w="460" w:type="dxa"/>
            <w:vAlign w:val="bottom"/>
            <w:gridSpan w:val="2"/>
          </w:tcPr>
          <w:p>
            <w:pPr>
              <w:jc w:val="right"/>
              <w:ind w:right="203"/>
              <w:spacing w:after="0" w:line="205"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379</w:t>
            </w:r>
          </w:p>
        </w:tc>
        <w:tc>
          <w:tcPr>
            <w:tcW w:w="180" w:type="dxa"/>
            <w:vAlign w:val="bottom"/>
            <w:gridSpan w:val="2"/>
          </w:tcPr>
          <w:p>
            <w:pPr>
              <w:jc w:val="right"/>
              <w:spacing w:after="0" w:line="205" w:lineRule="exact"/>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w w:val="88"/>
              </w:rPr>
              <w:t>(22,280,325)</w:t>
            </w:r>
          </w:p>
        </w:tc>
        <w:tc>
          <w:tcPr>
            <w:tcW w:w="1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w w:val="95"/>
              </w:rPr>
              <w:t>95,017,178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restart"/>
          </w:tcPr>
          <w:p>
            <w:pPr>
              <w:spacing w:after="0"/>
              <w:rPr>
                <w:sz w:val="16"/>
                <w:szCs w:val="16"/>
                <w:color w:val="auto"/>
              </w:rPr>
            </w:pPr>
          </w:p>
        </w:tc>
        <w:tc>
          <w:tcPr>
            <w:tcW w:w="4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Three months ended September 30, 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Premiums written</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45,742,165</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3"/>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(15,747,215)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29,994,950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Change in unearned premiums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(3,161,356)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687,487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(2,473,869)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20" w:type="dxa"/>
            <w:vAlign w:val="bottom"/>
            <w:shd w:val="clear" w:color="auto" w:fill="CCEEFF"/>
          </w:tcPr>
          <w:p>
            <w:pPr>
              <w:ind w:left="160"/>
              <w:spacing w:after="0" w:line="205" w:lineRule="exact"/>
              <w:rPr>
                <w:sz w:val="20"/>
                <w:szCs w:val="20"/>
                <w:color w:val="auto"/>
              </w:rPr>
            </w:pPr>
            <w:r>
              <w:rPr>
                <w:rFonts w:ascii="Arial" w:cs="Arial" w:eastAsia="Arial" w:hAnsi="Arial"/>
                <w:sz w:val="18"/>
                <w:szCs w:val="18"/>
                <w:color w:val="auto"/>
              </w:rPr>
              <w:t>Premiums earned</w:t>
            </w:r>
          </w:p>
        </w:tc>
        <w:tc>
          <w:tcPr>
            <w:tcW w:w="1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97"/>
              </w:rPr>
              <w:t>42,580,809</w:t>
            </w:r>
          </w:p>
        </w:tc>
        <w:tc>
          <w:tcPr>
            <w:tcW w:w="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03"/>
              <w:spacing w:after="0" w:line="205"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w w:val="88"/>
              </w:rPr>
              <w:t>(15,059,728)</w:t>
            </w:r>
          </w:p>
        </w:tc>
        <w:tc>
          <w:tcPr>
            <w:tcW w:w="1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w w:val="95"/>
              </w:rPr>
              <w:t>27,521,081</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49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Premiums written</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46,023,290</w:t>
            </w:r>
          </w:p>
        </w:tc>
        <w:tc>
          <w:tcPr>
            <w:tcW w:w="80" w:type="dxa"/>
            <w:vAlign w:val="bottom"/>
          </w:tcPr>
          <w:p>
            <w:pPr>
              <w:spacing w:after="0"/>
              <w:rPr>
                <w:sz w:val="18"/>
                <w:szCs w:val="18"/>
                <w:color w:val="auto"/>
              </w:rPr>
            </w:pPr>
          </w:p>
        </w:tc>
        <w:tc>
          <w:tcPr>
            <w:tcW w:w="460" w:type="dxa"/>
            <w:vAlign w:val="bottom"/>
            <w:gridSpan w:val="2"/>
          </w:tcPr>
          <w:p>
            <w:pPr>
              <w:jc w:val="right"/>
              <w:ind w:right="203"/>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(5,586,278)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40,437,873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unearned premiums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(4,579,777)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(1,637,325)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(6,217,863)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920" w:type="dxa"/>
            <w:vAlign w:val="bottom"/>
          </w:tcPr>
          <w:p>
            <w:pPr>
              <w:ind w:left="160"/>
              <w:spacing w:after="0" w:line="205" w:lineRule="exact"/>
              <w:rPr>
                <w:sz w:val="20"/>
                <w:szCs w:val="20"/>
                <w:color w:val="auto"/>
              </w:rPr>
            </w:pPr>
            <w:r>
              <w:rPr>
                <w:rFonts w:ascii="Arial" w:cs="Arial" w:eastAsia="Arial" w:hAnsi="Arial"/>
                <w:sz w:val="18"/>
                <w:szCs w:val="18"/>
                <w:color w:val="auto"/>
              </w:rPr>
              <w:t>Premiums earned</w:t>
            </w:r>
          </w:p>
        </w:tc>
        <w:tc>
          <w:tcPr>
            <w:tcW w:w="1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w w:val="97"/>
              </w:rPr>
              <w:t>41,443,513</w:t>
            </w:r>
          </w:p>
        </w:tc>
        <w:tc>
          <w:tcPr>
            <w:tcW w:w="80" w:type="dxa"/>
            <w:vAlign w:val="bottom"/>
          </w:tcPr>
          <w:p>
            <w:pPr>
              <w:spacing w:after="0"/>
              <w:rPr>
                <w:sz w:val="17"/>
                <w:szCs w:val="17"/>
                <w:color w:val="auto"/>
              </w:rPr>
            </w:pPr>
          </w:p>
        </w:tc>
        <w:tc>
          <w:tcPr>
            <w:tcW w:w="460" w:type="dxa"/>
            <w:vAlign w:val="bottom"/>
            <w:gridSpan w:val="2"/>
          </w:tcPr>
          <w:p>
            <w:pPr>
              <w:jc w:val="right"/>
              <w:ind w:right="203"/>
              <w:spacing w:after="0" w:line="205"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100</w:t>
            </w:r>
          </w:p>
        </w:tc>
        <w:tc>
          <w:tcPr>
            <w:tcW w:w="1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w w:val="97"/>
              </w:rPr>
              <w:t>(7,223,603)</w:t>
            </w:r>
          </w:p>
        </w:tc>
        <w:tc>
          <w:tcPr>
            <w:tcW w:w="1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w w:val="95"/>
              </w:rPr>
              <w:t>34,220,010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-2112010</wp:posOffset>
            </wp:positionV>
            <wp:extent cx="6062345" cy="133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62345" cy="133985"/>
                    </a:xfrm>
                    <a:prstGeom prst="rect">
                      <a:avLst/>
                    </a:prstGeom>
                    <a:noFill/>
                  </pic:spPr>
                </pic:pic>
              </a:graphicData>
            </a:graphic>
          </wp:anchor>
        </w:drawing>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Premium receipts in advance of the policy effective date are recorded as advance premiums. The balance of advance premiums as of September 30, 2020 and December 31, 2019 was $4,919,256and $3,191,512, respectively.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Loss Adjustment Expense Reserves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the beginning and ending balances for unpaid losses and loss adjustment expense (“LAE”)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86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80" w:type="dxa"/>
            <w:vAlign w:val="bottom"/>
            <w:gridSpan w:val="4"/>
          </w:tcPr>
          <w:p>
            <w:pPr>
              <w:ind w:left="3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180" w:type="dxa"/>
            <w:vAlign w:val="bottom"/>
            <w:gridSpan w:val="4"/>
          </w:tcPr>
          <w:p>
            <w:pPr>
              <w:jc w:val="right"/>
              <w:ind w:right="6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40" w:type="dxa"/>
            <w:vAlign w:val="bottom"/>
            <w:tcBorders>
              <w:top w:val="single" w:sz="8" w:color="auto"/>
              <w:bottom w:val="single" w:sz="8" w:color="auto"/>
            </w:tcBorders>
          </w:tcPr>
          <w:p>
            <w:pPr>
              <w:ind w:left="300"/>
              <w:spacing w:after="0" w:line="205" w:lineRule="exact"/>
              <w:rPr>
                <w:sz w:val="20"/>
                <w:szCs w:val="20"/>
                <w:color w:val="auto"/>
              </w:rPr>
            </w:pPr>
            <w:r>
              <w:rPr>
                <w:rFonts w:ascii="Arial" w:cs="Arial" w:eastAsia="Arial" w:hAnsi="Arial"/>
                <w:sz w:val="18"/>
                <w:szCs w:val="18"/>
                <w:color w:val="auto"/>
              </w:rPr>
              <w:t>2020</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12"/>
              <w:spacing w:after="0" w:line="205"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$ 80,498,611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$ 56,197,106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Less reinsurance recoverables</w:t>
            </w:r>
          </w:p>
        </w:tc>
        <w:tc>
          <w:tcPr>
            <w:tcW w:w="25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(15,728,224)</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(15,671,247)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balance, beginning of period</w:t>
            </w:r>
          </w:p>
        </w:tc>
        <w:tc>
          <w:tcPr>
            <w:tcW w:w="25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64,770,387</w:t>
            </w:r>
          </w:p>
        </w:tc>
        <w:tc>
          <w:tcPr>
            <w:tcW w:w="104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40,525,859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820" w:type="dxa"/>
            <w:vAlign w:val="bottom"/>
            <w:tcBorders>
              <w:top w:val="single" w:sz="8" w:color="CCEEFF"/>
            </w:tcBorders>
          </w:tcPr>
          <w:p>
            <w:pPr>
              <w:spacing w:after="0"/>
              <w:rPr>
                <w:sz w:val="17"/>
                <w:szCs w:val="17"/>
                <w:color w:val="auto"/>
              </w:rPr>
            </w:pPr>
          </w:p>
        </w:tc>
        <w:tc>
          <w:tcPr>
            <w:tcW w:w="252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Incurred related to:</w:t>
            </w:r>
          </w:p>
        </w:tc>
        <w:tc>
          <w:tcPr>
            <w:tcW w:w="2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Current year</w:t>
            </w:r>
          </w:p>
        </w:tc>
        <w:tc>
          <w:tcPr>
            <w:tcW w:w="3660" w:type="dxa"/>
            <w:vAlign w:val="bottom"/>
            <w:gridSpan w:val="3"/>
          </w:tcPr>
          <w:p>
            <w:pPr>
              <w:jc w:val="right"/>
              <w:ind w:right="200"/>
              <w:spacing w:after="0"/>
              <w:rPr>
                <w:sz w:val="20"/>
                <w:szCs w:val="20"/>
                <w:color w:val="auto"/>
              </w:rPr>
            </w:pPr>
            <w:r>
              <w:rPr>
                <w:rFonts w:ascii="Arial" w:cs="Arial" w:eastAsia="Arial" w:hAnsi="Arial"/>
                <w:sz w:val="18"/>
                <w:szCs w:val="18"/>
                <w:color w:val="auto"/>
              </w:rPr>
              <w:t>49,597,154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60,401,821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Prior years</w:t>
            </w:r>
          </w:p>
        </w:tc>
        <w:tc>
          <w:tcPr>
            <w:tcW w:w="2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(279,727)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11,186,029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820" w:type="dxa"/>
            <w:vAlign w:val="bottom"/>
          </w:tcPr>
          <w:p>
            <w:pPr>
              <w:spacing w:after="0" w:line="205" w:lineRule="exact"/>
              <w:rPr>
                <w:sz w:val="20"/>
                <w:szCs w:val="20"/>
                <w:color w:val="auto"/>
              </w:rPr>
            </w:pPr>
            <w:r>
              <w:rPr>
                <w:rFonts w:ascii="Arial" w:cs="Arial" w:eastAsia="Arial" w:hAnsi="Arial"/>
                <w:sz w:val="18"/>
                <w:szCs w:val="18"/>
                <w:color w:val="auto"/>
              </w:rPr>
              <w:t>Total incurred</w:t>
            </w:r>
          </w:p>
        </w:tc>
        <w:tc>
          <w:tcPr>
            <w:tcW w:w="2520" w:type="dxa"/>
            <w:vAlign w:val="bottom"/>
          </w:tcPr>
          <w:p>
            <w:pPr>
              <w:spacing w:after="0"/>
              <w:rPr>
                <w:sz w:val="17"/>
                <w:szCs w:val="17"/>
                <w:color w:val="auto"/>
              </w:rPr>
            </w:pPr>
          </w:p>
        </w:tc>
        <w:tc>
          <w:tcPr>
            <w:tcW w:w="114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49,317,427</w:t>
            </w:r>
          </w:p>
        </w:tc>
        <w:tc>
          <w:tcPr>
            <w:tcW w:w="104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71,587,850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Paid related to:</w:t>
            </w:r>
          </w:p>
        </w:tc>
        <w:tc>
          <w:tcPr>
            <w:tcW w:w="2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3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29,845,049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31,515,656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Prior years</w:t>
            </w:r>
          </w:p>
        </w:tc>
        <w:tc>
          <w:tcPr>
            <w:tcW w:w="25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24,068,492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18,600,946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Total paid</w:t>
            </w:r>
          </w:p>
        </w:tc>
        <w:tc>
          <w:tcPr>
            <w:tcW w:w="25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53,913,541</w:t>
            </w:r>
          </w:p>
        </w:tc>
        <w:tc>
          <w:tcPr>
            <w:tcW w:w="104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50,116,602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820" w:type="dxa"/>
            <w:vAlign w:val="bottom"/>
            <w:tcBorders>
              <w:top w:val="single" w:sz="8" w:color="CCEEFF"/>
            </w:tcBorders>
          </w:tcPr>
          <w:p>
            <w:pPr>
              <w:spacing w:after="0"/>
              <w:rPr>
                <w:sz w:val="17"/>
                <w:szCs w:val="17"/>
                <w:color w:val="auto"/>
              </w:rPr>
            </w:pPr>
          </w:p>
        </w:tc>
        <w:tc>
          <w:tcPr>
            <w:tcW w:w="252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end of period</w:t>
            </w:r>
          </w:p>
        </w:tc>
        <w:tc>
          <w:tcPr>
            <w:tcW w:w="3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60,174,273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61,997,107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Add reinsurance recoverables</w:t>
            </w:r>
          </w:p>
        </w:tc>
        <w:tc>
          <w:tcPr>
            <w:tcW w:w="25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24,804,751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15,412,316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Balance at end of period</w:t>
            </w:r>
          </w:p>
        </w:tc>
        <w:tc>
          <w:tcPr>
            <w:tcW w:w="3660" w:type="dxa"/>
            <w:vAlign w:val="bottom"/>
            <w:gridSpan w:val="3"/>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$ 84,979,024</w:t>
            </w:r>
          </w:p>
        </w:tc>
        <w:tc>
          <w:tcPr>
            <w:tcW w:w="104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w w:val="87"/>
              </w:rPr>
              <w:t>$ 77,409,423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820" w:type="dxa"/>
            <w:vAlign w:val="bottom"/>
            <w:shd w:val="clear" w:color="auto" w:fill="CCEEFF"/>
          </w:tcPr>
          <w:p>
            <w:pPr>
              <w:spacing w:after="0"/>
              <w:rPr>
                <w:sz w:val="3"/>
                <w:szCs w:val="3"/>
                <w:color w:val="auto"/>
              </w:rPr>
            </w:pPr>
          </w:p>
        </w:tc>
        <w:tc>
          <w:tcPr>
            <w:tcW w:w="2520" w:type="dxa"/>
            <w:vAlign w:val="bottom"/>
            <w:shd w:val="clear" w:color="auto" w:fill="CCEEFF"/>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jc w:val="both"/>
        <w:spacing w:after="0" w:line="248" w:lineRule="auto"/>
        <w:rPr>
          <w:sz w:val="20"/>
          <w:szCs w:val="20"/>
          <w:color w:val="auto"/>
        </w:rPr>
      </w:pPr>
      <w:r>
        <w:rPr>
          <w:rFonts w:ascii="Arial" w:cs="Arial" w:eastAsia="Arial" w:hAnsi="Arial"/>
          <w:sz w:val="18"/>
          <w:szCs w:val="18"/>
          <w:color w:val="auto"/>
        </w:rPr>
        <w:t>Incurred losses and LAE are net of reinsurance recoveries under reinsurance contracts of $23,826,986and $8,849,440for the nine months ended September 30, 2020 and 2019, respectively.</w:t>
      </w:r>
    </w:p>
    <w:p>
      <w:pPr>
        <w:spacing w:after="0" w:line="19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Prior year incurred loss and LAE development is based upon estimates by line of business and accident year. Prior year loss and LAE development incurred during the nine months ended September 30, 2020 and 2019 was $279,727favorable and $11,186,029unfavorable, respectively. During the nine months ended September 30, 2019, the Company increased case reserves for certain older open liability claims, which primarily affected the ultimate loss projections for commercial lines business. This was in response to management’s detailed review of open liability claims that resulted in new assessments of carried case and incurred but not reported (“IBNR”) reserve levels, giving consideration to both Company and industry trends.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and LAE reserves</w:t>
      </w:r>
    </w:p>
    <w:p>
      <w:pPr>
        <w:spacing w:after="0" w:line="216"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w:t>
      </w:r>
    </w:p>
    <w:p>
      <w:pPr>
        <w:sectPr>
          <w:pgSz w:w="11900" w:h="16838" w:orient="portrait"/>
          <w:cols w:equalWidth="0" w:num="1">
            <w:col w:w="11240"/>
          </w:cols>
          <w:pgMar w:left="320" w:top="140" w:right="339" w:bottom="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color w:val="auto"/>
        </w:rPr>
        <w:t>Since this process produces loss reserves set by management based upon the actuaries’ best estimate, there is no explicit or implicit provision for uncertainty in the carried loss reserves.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96" w:lineRule="exact"/>
        <w:rPr>
          <w:sz w:val="20"/>
          <w:szCs w:val="20"/>
          <w:color w:val="auto"/>
        </w:rPr>
      </w:pPr>
    </w:p>
    <w:p>
      <w:pPr>
        <w:jc w:val="both"/>
        <w:ind w:left="640" w:right="20"/>
        <w:spacing w:after="0" w:line="263" w:lineRule="auto"/>
        <w:rPr>
          <w:sz w:val="20"/>
          <w:szCs w:val="20"/>
          <w:color w:val="auto"/>
        </w:rPr>
      </w:pPr>
      <w:r>
        <w:rPr>
          <w:rFonts w:ascii="Arial" w:cs="Arial" w:eastAsia="Arial" w:hAnsi="Arial"/>
          <w:sz w:val="18"/>
          <w:szCs w:val="18"/>
          <w:i w:val="1"/>
          <w:iCs w:val="1"/>
          <w:color w:val="auto"/>
        </w:rPr>
        <w:t xml:space="preserve">Paid Loss Development </w:t>
      </w:r>
      <w:r>
        <w:rPr>
          <w:rFonts w:ascii="Arial" w:cs="Arial" w:eastAsia="Arial" w:hAnsi="Arial"/>
          <w:sz w:val="18"/>
          <w:szCs w:val="18"/>
          <w:color w:val="auto"/>
        </w:rPr>
        <w:t>– historical patterns of paid loss development are used to project future paid loss emergence in order to estimate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reserves.</w:t>
      </w:r>
    </w:p>
    <w:p>
      <w:pPr>
        <w:spacing w:after="0" w:line="180" w:lineRule="exact"/>
        <w:rPr>
          <w:sz w:val="20"/>
          <w:szCs w:val="20"/>
          <w:color w:val="auto"/>
        </w:rPr>
      </w:pPr>
    </w:p>
    <w:p>
      <w:pPr>
        <w:jc w:val="both"/>
        <w:ind w:left="640"/>
        <w:spacing w:after="0" w:line="263" w:lineRule="auto"/>
        <w:rPr>
          <w:sz w:val="20"/>
          <w:szCs w:val="20"/>
          <w:color w:val="auto"/>
        </w:rPr>
      </w:pPr>
      <w:r>
        <w:rPr>
          <w:rFonts w:ascii="Arial" w:cs="Arial" w:eastAsia="Arial" w:hAnsi="Arial"/>
          <w:sz w:val="18"/>
          <w:szCs w:val="18"/>
          <w:i w:val="1"/>
          <w:iCs w:val="1"/>
          <w:color w:val="auto"/>
        </w:rPr>
        <w:t xml:space="preserve">Incurred Loss Development </w:t>
      </w:r>
      <w:r>
        <w:rPr>
          <w:rFonts w:ascii="Arial" w:cs="Arial" w:eastAsia="Arial" w:hAnsi="Arial"/>
          <w:sz w:val="18"/>
          <w:szCs w:val="18"/>
          <w:color w:val="auto"/>
        </w:rPr>
        <w:t>– historical patterns of incurred loss development, reflecting both paid losses and changes in case reserves, are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future incurred loss emergence in order to estimate required reserves.</w:t>
      </w:r>
    </w:p>
    <w:p>
      <w:pPr>
        <w:spacing w:after="0" w:line="180" w:lineRule="exact"/>
        <w:rPr>
          <w:sz w:val="20"/>
          <w:szCs w:val="20"/>
          <w:color w:val="auto"/>
        </w:rPr>
      </w:pPr>
    </w:p>
    <w:p>
      <w:pPr>
        <w:jc w:val="both"/>
        <w:ind w:left="640"/>
        <w:spacing w:after="0" w:line="317" w:lineRule="auto"/>
        <w:rPr>
          <w:sz w:val="20"/>
          <w:szCs w:val="20"/>
          <w:color w:val="auto"/>
        </w:rPr>
      </w:pPr>
      <w:r>
        <w:rPr>
          <w:rFonts w:ascii="Arial" w:cs="Arial" w:eastAsia="Arial" w:hAnsi="Arial"/>
          <w:sz w:val="15"/>
          <w:szCs w:val="15"/>
          <w:i w:val="1"/>
          <w:iCs w:val="1"/>
          <w:color w:val="auto"/>
        </w:rPr>
        <w:t xml:space="preserve">Paid Bornhuetter-Ferguson (“BF”) </w:t>
      </w:r>
      <w:r>
        <w:rPr>
          <w:rFonts w:ascii="Arial" w:cs="Arial" w:eastAsia="Arial" w:hAnsi="Arial"/>
          <w:sz w:val="15"/>
          <w:szCs w:val="15"/>
          <w:color w:val="auto"/>
        </w:rPr>
        <w:t>– an estimated loss ratio for a particular accident year is determined, and is weighted against the portion of the</w:t>
      </w:r>
      <w:r>
        <w:rPr>
          <w:rFonts w:ascii="Arial" w:cs="Arial" w:eastAsia="Arial" w:hAnsi="Arial"/>
          <w:sz w:val="15"/>
          <w:szCs w:val="15"/>
          <w:i w:val="1"/>
          <w:iCs w:val="1"/>
          <w:color w:val="auto"/>
        </w:rPr>
        <w:t xml:space="preserve"> </w:t>
      </w:r>
      <w:r>
        <w:rPr>
          <w:rFonts w:ascii="Arial" w:cs="Arial" w:eastAsia="Arial" w:hAnsi="Arial"/>
          <w:sz w:val="15"/>
          <w:szCs w:val="15"/>
          <w:color w:val="auto"/>
        </w:rPr>
        <w:t>accident 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45" w:lineRule="exact"/>
        <w:rPr>
          <w:sz w:val="20"/>
          <w:szCs w:val="20"/>
          <w:color w:val="auto"/>
        </w:rPr>
      </w:pPr>
    </w:p>
    <w:p>
      <w:pPr>
        <w:jc w:val="both"/>
        <w:ind w:left="640"/>
        <w:spacing w:after="0" w:line="317" w:lineRule="auto"/>
        <w:rPr>
          <w:sz w:val="20"/>
          <w:szCs w:val="20"/>
          <w:color w:val="auto"/>
        </w:rPr>
      </w:pPr>
      <w:r>
        <w:rPr>
          <w:rFonts w:ascii="Arial" w:cs="Arial" w:eastAsia="Arial" w:hAnsi="Arial"/>
          <w:sz w:val="15"/>
          <w:szCs w:val="15"/>
          <w:i w:val="1"/>
          <w:iCs w:val="1"/>
          <w:color w:val="auto"/>
        </w:rPr>
        <w:t xml:space="preserve">Incurred Bornhuetter-Ferguson (“BF”) </w:t>
      </w:r>
      <w:r>
        <w:rPr>
          <w:rFonts w:ascii="Arial" w:cs="Arial" w:eastAsia="Arial" w:hAnsi="Arial"/>
          <w:sz w:val="15"/>
          <w:szCs w:val="15"/>
          <w:color w:val="auto"/>
        </w:rPr>
        <w:t>- an estimated loss ratio for a particular accident year is determined, and is weighted against the portion of the</w:t>
      </w:r>
      <w:r>
        <w:rPr>
          <w:rFonts w:ascii="Arial" w:cs="Arial" w:eastAsia="Arial" w:hAnsi="Arial"/>
          <w:sz w:val="15"/>
          <w:szCs w:val="15"/>
          <w:i w:val="1"/>
          <w:iCs w:val="1"/>
          <w:color w:val="auto"/>
        </w:rPr>
        <w:t xml:space="preserve"> </w:t>
      </w:r>
      <w:r>
        <w:rPr>
          <w:rFonts w:ascii="Arial" w:cs="Arial" w:eastAsia="Arial" w:hAnsi="Arial"/>
          <w:sz w:val="15"/>
          <w:szCs w:val="15"/>
          <w:color w:val="auto"/>
        </w:rPr>
        <w:t>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45" w:lineRule="exact"/>
        <w:rPr>
          <w:sz w:val="20"/>
          <w:szCs w:val="20"/>
          <w:color w:val="auto"/>
        </w:rPr>
      </w:pPr>
    </w:p>
    <w:p>
      <w:pPr>
        <w:jc w:val="both"/>
        <w:ind w:left="640"/>
        <w:spacing w:after="0" w:line="249" w:lineRule="auto"/>
        <w:rPr>
          <w:sz w:val="20"/>
          <w:szCs w:val="20"/>
          <w:color w:val="auto"/>
        </w:rPr>
      </w:pPr>
      <w:r>
        <w:rPr>
          <w:rFonts w:ascii="Arial" w:cs="Arial" w:eastAsia="Arial" w:hAnsi="Arial"/>
          <w:sz w:val="18"/>
          <w:szCs w:val="18"/>
          <w:i w:val="1"/>
          <w:iCs w:val="1"/>
          <w:color w:val="auto"/>
        </w:rPr>
        <w:t xml:space="preserve">Incremental Claim-Based Methods </w:t>
      </w:r>
      <w:r>
        <w:rPr>
          <w:rFonts w:ascii="Arial" w:cs="Arial" w:eastAsia="Arial" w:hAnsi="Arial"/>
          <w:sz w:val="18"/>
          <w:szCs w:val="18"/>
          <w:color w:val="auto"/>
        </w:rPr>
        <w:t>– historical patterns of incremental incurred losses and paid LAE during various stages of development are</w:t>
      </w:r>
      <w:r>
        <w:rPr>
          <w:rFonts w:ascii="Arial" w:cs="Arial" w:eastAsia="Arial" w:hAnsi="Arial"/>
          <w:sz w:val="18"/>
          <w:szCs w:val="18"/>
          <w:i w:val="1"/>
          <w:iCs w:val="1"/>
          <w:color w:val="auto"/>
        </w:rPr>
        <w:t xml:space="preserve"> </w:t>
      </w:r>
      <w:r>
        <w:rPr>
          <w:rFonts w:ascii="Arial" w:cs="Arial" w:eastAsia="Arial" w:hAnsi="Arial"/>
          <w:sz w:val="18"/>
          <w:szCs w:val="18"/>
          <w:color w:val="auto"/>
        </w:rPr>
        <w:t>reviewed and 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spacing w:after="0" w:line="194" w:lineRule="exact"/>
        <w:rPr>
          <w:sz w:val="20"/>
          <w:szCs w:val="20"/>
          <w:color w:val="auto"/>
        </w:rPr>
      </w:pPr>
    </w:p>
    <w:p>
      <w:pPr>
        <w:jc w:val="both"/>
        <w:ind w:left="640"/>
        <w:spacing w:after="0" w:line="248" w:lineRule="auto"/>
        <w:rPr>
          <w:sz w:val="20"/>
          <w:szCs w:val="20"/>
          <w:color w:val="auto"/>
        </w:rPr>
      </w:pPr>
      <w:r>
        <w:rPr>
          <w:rFonts w:ascii="Arial" w:cs="Arial" w:eastAsia="Arial" w:hAnsi="Arial"/>
          <w:sz w:val="18"/>
          <w:szCs w:val="18"/>
          <w:i w:val="1"/>
          <w:iCs w:val="1"/>
          <w:color w:val="auto"/>
        </w:rPr>
        <w:t xml:space="preserve">Frequency / Severity Based Methods </w:t>
      </w:r>
      <w:r>
        <w:rPr>
          <w:rFonts w:ascii="Arial" w:cs="Arial" w:eastAsia="Arial" w:hAnsi="Arial"/>
          <w:sz w:val="18"/>
          <w:szCs w:val="18"/>
          <w:color w:val="auto"/>
        </w:rPr>
        <w:t>– historical measurements of claim frequency and average paid claim size (severity) are reviewed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mature accident 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severity assumptions used in the frequency / severity method are determined by reviewing historical average claim severity for older more mature accident periods, trended forward to less mature accident periods.</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not aware of any claim trends that have emerged or that would cause future adverse development that have not already been contemplated in setting current carried reserves levels.</w:t>
      </w:r>
    </w:p>
    <w:p>
      <w:pPr>
        <w:spacing w:after="0" w:line="180"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September 30, 2017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1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is information about incurred and paid claims development as of September 30, 2020, net of reinsurance, as well as the cumulative reported claims by accident year and total IBNR reserves as of September 30, 2020 included in the net incurred loss and allocated expense amounts. The historical information regarding incurred and paid claims development for the years ended December 31, 2011 to December 31, 2019 is presented as supplementary unaudited information.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Lines of Business</w:t>
      </w:r>
    </w:p>
    <w:p>
      <w:pPr>
        <w:sectPr>
          <w:pgSz w:w="11900" w:h="16838" w:orient="portrait"/>
          <w:cols w:equalWidth="0" w:num="1">
            <w:col w:w="11240"/>
          </w:cols>
          <w:pgMar w:left="320" w:top="127" w:right="339" w:bottom="0" w:gutter="0" w:footer="0" w:header="0"/>
        </w:sectPr>
      </w:pPr>
    </w:p>
    <w:bookmarkStart w:id="15" w:name="page16"/>
    <w:bookmarkEnd w:id="15"/>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40" w:type="dxa"/>
            <w:vAlign w:val="bottom"/>
            <w:gridSpan w:val="12"/>
          </w:tcPr>
          <w:p>
            <w:pPr>
              <w:jc w:val="right"/>
              <w:spacing w:after="0"/>
              <w:rPr>
                <w:sz w:val="20"/>
                <w:szCs w:val="20"/>
                <w:color w:val="auto"/>
              </w:rPr>
            </w:pPr>
            <w:r>
              <w:rPr>
                <w:rFonts w:ascii="Arial" w:cs="Arial" w:eastAsia="Arial" w:hAnsi="Arial"/>
                <w:sz w:val="18"/>
                <w:szCs w:val="18"/>
                <w:b w:val="1"/>
                <w:bCs w:val="1"/>
                <w:i w:val="1"/>
                <w:iCs w:val="1"/>
                <w:color w:val="auto"/>
                <w:w w:val="83"/>
              </w:rPr>
              <w:t>(in thousands, except reported claims data)</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60" w:type="dxa"/>
            <w:vAlign w:val="bottom"/>
            <w:gridSpan w:val="23"/>
          </w:tcPr>
          <w:p>
            <w:pPr>
              <w:jc w:val="center"/>
              <w:ind w:right="140"/>
              <w:spacing w:after="0"/>
              <w:rPr>
                <w:sz w:val="20"/>
                <w:szCs w:val="20"/>
                <w:color w:val="auto"/>
              </w:rPr>
            </w:pPr>
            <w:r>
              <w:rPr>
                <w:rFonts w:ascii="Arial" w:cs="Arial" w:eastAsia="Arial" w:hAnsi="Arial"/>
                <w:sz w:val="18"/>
                <w:szCs w:val="18"/>
                <w:b w:val="1"/>
                <w:bCs w:val="1"/>
                <w:color w:val="auto"/>
                <w:w w:val="87"/>
              </w:rPr>
              <w:t>Incurred Loss and Allocated Loss Adjustment Expenses, Net of Reinsurance</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September 30, 2020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100" w:type="dxa"/>
            <w:vAlign w:val="bottom"/>
            <w:tcBorders>
              <w:top w:val="single" w:sz="8" w:color="auto"/>
            </w:tcBorders>
            <w:gridSpan w:val="12"/>
          </w:tcPr>
          <w:p>
            <w:pPr>
              <w:jc w:val="center"/>
              <w:ind w:left="352"/>
              <w:spacing w:after="0" w:line="187" w:lineRule="exact"/>
              <w:rPr>
                <w:sz w:val="20"/>
                <w:szCs w:val="20"/>
                <w:color w:val="auto"/>
              </w:rPr>
            </w:pPr>
            <w:r>
              <w:rPr>
                <w:rFonts w:ascii="Arial" w:cs="Arial" w:eastAsia="Arial" w:hAnsi="Arial"/>
                <w:sz w:val="18"/>
                <w:szCs w:val="18"/>
                <w:b w:val="1"/>
                <w:bCs w:val="1"/>
                <w:color w:val="auto"/>
                <w:w w:val="88"/>
              </w:rPr>
              <w:t>For the Years Ended December 31,</w:t>
            </w: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ind w:left="20"/>
              <w:spacing w:after="0" w:line="187" w:lineRule="exact"/>
              <w:rPr>
                <w:sz w:val="20"/>
                <w:szCs w:val="20"/>
                <w:color w:val="auto"/>
              </w:rPr>
            </w:pPr>
            <w:r>
              <w:rPr>
                <w:rFonts w:ascii="Arial" w:cs="Arial" w:eastAsia="Arial" w:hAnsi="Arial"/>
                <w:sz w:val="18"/>
                <w:szCs w:val="18"/>
                <w:b w:val="1"/>
                <w:bCs w:val="1"/>
                <w:color w:val="auto"/>
              </w:rPr>
              <w:t>Cumulative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Nine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Reported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Claims by</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6"/>
              </w:rPr>
              <w:t>Accident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Accident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2011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2016</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IBNR</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Year</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8"/>
          </w:tcPr>
          <w:p>
            <w:pPr>
              <w:jc w:val="right"/>
              <w:ind w:right="220"/>
              <w:spacing w:after="0" w:line="205" w:lineRule="exact"/>
              <w:rPr>
                <w:sz w:val="20"/>
                <w:szCs w:val="20"/>
                <w:color w:val="auto"/>
              </w:rPr>
            </w:pPr>
            <w:r>
              <w:rPr>
                <w:rFonts w:ascii="Arial" w:cs="Arial" w:eastAsia="Arial" w:hAnsi="Arial"/>
                <w:sz w:val="18"/>
                <w:szCs w:val="18"/>
                <w:b w:val="1"/>
                <w:bCs w:val="1"/>
                <w:color w:val="auto"/>
                <w:w w:val="98"/>
              </w:rPr>
              <w:t>(Unaudited 2011 - 2019)</w:t>
            </w: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2"/>
              <w:spacing w:after="0" w:line="205" w:lineRule="exact"/>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$7,603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9,066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9,539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9,344</w:t>
            </w:r>
          </w:p>
        </w:tc>
        <w:tc>
          <w:tcPr>
            <w:tcW w:w="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10,278</w:t>
            </w:r>
          </w:p>
        </w:tc>
        <w:tc>
          <w:tcPr>
            <w:tcW w:w="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10,382</w:t>
            </w:r>
          </w:p>
        </w:tc>
        <w:tc>
          <w:tcPr>
            <w:tcW w:w="2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10,582</w:t>
            </w:r>
          </w:p>
        </w:tc>
        <w:tc>
          <w:tcPr>
            <w:tcW w:w="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10,790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10,791</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11,015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10,891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1360" w:type="dxa"/>
            <w:vAlign w:val="bottom"/>
            <w:gridSpan w:val="3"/>
          </w:tcPr>
          <w:p>
            <w:pPr>
              <w:ind w:left="760"/>
              <w:spacing w:after="0"/>
              <w:rPr>
                <w:sz w:val="20"/>
                <w:szCs w:val="20"/>
                <w:color w:val="auto"/>
              </w:rPr>
            </w:pPr>
            <w:r>
              <w:rPr>
                <w:rFonts w:ascii="Arial" w:cs="Arial" w:eastAsia="Arial" w:hAnsi="Arial"/>
                <w:sz w:val="18"/>
                <w:szCs w:val="18"/>
                <w:color w:val="auto"/>
                <w:w w:val="86"/>
              </w:rPr>
              <w:t>4,704(1)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10,728</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9,745</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9,621</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10,061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10,089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10,607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136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14,193</w:t>
            </w:r>
          </w:p>
        </w:tc>
        <w:tc>
          <w:tcPr>
            <w:tcW w:w="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14,260</w:t>
            </w:r>
          </w:p>
        </w:tc>
        <w:tc>
          <w:tcPr>
            <w:tcW w:w="2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14,218</w:t>
            </w:r>
          </w:p>
        </w:tc>
        <w:tc>
          <w:tcPr>
            <w:tcW w:w="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14,564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15,023</w:t>
            </w:r>
          </w:p>
        </w:tc>
        <w:tc>
          <w:tcPr>
            <w:tcW w:w="2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16,381</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16,425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253</w:t>
            </w:r>
          </w:p>
        </w:tc>
        <w:tc>
          <w:tcPr>
            <w:tcW w:w="1360" w:type="dxa"/>
            <w:vAlign w:val="bottom"/>
            <w:gridSpan w:val="3"/>
          </w:tcPr>
          <w:p>
            <w:pPr>
              <w:ind w:left="76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22,340</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21,994</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22,148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22,491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23,386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136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26,062</w:t>
            </w:r>
          </w:p>
        </w:tc>
        <w:tc>
          <w:tcPr>
            <w:tcW w:w="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24,941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24,789</w:t>
            </w:r>
          </w:p>
        </w:tc>
        <w:tc>
          <w:tcPr>
            <w:tcW w:w="2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27,887</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27,862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507</w:t>
            </w:r>
          </w:p>
        </w:tc>
        <w:tc>
          <w:tcPr>
            <w:tcW w:w="1360" w:type="dxa"/>
            <w:vAlign w:val="bottom"/>
            <w:gridSpan w:val="3"/>
          </w:tcPr>
          <w:p>
            <w:pPr>
              <w:ind w:left="760"/>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31,605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32,169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35,304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w:t>
            </w:r>
          </w:p>
        </w:tc>
        <w:tc>
          <w:tcPr>
            <w:tcW w:w="136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54,455</w:t>
            </w:r>
          </w:p>
        </w:tc>
        <w:tc>
          <w:tcPr>
            <w:tcW w:w="2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56,351</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58,233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1,986</w:t>
            </w:r>
          </w:p>
        </w:tc>
        <w:tc>
          <w:tcPr>
            <w:tcW w:w="1360" w:type="dxa"/>
            <w:vAlign w:val="bottom"/>
            <w:gridSpan w:val="3"/>
          </w:tcPr>
          <w:p>
            <w:pPr>
              <w:ind w:left="760"/>
              <w:spacing w:after="0"/>
              <w:rPr>
                <w:sz w:val="20"/>
                <w:szCs w:val="20"/>
                <w:color w:val="auto"/>
              </w:rPr>
            </w:pPr>
            <w:r>
              <w:rPr>
                <w:rFonts w:ascii="Arial" w:cs="Arial" w:eastAsia="Arial" w:hAnsi="Arial"/>
                <w:sz w:val="18"/>
                <w:szCs w:val="18"/>
                <w:color w:val="auto"/>
              </w:rPr>
              <w:t>4,204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75,092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10,765</w:t>
            </w:r>
          </w:p>
        </w:tc>
        <w:tc>
          <w:tcPr>
            <w:tcW w:w="136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4,423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8,823</w:t>
            </w:r>
          </w:p>
        </w:tc>
        <w:tc>
          <w:tcPr>
            <w:tcW w:w="1360" w:type="dxa"/>
            <w:vAlign w:val="bottom"/>
            <w:gridSpan w:val="3"/>
          </w:tcPr>
          <w:p>
            <w:pPr>
              <w:ind w:left="760"/>
              <w:spacing w:after="0"/>
              <w:rPr>
                <w:sz w:val="20"/>
                <w:szCs w:val="20"/>
                <w:color w:val="auto"/>
              </w:rPr>
            </w:pPr>
            <w:r>
              <w:rPr>
                <w:rFonts w:ascii="Arial" w:cs="Arial" w:eastAsia="Arial" w:hAnsi="Arial"/>
                <w:sz w:val="18"/>
                <w:szCs w:val="18"/>
                <w:color w:val="auto"/>
              </w:rPr>
              <w:t>4,499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120"/>
              <w:spacing w:after="0" w:line="205" w:lineRule="exact"/>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312,185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460" w:hanging="454"/>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Reported claims for accident year 2012 includes 3,406 claims from Superstorm Sandy.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Lines of Business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100" w:type="dxa"/>
            <w:vAlign w:val="bottom"/>
            <w:tcBorders>
              <w:bottom w:val="single" w:sz="8" w:color="auto"/>
            </w:tcBorders>
            <w:gridSpan w:val="25"/>
          </w:tcPr>
          <w:p>
            <w:pPr>
              <w:jc w:val="center"/>
              <w:ind w:right="660"/>
              <w:spacing w:after="0"/>
              <w:rPr>
                <w:sz w:val="20"/>
                <w:szCs w:val="20"/>
                <w:color w:val="auto"/>
              </w:rPr>
            </w:pPr>
            <w:r>
              <w:rPr>
                <w:rFonts w:ascii="Arial" w:cs="Arial" w:eastAsia="Arial" w:hAnsi="Arial"/>
                <w:sz w:val="18"/>
                <w:szCs w:val="18"/>
                <w:b w:val="1"/>
                <w:bCs w:val="1"/>
                <w:color w:val="auto"/>
                <w:w w:val="87"/>
              </w:rPr>
              <w:t>Cumulative Paid Loss and Allocated Loss Adjustment Expenses, Net of Reinsurance</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10"/>
          </w:tcPr>
          <w:p>
            <w:pPr>
              <w:jc w:val="center"/>
              <w:ind w:right="100"/>
              <w:spacing w:after="0" w:line="187" w:lineRule="exact"/>
              <w:rPr>
                <w:sz w:val="20"/>
                <w:szCs w:val="20"/>
                <w:color w:val="auto"/>
              </w:rPr>
            </w:pPr>
            <w:r>
              <w:rPr>
                <w:rFonts w:ascii="Arial" w:cs="Arial" w:eastAsia="Arial" w:hAnsi="Arial"/>
                <w:sz w:val="18"/>
                <w:szCs w:val="18"/>
                <w:b w:val="1"/>
                <w:bCs w:val="1"/>
                <w:color w:val="auto"/>
                <w:w w:val="88"/>
              </w:rPr>
              <w:t>For the Years Ended December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gridSpan w:val="2"/>
          </w:tcPr>
          <w:p>
            <w:pPr>
              <w:jc w:val="center"/>
              <w:spacing w:after="0" w:line="187" w:lineRule="exact"/>
              <w:rPr>
                <w:sz w:val="20"/>
                <w:szCs w:val="20"/>
                <w:color w:val="auto"/>
              </w:rPr>
            </w:pPr>
            <w:r>
              <w:rPr>
                <w:rFonts w:ascii="Arial" w:cs="Arial" w:eastAsia="Arial" w:hAnsi="Arial"/>
                <w:sz w:val="18"/>
                <w:szCs w:val="18"/>
                <w:b w:val="1"/>
                <w:bCs w:val="1"/>
                <w:color w:val="auto"/>
                <w:w w:val="88"/>
              </w:rPr>
              <w:t>Nine months</w:t>
            </w:r>
          </w:p>
        </w:tc>
        <w:tc>
          <w:tcPr>
            <w:tcW w:w="100" w:type="dxa"/>
            <w:vAlign w:val="bottom"/>
          </w:tcPr>
          <w:p>
            <w:pPr>
              <w:spacing w:after="0"/>
              <w:rPr>
                <w:sz w:val="16"/>
                <w:szCs w:val="16"/>
                <w:color w:val="auto"/>
              </w:rPr>
            </w:pPr>
          </w:p>
        </w:tc>
      </w:tr>
      <w:tr>
        <w:trPr>
          <w:trHeight w:val="211"/>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ended</w:t>
            </w:r>
          </w:p>
        </w:tc>
      </w:tr>
      <w:tr>
        <w:trPr>
          <w:trHeight w:val="211"/>
        </w:trPr>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Accident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September 30,</w:t>
            </w:r>
          </w:p>
        </w:tc>
      </w:tr>
      <w:tr>
        <w:trPr>
          <w:trHeight w:val="229"/>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Year</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2011</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2012</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2013</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2016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2017</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2019</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r>
      <w:tr>
        <w:trPr>
          <w:trHeight w:val="205"/>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9"/>
          </w:tcPr>
          <w:p>
            <w:pPr>
              <w:jc w:val="center"/>
              <w:ind w:right="280"/>
              <w:spacing w:after="0" w:line="205" w:lineRule="exact"/>
              <w:rPr>
                <w:sz w:val="20"/>
                <w:szCs w:val="20"/>
                <w:color w:val="auto"/>
              </w:rPr>
            </w:pPr>
            <w:r>
              <w:rPr>
                <w:rFonts w:ascii="Arial" w:cs="Arial" w:eastAsia="Arial" w:hAnsi="Arial"/>
                <w:sz w:val="18"/>
                <w:szCs w:val="18"/>
                <w:b w:val="1"/>
                <w:bCs w:val="1"/>
                <w:color w:val="auto"/>
                <w:w w:val="89"/>
              </w:rPr>
              <w:t>(Unaudited 2011 - 2019)</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center"/>
              <w:spacing w:after="0" w:line="205" w:lineRule="exact"/>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7"/>
                <w:szCs w:val="17"/>
                <w:color w:val="auto"/>
              </w:rPr>
            </w:pPr>
          </w:p>
        </w:tc>
      </w:tr>
      <w:tr>
        <w:trPr>
          <w:trHeight w:val="204"/>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7,170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8,540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8,789</w:t>
            </w: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8,994</w:t>
            </w:r>
          </w:p>
        </w:tc>
      </w:tr>
      <w:tr>
        <w:trPr>
          <w:trHeight w:val="211"/>
        </w:trPr>
        <w:tc>
          <w:tcPr>
            <w:tcW w:w="1040" w:type="dxa"/>
            <w:vAlign w:val="bottom"/>
          </w:tcPr>
          <w:p>
            <w:pPr>
              <w:jc w:val="center"/>
              <w:spacing w:after="0"/>
              <w:rPr>
                <w:sz w:val="20"/>
                <w:szCs w:val="20"/>
                <w:color w:val="auto"/>
              </w:rPr>
            </w:pPr>
            <w:r>
              <w:rPr>
                <w:rFonts w:ascii="Arial" w:cs="Arial" w:eastAsia="Arial" w:hAnsi="Arial"/>
                <w:sz w:val="18"/>
                <w:szCs w:val="18"/>
                <w:color w:val="auto"/>
                <w:w w:val="84"/>
              </w:rPr>
              <w:t>2012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5,770</w:t>
            </w:r>
          </w:p>
        </w:tc>
        <w:tc>
          <w:tcPr>
            <w:tcW w:w="16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7,127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9,187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10,236</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10,323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10,428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10,448</w:t>
            </w:r>
          </w:p>
        </w:tc>
      </w:tr>
      <w:tr>
        <w:trPr>
          <w:trHeight w:val="211"/>
        </w:trPr>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5,303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8,407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9,717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10,009</w:t>
            </w:r>
          </w:p>
        </w:tc>
      </w:tr>
      <w:tr>
        <w:trPr>
          <w:trHeight w:val="211"/>
        </w:trPr>
        <w:tc>
          <w:tcPr>
            <w:tcW w:w="1040" w:type="dxa"/>
            <w:vAlign w:val="bottom"/>
          </w:tcPr>
          <w:p>
            <w:pPr>
              <w:jc w:val="center"/>
              <w:spacing w:after="0"/>
              <w:rPr>
                <w:sz w:val="20"/>
                <w:szCs w:val="20"/>
                <w:color w:val="auto"/>
              </w:rPr>
            </w:pPr>
            <w:r>
              <w:rPr>
                <w:rFonts w:ascii="Arial" w:cs="Arial" w:eastAsia="Arial" w:hAnsi="Arial"/>
                <w:sz w:val="18"/>
                <w:szCs w:val="18"/>
                <w:color w:val="auto"/>
                <w:w w:val="84"/>
              </w:rPr>
              <w:t>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5,710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10,738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11,770</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13,819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14,901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15,428</w:t>
            </w:r>
          </w:p>
        </w:tc>
      </w:tr>
      <w:tr>
        <w:trPr>
          <w:trHeight w:val="211"/>
        </w:trPr>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18,266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21,067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22,088</w:t>
            </w:r>
          </w:p>
        </w:tc>
      </w:tr>
      <w:tr>
        <w:trPr>
          <w:trHeight w:val="211"/>
        </w:trPr>
        <w:tc>
          <w:tcPr>
            <w:tcW w:w="1040" w:type="dxa"/>
            <w:vAlign w:val="bottom"/>
          </w:tcPr>
          <w:p>
            <w:pPr>
              <w:jc w:val="center"/>
              <w:spacing w:after="0"/>
              <w:rPr>
                <w:sz w:val="20"/>
                <w:szCs w:val="20"/>
                <w:color w:val="auto"/>
              </w:rPr>
            </w:pPr>
            <w:r>
              <w:rPr>
                <w:rFonts w:ascii="Arial" w:cs="Arial" w:eastAsia="Arial" w:hAnsi="Arial"/>
                <w:sz w:val="18"/>
                <w:szCs w:val="18"/>
                <w:color w:val="auto"/>
                <w:w w:val="84"/>
              </w:rPr>
              <w:t>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15,364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19,001</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21,106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23,974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25,125</w:t>
            </w:r>
          </w:p>
        </w:tc>
      </w:tr>
      <w:tr>
        <w:trPr>
          <w:trHeight w:val="211"/>
        </w:trPr>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16,704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28,693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30,821</w:t>
            </w:r>
          </w:p>
        </w:tc>
      </w:tr>
      <w:tr>
        <w:trPr>
          <w:trHeight w:val="211"/>
        </w:trPr>
        <w:tc>
          <w:tcPr>
            <w:tcW w:w="1040" w:type="dxa"/>
            <w:vAlign w:val="bottom"/>
          </w:tcPr>
          <w:p>
            <w:pPr>
              <w:jc w:val="center"/>
              <w:spacing w:after="0"/>
              <w:rPr>
                <w:sz w:val="20"/>
                <w:szCs w:val="20"/>
                <w:color w:val="auto"/>
              </w:rPr>
            </w:pPr>
            <w:r>
              <w:rPr>
                <w:rFonts w:ascii="Arial" w:cs="Arial" w:eastAsia="Arial" w:hAnsi="Arial"/>
                <w:sz w:val="18"/>
                <w:szCs w:val="18"/>
                <w:color w:val="auto"/>
                <w:w w:val="84"/>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32,383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44,516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49,247</w:t>
            </w:r>
          </w:p>
        </w:tc>
      </w:tr>
      <w:tr>
        <w:trPr>
          <w:trHeight w:val="211"/>
        </w:trPr>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40,933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53,910</w:t>
            </w:r>
          </w:p>
        </w:tc>
      </w:tr>
      <w:tr>
        <w:trPr>
          <w:trHeight w:val="211"/>
        </w:trPr>
        <w:tc>
          <w:tcPr>
            <w:tcW w:w="1040" w:type="dxa"/>
            <w:vAlign w:val="bottom"/>
          </w:tcPr>
          <w:p>
            <w:pPr>
              <w:jc w:val="center"/>
              <w:spacing w:after="0"/>
              <w:rPr>
                <w:sz w:val="20"/>
                <w:szCs w:val="20"/>
                <w:color w:val="auto"/>
              </w:rPr>
            </w:pPr>
            <w:r>
              <w:rPr>
                <w:rFonts w:ascii="Arial" w:cs="Arial" w:eastAsia="Arial" w:hAnsi="Arial"/>
                <w:sz w:val="18"/>
                <w:szCs w:val="18"/>
                <w:color w:val="auto"/>
                <w:w w:val="84"/>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28,688</w:t>
            </w:r>
          </w:p>
        </w:tc>
        <w:tc>
          <w:tcPr>
            <w:tcW w:w="100" w:type="dxa"/>
            <w:vAlign w:val="bottom"/>
          </w:tcPr>
          <w:p>
            <w:pPr>
              <w:spacing w:after="0"/>
              <w:rPr>
                <w:sz w:val="18"/>
                <w:szCs w:val="18"/>
                <w:color w:val="auto"/>
              </w:rPr>
            </w:pPr>
          </w:p>
        </w:tc>
      </w:tr>
      <w:tr>
        <w:trPr>
          <w:trHeight w:val="204"/>
        </w:trPr>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line="205" w:lineRule="exact"/>
              <w:rPr>
                <w:sz w:val="20"/>
                <w:szCs w:val="20"/>
                <w:color w:val="auto"/>
              </w:rPr>
            </w:pPr>
            <w:r>
              <w:rPr>
                <w:rFonts w:ascii="Arial" w:cs="Arial" w:eastAsia="Arial" w:hAnsi="Arial"/>
                <w:sz w:val="18"/>
                <w:szCs w:val="18"/>
                <w:b w:val="1"/>
                <w:bCs w:val="1"/>
                <w:color w:val="auto"/>
              </w:rPr>
              <w:t>Total</w:t>
            </w: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254,757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4"/>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100" w:type="dxa"/>
            <w:vAlign w:val="bottom"/>
            <w:gridSpan w:val="25"/>
          </w:tcPr>
          <w:p>
            <w:pPr>
              <w:spacing w:after="0"/>
              <w:rPr>
                <w:sz w:val="17"/>
                <w:szCs w:val="17"/>
                <w:color w:val="auto"/>
              </w:rPr>
            </w:pPr>
          </w:p>
        </w:tc>
        <w:tc>
          <w:tcPr>
            <w:tcW w:w="24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11"/>
        </w:trPr>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100" w:type="dxa"/>
            <w:vAlign w:val="bottom"/>
            <w:gridSpan w:val="25"/>
            <w:shd w:val="clear" w:color="auto" w:fill="CCEEFF"/>
          </w:tcPr>
          <w:p>
            <w:pPr>
              <w:jc w:val="right"/>
              <w:ind w:right="100"/>
              <w:spacing w:after="0"/>
              <w:rPr>
                <w:sz w:val="20"/>
                <w:szCs w:val="20"/>
                <w:color w:val="auto"/>
              </w:rPr>
            </w:pPr>
            <w:r>
              <w:rPr>
                <w:rFonts w:ascii="Arial" w:cs="Arial" w:eastAsia="Arial" w:hAnsi="Arial"/>
                <w:sz w:val="18"/>
                <w:szCs w:val="18"/>
                <w:color w:val="auto"/>
                <w:w w:val="87"/>
              </w:rPr>
              <w:t>Net liability for unpaid loss and allocated loss adjustment expenses for the accident years presented</w:t>
            </w:r>
          </w:p>
        </w:tc>
        <w:tc>
          <w:tcPr>
            <w:tcW w:w="2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57,428</w:t>
            </w:r>
          </w:p>
        </w:tc>
      </w:tr>
      <w:tr>
        <w:trPr>
          <w:trHeight w:val="211"/>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20" w:type="dxa"/>
            <w:vAlign w:val="bottom"/>
            <w:gridSpan w:val="15"/>
          </w:tcPr>
          <w:p>
            <w:pPr>
              <w:jc w:val="right"/>
              <w:ind w:right="100"/>
              <w:spacing w:after="0"/>
              <w:rPr>
                <w:sz w:val="20"/>
                <w:szCs w:val="20"/>
                <w:color w:val="auto"/>
              </w:rPr>
            </w:pPr>
            <w:r>
              <w:rPr>
                <w:rFonts w:ascii="Arial" w:cs="Arial" w:eastAsia="Arial" w:hAnsi="Arial"/>
                <w:sz w:val="18"/>
                <w:szCs w:val="18"/>
                <w:color w:val="auto"/>
                <w:w w:val="89"/>
              </w:rPr>
              <w:t>All outstanding liabilities before 2011, net of reinsurance</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r>
      <w:tr>
        <w:trPr>
          <w:trHeight w:val="224"/>
        </w:trPr>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740" w:type="dxa"/>
            <w:vAlign w:val="bottom"/>
            <w:tcBorders>
              <w:bottom w:val="single" w:sz="8" w:color="CCEEFF"/>
            </w:tcBorders>
            <w:gridSpan w:val="20"/>
            <w:shd w:val="clear" w:color="auto" w:fill="CCEEFF"/>
          </w:tcPr>
          <w:p>
            <w:pPr>
              <w:ind w:left="220"/>
              <w:spacing w:after="0" w:line="205" w:lineRule="exact"/>
              <w:rPr>
                <w:sz w:val="20"/>
                <w:szCs w:val="20"/>
                <w:color w:val="auto"/>
              </w:rPr>
            </w:pPr>
            <w:r>
              <w:rPr>
                <w:rFonts w:ascii="Arial" w:cs="Arial" w:eastAsia="Arial" w:hAnsi="Arial"/>
                <w:sz w:val="18"/>
                <w:szCs w:val="18"/>
                <w:color w:val="auto"/>
                <w:w w:val="89"/>
              </w:rPr>
              <w:t>Liabilities for loss and allocated loss adjustment expenses, net of reinsurance</w:t>
            </w:r>
          </w:p>
        </w:tc>
        <w:tc>
          <w:tcPr>
            <w:tcW w:w="240" w:type="dxa"/>
            <w:vAlign w:val="bottom"/>
            <w:tcBorders>
              <w:bottom w:val="single" w:sz="8" w:color="auto"/>
            </w:tcBorders>
            <w:gridSpan w:val="2"/>
            <w:shd w:val="clear" w:color="auto" w:fill="CCEEFF"/>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57,526</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9" w:lineRule="exact"/>
        <w:rPr>
          <w:sz w:val="20"/>
          <w:szCs w:val="20"/>
          <w:color w:val="auto"/>
        </w:rPr>
      </w:pPr>
    </w:p>
    <w:p>
      <w:pPr>
        <w:jc w:val="both"/>
        <w:spacing w:after="0" w:line="364" w:lineRule="auto"/>
        <w:rPr>
          <w:sz w:val="20"/>
          <w:szCs w:val="20"/>
          <w:color w:val="auto"/>
        </w:rPr>
      </w:pPr>
      <w:r>
        <w:rPr>
          <w:rFonts w:ascii="Arial" w:cs="Arial" w:eastAsia="Arial" w:hAnsi="Arial"/>
          <w:sz w:val="15"/>
          <w:szCs w:val="15"/>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the net incurred and paid loss development tables to the loss and LAE reserves in the consolidated balance sheet is as follows: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8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September</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72"/>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Liabilities for loss and loss adjustment expenses, net of reinsurance</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57,626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Total reinsurance recoverable on unpaid losses</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24,805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Unallocated loss adjustment expenses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Total gross liability for loss and LAE reserves</w:t>
            </w:r>
          </w:p>
        </w:tc>
        <w:tc>
          <w:tcPr>
            <w:tcW w:w="180" w:type="dxa"/>
            <w:vAlign w:val="bottom"/>
          </w:tcPr>
          <w:p>
            <w:pPr>
              <w:jc w:val="right"/>
              <w:ind w:right="19"/>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85,079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-6985</wp:posOffset>
            </wp:positionV>
            <wp:extent cx="60388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885" cy="25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Reinsurance</w:t>
      </w:r>
    </w:p>
    <w:p>
      <w:pPr>
        <w:spacing w:after="0" w:line="216" w:lineRule="exact"/>
        <w:rPr>
          <w:sz w:val="20"/>
          <w:szCs w:val="20"/>
          <w:color w:val="auto"/>
        </w:rPr>
      </w:pPr>
    </w:p>
    <w:p>
      <w:pPr>
        <w:spacing w:after="0" w:line="364" w:lineRule="auto"/>
        <w:rPr>
          <w:sz w:val="20"/>
          <w:szCs w:val="20"/>
          <w:color w:val="auto"/>
        </w:rPr>
      </w:pPr>
      <w:r>
        <w:rPr>
          <w:rFonts w:ascii="Arial" w:cs="Arial" w:eastAsia="Arial" w:hAnsi="Arial"/>
          <w:sz w:val="15"/>
          <w:szCs w:val="15"/>
          <w:color w:val="auto"/>
        </w:rPr>
        <w:t>Through June 30, 2019, the Company’s quota share reinsurance treaties were on a July 1 through June 30 fiscal year basis. Effective December 15, 2019, the Company entered into a quota share reinsurance treaty for its personal lines business, which primarily consists of homeowners’ policies, covering the period</w:t>
      </w:r>
    </w:p>
    <w:p>
      <w:pPr>
        <w:sectPr>
          <w:pgSz w:w="11900" w:h="17000" w:orient="portrait"/>
          <w:cols w:equalWidth="0" w:num="1">
            <w:col w:w="11240"/>
          </w:cols>
          <w:pgMar w:left="320" w:top="127" w:right="339" w:bottom="0" w:gutter="0" w:footer="0" w:header="0"/>
        </w:sectPr>
      </w:pPr>
    </w:p>
    <w:bookmarkStart w:id="16" w:name="page17"/>
    <w:bookmarkEnd w:id="16"/>
    <w:p>
      <w:pPr>
        <w:jc w:val="both"/>
        <w:spacing w:after="0" w:line="251" w:lineRule="auto"/>
        <w:rPr>
          <w:sz w:val="20"/>
          <w:szCs w:val="20"/>
          <w:color w:val="auto"/>
        </w:rPr>
      </w:pPr>
      <w:r>
        <w:rPr>
          <w:rFonts w:ascii="Arial" w:cs="Arial" w:eastAsia="Arial" w:hAnsi="Arial"/>
          <w:sz w:val="18"/>
          <w:szCs w:val="18"/>
          <w:color w:val="auto"/>
        </w:rPr>
        <w:t>from December 15, 2019 through December 31, 2020 (“2019/2020 Treaty”). The Company’s quota share reinsurance treaties in effect during the nine months ended September 30, 2019 for its personal lines business were covered through June 30, 2019 under a treaty covering a two-year period from July 1, 2017 through June 30, 2019 (“2017/2019 Treaty”). The treaty in effect during the nine months ended September 30, 2019 was covered through June 30, 2019 under the July 1, 2018 through June 30, 2019 treaty year (“2018/2019 Treaty Year”).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July 1, 2019, the 2017/2019 Treaty and the commercial umbrella treaty expired on a run-off basis; these treaties were not renewed. The Company entered into new excess of loss and catastrophe reinsurance treaties effective July 1, 2020. Material terms for reinsurance treaties in effect for the treaty years shown below are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Treaty Year</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center"/>
              <w:ind w:right="60"/>
              <w:spacing w:after="0" w:line="187" w:lineRule="exact"/>
              <w:rPr>
                <w:sz w:val="20"/>
                <w:szCs w:val="20"/>
                <w:color w:val="auto"/>
              </w:rPr>
            </w:pPr>
            <w:r>
              <w:rPr>
                <w:rFonts w:ascii="Arial" w:cs="Arial" w:eastAsia="Arial" w:hAnsi="Arial"/>
                <w:sz w:val="18"/>
                <w:szCs w:val="18"/>
                <w:b w:val="1"/>
                <w:bCs w:val="1"/>
                <w:color w:val="auto"/>
                <w:w w:val="87"/>
              </w:rPr>
              <w:t>December 15, 2019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3"/>
          </w:tcPr>
          <w:p>
            <w:pPr>
              <w:jc w:val="center"/>
              <w:ind w:right="40"/>
              <w:spacing w:after="0" w:line="187" w:lineRule="exact"/>
              <w:rPr>
                <w:sz w:val="20"/>
                <w:szCs w:val="20"/>
                <w:color w:val="auto"/>
              </w:rPr>
            </w:pPr>
            <w:r>
              <w:rPr>
                <w:rFonts w:ascii="Arial" w:cs="Arial" w:eastAsia="Arial" w:hAnsi="Arial"/>
                <w:sz w:val="18"/>
                <w:szCs w:val="18"/>
                <w:b w:val="1"/>
                <w:bCs w:val="1"/>
                <w:color w:val="auto"/>
                <w:w w:val="88"/>
              </w:rPr>
              <w:t>July 1, 2019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jc w:val="center"/>
              <w:spacing w:after="0" w:line="187" w:lineRule="exact"/>
              <w:rPr>
                <w:sz w:val="20"/>
                <w:szCs w:val="20"/>
                <w:color w:val="auto"/>
              </w:rPr>
            </w:pPr>
            <w:r>
              <w:rPr>
                <w:rFonts w:ascii="Arial" w:cs="Arial" w:eastAsia="Arial" w:hAnsi="Arial"/>
                <w:sz w:val="18"/>
                <w:szCs w:val="18"/>
                <w:b w:val="1"/>
                <w:bCs w:val="1"/>
                <w:color w:val="auto"/>
                <w:w w:val="88"/>
              </w:rPr>
              <w:t>July 1, 2018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2"/>
              </w:rPr>
              <w:t>to</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2"/>
              </w:rPr>
              <w:t>to</w:t>
            </w:r>
          </w:p>
        </w:tc>
        <w:tc>
          <w:tcPr>
            <w:tcW w:w="0" w:type="dxa"/>
            <w:vAlign w:val="bottom"/>
          </w:tcPr>
          <w:p>
            <w:pPr>
              <w:spacing w:after="0"/>
              <w:rPr>
                <w:sz w:val="1"/>
                <w:szCs w:val="1"/>
                <w:color w:val="auto"/>
              </w:rPr>
            </w:pPr>
          </w:p>
        </w:tc>
      </w:tr>
      <w:tr>
        <w:trPr>
          <w:trHeight w:val="229"/>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7"/>
              </w:rPr>
              <w:t>December 31, 2020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December 14, 2019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June 30, 2019</w:t>
            </w:r>
          </w:p>
        </w:tc>
        <w:tc>
          <w:tcPr>
            <w:tcW w:w="0" w:type="dxa"/>
            <w:vAlign w:val="bottom"/>
          </w:tcPr>
          <w:p>
            <w:pPr>
              <w:spacing w:after="0"/>
              <w:rPr>
                <w:sz w:val="1"/>
                <w:szCs w:val="1"/>
                <w:color w:val="auto"/>
              </w:rPr>
            </w:pPr>
          </w:p>
        </w:tc>
      </w:tr>
      <w:tr>
        <w:trPr>
          <w:trHeight w:val="404"/>
        </w:trPr>
        <w:tc>
          <w:tcPr>
            <w:tcW w:w="3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Personal Lines:</w:t>
            </w: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500" w:type="dxa"/>
            <w:vAlign w:val="bottom"/>
            <w:gridSpan w:val="2"/>
          </w:tcPr>
          <w:p>
            <w:pPr>
              <w:spacing w:after="0"/>
              <w:rPr>
                <w:sz w:val="20"/>
                <w:szCs w:val="20"/>
                <w:color w:val="auto"/>
              </w:rPr>
            </w:pPr>
            <w:r>
              <w:rPr>
                <w:rFonts w:ascii="Arial" w:cs="Arial" w:eastAsia="Arial" w:hAnsi="Arial"/>
                <w:sz w:val="18"/>
                <w:szCs w:val="18"/>
                <w:color w:val="auto"/>
              </w:rPr>
              <w:t>Homeowners, dwelling fire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and canine legal liability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38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Percent ceded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46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w w:val="92"/>
              </w:rPr>
              <w:t>None</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91"/>
              </w:rPr>
              <w:t>Treaty Year</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ind w:left="20"/>
              <w:spacing w:after="0" w:line="187" w:lineRule="exact"/>
              <w:rPr>
                <w:sz w:val="20"/>
                <w:szCs w:val="20"/>
                <w:color w:val="auto"/>
              </w:rPr>
            </w:pPr>
            <w:r>
              <w:rPr>
                <w:rFonts w:ascii="Arial" w:cs="Arial" w:eastAsia="Arial" w:hAnsi="Arial"/>
                <w:sz w:val="18"/>
                <w:szCs w:val="18"/>
                <w:b w:val="1"/>
                <w:bCs w:val="1"/>
                <w:color w:val="auto"/>
                <w:w w:val="96"/>
              </w:rPr>
              <w:t>January 1, 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80"/>
              <w:spacing w:after="0" w:line="187" w:lineRule="exact"/>
              <w:rPr>
                <w:sz w:val="20"/>
                <w:szCs w:val="20"/>
                <w:color w:val="auto"/>
              </w:rPr>
            </w:pPr>
            <w:r>
              <w:rPr>
                <w:rFonts w:ascii="Arial" w:cs="Arial" w:eastAsia="Arial" w:hAnsi="Arial"/>
                <w:sz w:val="18"/>
                <w:szCs w:val="18"/>
                <w:b w:val="1"/>
                <w:bCs w:val="1"/>
                <w:color w:val="auto"/>
                <w:w w:val="88"/>
              </w:rPr>
              <w:t>July 1, 2020</w:t>
            </w:r>
          </w:p>
        </w:tc>
        <w:tc>
          <w:tcPr>
            <w:tcW w:w="1580" w:type="dxa"/>
            <w:vAlign w:val="bottom"/>
            <w:gridSpan w:val="4"/>
          </w:tcPr>
          <w:p>
            <w:pPr>
              <w:spacing w:after="0" w:line="187" w:lineRule="exact"/>
              <w:rPr>
                <w:sz w:val="20"/>
                <w:szCs w:val="20"/>
                <w:color w:val="auto"/>
              </w:rPr>
            </w:pPr>
            <w:r>
              <w:rPr>
                <w:rFonts w:ascii="Arial" w:cs="Arial" w:eastAsia="Arial" w:hAnsi="Arial"/>
                <w:sz w:val="18"/>
                <w:szCs w:val="18"/>
                <w:b w:val="1"/>
                <w:bCs w:val="1"/>
                <w:color w:val="auto"/>
                <w:w w:val="96"/>
              </w:rPr>
              <w:t>December 15, 2019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3"/>
          </w:tcPr>
          <w:p>
            <w:pPr>
              <w:jc w:val="center"/>
              <w:ind w:right="360"/>
              <w:spacing w:after="0" w:line="187" w:lineRule="exact"/>
              <w:rPr>
                <w:sz w:val="20"/>
                <w:szCs w:val="20"/>
                <w:color w:val="auto"/>
              </w:rPr>
            </w:pPr>
            <w:r>
              <w:rPr>
                <w:rFonts w:ascii="Arial" w:cs="Arial" w:eastAsia="Arial" w:hAnsi="Arial"/>
                <w:sz w:val="18"/>
                <w:szCs w:val="18"/>
                <w:b w:val="1"/>
                <w:bCs w:val="1"/>
                <w:color w:val="auto"/>
                <w:w w:val="88"/>
              </w:rPr>
              <w:t>July 1, 2019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jc w:val="center"/>
              <w:ind w:right="80"/>
              <w:spacing w:after="0" w:line="187" w:lineRule="exact"/>
              <w:rPr>
                <w:sz w:val="20"/>
                <w:szCs w:val="20"/>
                <w:color w:val="auto"/>
              </w:rPr>
            </w:pPr>
            <w:r>
              <w:rPr>
                <w:rFonts w:ascii="Arial" w:cs="Arial" w:eastAsia="Arial" w:hAnsi="Arial"/>
                <w:sz w:val="18"/>
                <w:szCs w:val="18"/>
                <w:b w:val="1"/>
                <w:bCs w:val="1"/>
                <w:color w:val="auto"/>
                <w:w w:val="88"/>
              </w:rPr>
              <w:t>July 1, 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to</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to</w:t>
            </w:r>
          </w:p>
        </w:tc>
        <w:tc>
          <w:tcPr>
            <w:tcW w:w="100" w:type="dxa"/>
            <w:vAlign w:val="bottom"/>
          </w:tcPr>
          <w:p>
            <w:pPr>
              <w:spacing w:after="0"/>
              <w:rPr>
                <w:sz w:val="18"/>
                <w:szCs w:val="18"/>
                <w:color w:val="auto"/>
              </w:rPr>
            </w:pPr>
          </w:p>
        </w:tc>
        <w:tc>
          <w:tcPr>
            <w:tcW w:w="14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2"/>
              </w:rPr>
              <w:t>to</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2"/>
              </w:rPr>
              <w:t>to</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to</w:t>
            </w:r>
          </w:p>
        </w:tc>
        <w:tc>
          <w:tcPr>
            <w:tcW w:w="0" w:type="dxa"/>
            <w:vAlign w:val="bottom"/>
          </w:tcPr>
          <w:p>
            <w:pPr>
              <w:spacing w:after="0"/>
              <w:rPr>
                <w:sz w:val="1"/>
                <w:szCs w:val="1"/>
                <w:color w:val="auto"/>
              </w:rPr>
            </w:pPr>
          </w:p>
        </w:tc>
      </w:tr>
      <w:tr>
        <w:trPr>
          <w:trHeight w:val="229"/>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June 30, 2021</w:t>
            </w:r>
          </w:p>
        </w:tc>
        <w:tc>
          <w:tcPr>
            <w:tcW w:w="1720" w:type="dxa"/>
            <w:vAlign w:val="bottom"/>
            <w:gridSpan w:val="4"/>
          </w:tcPr>
          <w:p>
            <w:pPr>
              <w:ind w:left="100"/>
              <w:spacing w:after="0"/>
              <w:rPr>
                <w:sz w:val="20"/>
                <w:szCs w:val="20"/>
                <w:color w:val="auto"/>
              </w:rPr>
            </w:pPr>
            <w:r>
              <w:rPr>
                <w:rFonts w:ascii="Arial" w:cs="Arial" w:eastAsia="Arial" w:hAnsi="Arial"/>
                <w:sz w:val="18"/>
                <w:szCs w:val="18"/>
                <w:b w:val="1"/>
                <w:bCs w:val="1"/>
                <w:color w:val="auto"/>
                <w:w w:val="98"/>
              </w:rPr>
              <w:t>December 31, 2020</w:t>
            </w:r>
          </w:p>
        </w:tc>
        <w:tc>
          <w:tcPr>
            <w:tcW w:w="100" w:type="dxa"/>
            <w:vAlign w:val="bottom"/>
          </w:tcPr>
          <w:p>
            <w:pPr>
              <w:spacing w:after="0"/>
              <w:rPr>
                <w:sz w:val="19"/>
                <w:szCs w:val="19"/>
                <w:color w:val="auto"/>
              </w:rPr>
            </w:pPr>
          </w:p>
        </w:tc>
        <w:tc>
          <w:tcPr>
            <w:tcW w:w="14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June 30, 2020</w:t>
            </w:r>
          </w:p>
        </w:tc>
        <w:tc>
          <w:tcPr>
            <w:tcW w:w="1660" w:type="dxa"/>
            <w:vAlign w:val="bottom"/>
            <w:gridSpan w:val="5"/>
          </w:tcPr>
          <w:p>
            <w:pPr>
              <w:ind w:left="40"/>
              <w:spacing w:after="0"/>
              <w:rPr>
                <w:sz w:val="20"/>
                <w:szCs w:val="20"/>
                <w:color w:val="auto"/>
              </w:rPr>
            </w:pPr>
            <w:r>
              <w:rPr>
                <w:rFonts w:ascii="Arial" w:cs="Arial" w:eastAsia="Arial" w:hAnsi="Arial"/>
                <w:sz w:val="18"/>
                <w:szCs w:val="18"/>
                <w:b w:val="1"/>
                <w:bCs w:val="1"/>
                <w:color w:val="auto"/>
                <w:w w:val="98"/>
              </w:rPr>
              <w:t>December 14, 2019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June 30, 2019</w:t>
            </w:r>
          </w:p>
        </w:tc>
        <w:tc>
          <w:tcPr>
            <w:tcW w:w="0" w:type="dxa"/>
            <w:vAlign w:val="bottom"/>
          </w:tcPr>
          <w:p>
            <w:pPr>
              <w:spacing w:after="0"/>
              <w:rPr>
                <w:sz w:val="1"/>
                <w:szCs w:val="1"/>
                <w:color w:val="auto"/>
              </w:rPr>
            </w:pPr>
          </w:p>
        </w:tc>
      </w:tr>
      <w:tr>
        <w:trPr>
          <w:trHeight w:val="404"/>
        </w:trPr>
        <w:tc>
          <w:tcPr>
            <w:tcW w:w="3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500" w:type="dxa"/>
            <w:vAlign w:val="bottom"/>
            <w:gridSpan w:val="2"/>
          </w:tcPr>
          <w:p>
            <w:pPr>
              <w:spacing w:after="0"/>
              <w:rPr>
                <w:sz w:val="20"/>
                <w:szCs w:val="20"/>
                <w:color w:val="auto"/>
              </w:rPr>
            </w:pPr>
            <w:r>
              <w:rPr>
                <w:rFonts w:ascii="Arial" w:cs="Arial" w:eastAsia="Arial" w:hAnsi="Arial"/>
                <w:sz w:val="18"/>
                <w:szCs w:val="18"/>
                <w:color w:val="auto"/>
              </w:rPr>
              <w:t>Homeowners, dwelling fire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and canine legal liability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38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Risk retained on intial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$1,000,000 of losses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6"/>
              </w:rPr>
              <w:t>NA (7)</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80" w:type="dxa"/>
            <w:vAlign w:val="bottom"/>
          </w:tcPr>
          <w:p>
            <w:pPr>
              <w:ind w:left="380"/>
              <w:spacing w:after="0" w:line="199" w:lineRule="exact"/>
              <w:rPr>
                <w:sz w:val="20"/>
                <w:szCs w:val="20"/>
                <w:color w:val="auto"/>
              </w:rPr>
            </w:pPr>
            <w:r>
              <w:rPr>
                <w:rFonts w:ascii="Arial" w:cs="Arial" w:eastAsia="Arial" w:hAnsi="Arial"/>
                <w:sz w:val="18"/>
                <w:szCs w:val="18"/>
                <w:color w:val="auto"/>
              </w:rPr>
              <w:t>Losses per occurrence subject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80" w:type="dxa"/>
            <w:vAlign w:val="bottom"/>
          </w:tcPr>
          <w:p>
            <w:pPr>
              <w:ind w:left="580"/>
              <w:spacing w:after="0"/>
              <w:rPr>
                <w:sz w:val="20"/>
                <w:szCs w:val="20"/>
                <w:color w:val="auto"/>
              </w:rPr>
            </w:pPr>
            <w:r>
              <w:rPr>
                <w:rFonts w:ascii="Arial" w:cs="Arial" w:eastAsia="Arial" w:hAnsi="Arial"/>
                <w:sz w:val="18"/>
                <w:szCs w:val="18"/>
                <w:color w:val="auto"/>
              </w:rPr>
              <w:t>to quota share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580"/>
              <w:spacing w:after="0"/>
              <w:rPr>
                <w:sz w:val="20"/>
                <w:szCs w:val="20"/>
                <w:color w:val="auto"/>
              </w:rPr>
            </w:pPr>
            <w:r>
              <w:rPr>
                <w:rFonts w:ascii="Arial" w:cs="Arial" w:eastAsia="Arial" w:hAnsi="Arial"/>
                <w:sz w:val="18"/>
                <w:szCs w:val="18"/>
                <w:color w:val="auto"/>
              </w:rPr>
              <w:t>reinsurance coverage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NA (7)</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1,000,000</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None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Expiration date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7"/>
              </w:rPr>
              <w:t>December 31, 2020</w:t>
            </w:r>
          </w:p>
        </w:tc>
        <w:tc>
          <w:tcPr>
            <w:tcW w:w="158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87"/>
              </w:rPr>
              <w:t>December 31, 2020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June 30, 2019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80" w:type="dxa"/>
            <w:vAlign w:val="bottom"/>
          </w:tcPr>
          <w:p>
            <w:pPr>
              <w:ind w:left="380"/>
              <w:spacing w:after="0" w:line="199" w:lineRule="exact"/>
              <w:rPr>
                <w:sz w:val="20"/>
                <w:szCs w:val="20"/>
                <w:color w:val="auto"/>
              </w:rPr>
            </w:pPr>
            <w:r>
              <w:rPr>
                <w:rFonts w:ascii="Arial" w:cs="Arial" w:eastAsia="Arial" w:hAnsi="Arial"/>
                <w:sz w:val="18"/>
                <w:szCs w:val="18"/>
                <w:color w:val="auto"/>
              </w:rPr>
              <w:t>Excess of loss coverage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80" w:type="dxa"/>
            <w:vAlign w:val="bottom"/>
          </w:tcPr>
          <w:p>
            <w:pPr>
              <w:ind w:left="580"/>
              <w:spacing w:after="0"/>
              <w:rPr>
                <w:sz w:val="20"/>
                <w:szCs w:val="20"/>
                <w:color w:val="auto"/>
              </w:rPr>
            </w:pPr>
            <w:r>
              <w:rPr>
                <w:rFonts w:ascii="Arial" w:cs="Arial" w:eastAsia="Arial" w:hAnsi="Arial"/>
                <w:sz w:val="18"/>
                <w:szCs w:val="18"/>
                <w:color w:val="auto"/>
              </w:rPr>
              <w:t>facultative facility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580"/>
              <w:spacing w:after="0"/>
              <w:rPr>
                <w:sz w:val="20"/>
                <w:szCs w:val="20"/>
                <w:color w:val="auto"/>
              </w:rPr>
            </w:pPr>
            <w:r>
              <w:rPr>
                <w:rFonts w:ascii="Arial" w:cs="Arial" w:eastAsia="Arial" w:hAnsi="Arial"/>
                <w:sz w:val="18"/>
                <w:szCs w:val="18"/>
                <w:color w:val="auto"/>
              </w:rPr>
              <w:t>coverage (1)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8,000,000</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8,000,000</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9,000,000</w:t>
            </w:r>
          </w:p>
        </w:tc>
        <w:tc>
          <w:tcPr>
            <w:tcW w:w="60" w:type="dxa"/>
            <w:vAlign w:val="bottom"/>
          </w:tcPr>
          <w:p>
            <w:pPr>
              <w:spacing w:after="0"/>
              <w:rPr>
                <w:sz w:val="19"/>
                <w:szCs w:val="19"/>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9,000,000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in excess of</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in excess of</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in excess of</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in excess of</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in excess of</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1,000,000</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1,000,000</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1,000,000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 reinsurance coverage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occurrence (7)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8,000,000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9,250,000</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9,100,000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80" w:type="dxa"/>
            <w:vAlign w:val="bottom"/>
          </w:tcPr>
          <w:p>
            <w:pPr>
              <w:spacing w:after="0" w:line="199" w:lineRule="exact"/>
              <w:rPr>
                <w:sz w:val="20"/>
                <w:szCs w:val="20"/>
                <w:color w:val="auto"/>
              </w:rPr>
            </w:pPr>
            <w:r>
              <w:rPr>
                <w:rFonts w:ascii="Arial" w:cs="Arial" w:eastAsia="Arial" w:hAnsi="Arial"/>
                <w:sz w:val="18"/>
                <w:szCs w:val="18"/>
                <w:color w:val="auto"/>
              </w:rPr>
              <w:t>Losses per occurrence subject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to reinsurance coverage</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8,000,000</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9,000,000</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w:t>
            </w:r>
          </w:p>
        </w:tc>
        <w:tc>
          <w:tcPr>
            <w:tcW w:w="60" w:type="dxa"/>
            <w:vAlign w:val="bottom"/>
          </w:tcPr>
          <w:p>
            <w:pPr>
              <w:spacing w:after="0"/>
              <w:rPr>
                <w:sz w:val="19"/>
                <w:szCs w:val="19"/>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10,000,000</w:t>
            </w:r>
          </w:p>
        </w:tc>
        <w:tc>
          <w:tcPr>
            <w:tcW w:w="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Expiration date (7)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June 30, 2021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June 30, 2021</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June 30, 2020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June 30, 2020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June 30, 2019</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Catastrophe Reinsurance: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80" w:type="dxa"/>
            <w:vAlign w:val="bottom"/>
          </w:tcPr>
          <w:p>
            <w:pPr>
              <w:ind w:left="180"/>
              <w:spacing w:after="0" w:line="199" w:lineRule="exact"/>
              <w:rPr>
                <w:sz w:val="20"/>
                <w:szCs w:val="20"/>
                <w:color w:val="auto"/>
              </w:rPr>
            </w:pPr>
            <w:r>
              <w:rPr>
                <w:rFonts w:ascii="Arial" w:cs="Arial" w:eastAsia="Arial" w:hAnsi="Arial"/>
                <w:sz w:val="18"/>
                <w:szCs w:val="18"/>
                <w:color w:val="auto"/>
              </w:rPr>
              <w:t>Initial loss subject to personal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380"/>
              <w:spacing w:after="0"/>
              <w:rPr>
                <w:sz w:val="20"/>
                <w:szCs w:val="20"/>
                <w:color w:val="auto"/>
              </w:rPr>
            </w:pPr>
            <w:r>
              <w:rPr>
                <w:rFonts w:ascii="Arial" w:cs="Arial" w:eastAsia="Arial" w:hAnsi="Arial"/>
                <w:sz w:val="18"/>
                <w:szCs w:val="18"/>
                <w:color w:val="auto"/>
              </w:rPr>
              <w:t>lines quota share treaty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NA (7)</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7,500,000</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7,500,000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None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 retained per catastrophe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occurrence (2) (7)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10,000,000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5,625,000</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80" w:type="dxa"/>
            <w:vAlign w:val="bottom"/>
          </w:tcPr>
          <w:p>
            <w:pPr>
              <w:ind w:left="180"/>
              <w:spacing w:after="0" w:line="199" w:lineRule="exact"/>
              <w:rPr>
                <w:sz w:val="20"/>
                <w:szCs w:val="20"/>
                <w:color w:val="auto"/>
              </w:rPr>
            </w:pPr>
            <w:r>
              <w:rPr>
                <w:rFonts w:ascii="Arial" w:cs="Arial" w:eastAsia="Arial" w:hAnsi="Arial"/>
                <w:sz w:val="18"/>
                <w:szCs w:val="18"/>
                <w:color w:val="auto"/>
              </w:rPr>
              <w:t>Catastrophe loss coverage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80" w:type="dxa"/>
            <w:vAlign w:val="bottom"/>
          </w:tcPr>
          <w:p>
            <w:pPr>
              <w:ind w:left="380"/>
              <w:spacing w:after="0"/>
              <w:rPr>
                <w:sz w:val="20"/>
                <w:szCs w:val="20"/>
                <w:color w:val="auto"/>
              </w:rPr>
            </w:pPr>
            <w:r>
              <w:rPr>
                <w:rFonts w:ascii="Arial" w:cs="Arial" w:eastAsia="Arial" w:hAnsi="Arial"/>
                <w:sz w:val="18"/>
                <w:szCs w:val="18"/>
                <w:color w:val="auto"/>
              </w:rPr>
              <w:t>in excess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380"/>
              <w:spacing w:after="0"/>
              <w:rPr>
                <w:sz w:val="20"/>
                <w:szCs w:val="20"/>
                <w:color w:val="auto"/>
              </w:rPr>
            </w:pPr>
            <w:r>
              <w:rPr>
                <w:rFonts w:ascii="Arial" w:cs="Arial" w:eastAsia="Arial" w:hAnsi="Arial"/>
                <w:sz w:val="18"/>
                <w:szCs w:val="18"/>
                <w:color w:val="auto"/>
              </w:rPr>
              <w:t>quota share coverage (3) (7)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475,000,000</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475,000,000</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602,500,000</w:t>
            </w:r>
          </w:p>
        </w:tc>
        <w:tc>
          <w:tcPr>
            <w:tcW w:w="60" w:type="dxa"/>
            <w:vAlign w:val="bottom"/>
          </w:tcPr>
          <w:p>
            <w:pPr>
              <w:spacing w:after="0"/>
              <w:rPr>
                <w:sz w:val="19"/>
                <w:szCs w:val="19"/>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602,500,000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445,000,000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Reinstatement premium</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protection (4) (5) (6)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3"/>
              </w:rPr>
              <w:t>Yes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3"/>
              </w:rPr>
              <w:t>Yes</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83"/>
              </w:rPr>
              <w:t>Yes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83"/>
              </w:rPr>
              <w:t>Yes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460" w:right="20" w:hanging="454"/>
        <w:spacing w:after="0" w:line="25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personal lines, includes the addition of an automatic facultative facility allowing KICO to obtain homeowners single risk coverage up to $10,000,000 in total insured value, which covers direct losses from $3,500,000 to $10,000,000.</w:t>
      </w:r>
    </w:p>
    <w:p>
      <w:pPr>
        <w:spacing w:after="0" w:line="1" w:lineRule="exact"/>
        <w:rPr>
          <w:rFonts w:ascii="Arial" w:cs="Arial" w:eastAsia="Arial" w:hAnsi="Arial"/>
          <w:sz w:val="18"/>
          <w:szCs w:val="18"/>
          <w:color w:val="auto"/>
        </w:rPr>
      </w:pPr>
    </w:p>
    <w:p>
      <w:pPr>
        <w:ind w:left="460" w:hanging="454"/>
        <w:spacing w:after="0" w:line="24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Plus losses in excess of catastrophe coverage. Effective July 1, 2020, no reinsurance coverage for the $2,500,000 gap between quota share limit of $7,500,000 and first $10,000,000 layer of catastrophe coverage (see note (7) below).</w:t>
      </w:r>
    </w:p>
    <w:p>
      <w:pPr>
        <w:spacing w:after="0" w:line="1" w:lineRule="exact"/>
        <w:rPr>
          <w:rFonts w:ascii="Arial" w:cs="Arial" w:eastAsia="Arial" w:hAnsi="Arial"/>
          <w:sz w:val="18"/>
          <w:szCs w:val="18"/>
          <w:color w:val="auto"/>
        </w:rPr>
      </w:pPr>
    </w:p>
    <w:p>
      <w:pPr>
        <w:ind w:left="460" w:hanging="454"/>
        <w:spacing w:after="0" w:line="24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 Duration of 168 consecutive hours for a catastrophe occurrence from windstorm, hail, tornado, hurricane and cyclone.</w:t>
      </w:r>
    </w:p>
    <w:p>
      <w:pPr>
        <w:spacing w:after="0" w:line="1" w:lineRule="exact"/>
        <w:rPr>
          <w:rFonts w:ascii="Arial" w:cs="Arial" w:eastAsia="Arial" w:hAnsi="Arial"/>
          <w:sz w:val="18"/>
          <w:szCs w:val="18"/>
          <w:color w:val="auto"/>
        </w:rPr>
      </w:pPr>
    </w:p>
    <w:p>
      <w:pPr>
        <w:ind w:left="460" w:hanging="454"/>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July 1, 2018, reinstatement premium protection for $210,000,000 of catastrophe coverage in excess of $5,000,000.</w:t>
      </w:r>
    </w:p>
    <w:p>
      <w:pPr>
        <w:spacing w:after="0" w:line="4" w:lineRule="exact"/>
        <w:rPr>
          <w:rFonts w:ascii="Arial" w:cs="Arial" w:eastAsia="Arial" w:hAnsi="Arial"/>
          <w:sz w:val="18"/>
          <w:szCs w:val="18"/>
          <w:color w:val="auto"/>
        </w:rPr>
      </w:pPr>
    </w:p>
    <w:p>
      <w:pPr>
        <w:ind w:left="460" w:hanging="454"/>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July 1, 2019, reinstatement premium protection for $292,500,000 of catastrophe coverage in excess of $7,500,000.</w:t>
      </w:r>
    </w:p>
    <w:p>
      <w:pPr>
        <w:spacing w:after="0" w:line="4" w:lineRule="exact"/>
        <w:rPr>
          <w:rFonts w:ascii="Arial" w:cs="Arial" w:eastAsia="Arial" w:hAnsi="Arial"/>
          <w:sz w:val="18"/>
          <w:szCs w:val="18"/>
          <w:color w:val="auto"/>
        </w:rPr>
      </w:pPr>
    </w:p>
    <w:p>
      <w:pPr>
        <w:ind w:left="460" w:hanging="454"/>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July 1, 2020, reinstatement premium protection for $70,000,000 of catastrophe coverage in excess of $10,000,000.</w:t>
      </w:r>
    </w:p>
    <w:p>
      <w:pPr>
        <w:spacing w:after="0" w:line="4" w:lineRule="exact"/>
        <w:rPr>
          <w:rFonts w:ascii="Arial" w:cs="Arial" w:eastAsia="Arial" w:hAnsi="Arial"/>
          <w:sz w:val="18"/>
          <w:szCs w:val="18"/>
          <w:color w:val="auto"/>
        </w:rPr>
      </w:pPr>
    </w:p>
    <w:p>
      <w:pPr>
        <w:ind w:left="460" w:hanging="454"/>
        <w:spacing w:after="0" w:line="24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Quota share expires December 31, 2020; reinsurance coverage from January 1, 2021 through June 30, 2021 is only for excess of loss and catastrophe reinsurance.</w:t>
      </w:r>
    </w:p>
    <w:p>
      <w:pPr>
        <w:sectPr>
          <w:pgSz w:w="11900" w:h="16838" w:orient="portrait"/>
          <w:cols w:equalWidth="0" w:num="1">
            <w:col w:w="11240"/>
          </w:cols>
          <w:pgMar w:left="320" w:top="127" w:right="339" w:bottom="177"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20" w:type="dxa"/>
            <w:vAlign w:val="bottom"/>
            <w:gridSpan w:val="5"/>
          </w:tcPr>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9"/>
              </w:rPr>
              <w:t>Treaty Year</w:t>
            </w: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60"/>
              <w:spacing w:after="0" w:line="187" w:lineRule="exact"/>
              <w:rPr>
                <w:sz w:val="20"/>
                <w:szCs w:val="20"/>
                <w:color w:val="auto"/>
              </w:rPr>
            </w:pPr>
            <w:r>
              <w:rPr>
                <w:rFonts w:ascii="Arial" w:cs="Arial" w:eastAsia="Arial" w:hAnsi="Arial"/>
                <w:sz w:val="18"/>
                <w:szCs w:val="18"/>
                <w:b w:val="1"/>
                <w:bCs w:val="1"/>
                <w:color w:val="auto"/>
                <w:w w:val="88"/>
              </w:rPr>
              <w:t>July 1, 2020</w:t>
            </w:r>
          </w:p>
        </w:tc>
        <w:tc>
          <w:tcPr>
            <w:tcW w:w="200" w:type="dxa"/>
            <w:vAlign w:val="bottom"/>
          </w:tcPr>
          <w:p>
            <w:pPr>
              <w:spacing w:after="0"/>
              <w:rPr>
                <w:sz w:val="16"/>
                <w:szCs w:val="16"/>
                <w:color w:val="auto"/>
              </w:rPr>
            </w:pPr>
          </w:p>
        </w:tc>
        <w:tc>
          <w:tcPr>
            <w:tcW w:w="1160" w:type="dxa"/>
            <w:vAlign w:val="bottom"/>
            <w:gridSpan w:val="2"/>
          </w:tcPr>
          <w:p>
            <w:pPr>
              <w:jc w:val="center"/>
              <w:ind w:right="260"/>
              <w:spacing w:after="0" w:line="187" w:lineRule="exact"/>
              <w:rPr>
                <w:sz w:val="20"/>
                <w:szCs w:val="20"/>
                <w:color w:val="auto"/>
              </w:rPr>
            </w:pPr>
            <w:r>
              <w:rPr>
                <w:rFonts w:ascii="Arial" w:cs="Arial" w:eastAsia="Arial" w:hAnsi="Arial"/>
                <w:sz w:val="18"/>
                <w:szCs w:val="18"/>
                <w:b w:val="1"/>
                <w:bCs w:val="1"/>
                <w:color w:val="auto"/>
                <w:w w:val="88"/>
              </w:rPr>
              <w:t>July 1, 2019</w:t>
            </w:r>
          </w:p>
        </w:tc>
        <w:tc>
          <w:tcPr>
            <w:tcW w:w="220" w:type="dxa"/>
            <w:vAlign w:val="bottom"/>
          </w:tcPr>
          <w:p>
            <w:pPr>
              <w:spacing w:after="0"/>
              <w:rPr>
                <w:sz w:val="16"/>
                <w:szCs w:val="16"/>
                <w:color w:val="auto"/>
              </w:rPr>
            </w:pPr>
          </w:p>
        </w:tc>
        <w:tc>
          <w:tcPr>
            <w:tcW w:w="1000" w:type="dxa"/>
            <w:vAlign w:val="bottom"/>
          </w:tcPr>
          <w:p>
            <w:pPr>
              <w:jc w:val="center"/>
              <w:ind w:right="12"/>
              <w:spacing w:after="0" w:line="187" w:lineRule="exact"/>
              <w:rPr>
                <w:sz w:val="20"/>
                <w:szCs w:val="20"/>
                <w:color w:val="auto"/>
              </w:rPr>
            </w:pPr>
            <w:r>
              <w:rPr>
                <w:rFonts w:ascii="Arial" w:cs="Arial" w:eastAsia="Arial" w:hAnsi="Arial"/>
                <w:sz w:val="18"/>
                <w:szCs w:val="18"/>
                <w:b w:val="1"/>
                <w:bCs w:val="1"/>
                <w:color w:val="auto"/>
                <w:w w:val="88"/>
              </w:rPr>
              <w:t>July 1, 2018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w:t>
            </w:r>
          </w:p>
        </w:tc>
        <w:tc>
          <w:tcPr>
            <w:tcW w:w="2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to</w:t>
            </w:r>
          </w:p>
        </w:tc>
        <w:tc>
          <w:tcPr>
            <w:tcW w:w="2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to</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2021</w:t>
            </w:r>
          </w:p>
        </w:tc>
        <w:tc>
          <w:tcPr>
            <w:tcW w:w="160" w:type="dxa"/>
            <w:vAlign w:val="bottom"/>
          </w:tcPr>
          <w:p>
            <w:pPr>
              <w:spacing w:after="0"/>
              <w:rPr>
                <w:sz w:val="19"/>
                <w:szCs w:val="19"/>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June 30, 2020</w:t>
            </w:r>
          </w:p>
        </w:tc>
        <w:tc>
          <w:tcPr>
            <w:tcW w:w="140" w:type="dxa"/>
            <w:vAlign w:val="bottom"/>
          </w:tcPr>
          <w:p>
            <w:pPr>
              <w:spacing w:after="0"/>
              <w:rPr>
                <w:sz w:val="19"/>
                <w:szCs w:val="19"/>
                <w:color w:val="auto"/>
              </w:rPr>
            </w:pPr>
          </w:p>
        </w:tc>
        <w:tc>
          <w:tcPr>
            <w:tcW w:w="1220" w:type="dxa"/>
            <w:vAlign w:val="bottom"/>
            <w:tcBorders>
              <w:bottom w:val="single" w:sz="8" w:color="auto"/>
            </w:tcBorders>
            <w:gridSpan w:val="2"/>
          </w:tcPr>
          <w:p>
            <w:pPr>
              <w:jc w:val="center"/>
              <w:ind w:left="32"/>
              <w:spacing w:after="0"/>
              <w:rPr>
                <w:sz w:val="20"/>
                <w:szCs w:val="20"/>
                <w:color w:val="auto"/>
              </w:rPr>
            </w:pPr>
            <w:r>
              <w:rPr>
                <w:rFonts w:ascii="Arial" w:cs="Arial" w:eastAsia="Arial" w:hAnsi="Arial"/>
                <w:sz w:val="18"/>
                <w:szCs w:val="18"/>
                <w:b w:val="1"/>
                <w:bCs w:val="1"/>
                <w:color w:val="auto"/>
                <w:w w:val="87"/>
              </w:rPr>
              <w:t>June 30, 2019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7220" w:type="dxa"/>
            <w:vAlign w:val="bottom"/>
            <w:gridSpan w:val="5"/>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0" w:type="dxa"/>
            <w:vAlign w:val="bottom"/>
          </w:tcPr>
          <w:p>
            <w:pPr>
              <w:spacing w:after="0"/>
              <w:rPr>
                <w:sz w:val="24"/>
                <w:szCs w:val="24"/>
                <w:color w:val="auto"/>
              </w:rPr>
            </w:pPr>
          </w:p>
        </w:tc>
        <w:tc>
          <w:tcPr>
            <w:tcW w:w="7200" w:type="dxa"/>
            <w:vAlign w:val="bottom"/>
            <w:gridSpan w:val="4"/>
          </w:tcPr>
          <w:p>
            <w:pPr>
              <w:ind w:left="180"/>
              <w:spacing w:after="0"/>
              <w:rPr>
                <w:sz w:val="20"/>
                <w:szCs w:val="20"/>
                <w:color w:val="auto"/>
              </w:rPr>
            </w:pPr>
            <w:r>
              <w:rPr>
                <w:rFonts w:ascii="Arial" w:cs="Arial" w:eastAsia="Arial" w:hAnsi="Arial"/>
                <w:sz w:val="18"/>
                <w:szCs w:val="18"/>
                <w:color w:val="auto"/>
              </w:rPr>
              <w:t>Personal Umbrella</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gridSpan w:val="4"/>
          </w:tcPr>
          <w:p>
            <w:pPr>
              <w:ind w:left="38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Percent ceded - first $1,000,000 of coverage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tcPr>
          <w:p>
            <w:pPr>
              <w:ind w:left="580"/>
              <w:spacing w:after="0"/>
              <w:rPr>
                <w:sz w:val="20"/>
                <w:szCs w:val="20"/>
                <w:color w:val="auto"/>
              </w:rPr>
            </w:pPr>
            <w:r>
              <w:rPr>
                <w:rFonts w:ascii="Arial" w:cs="Arial" w:eastAsia="Arial" w:hAnsi="Arial"/>
                <w:sz w:val="18"/>
                <w:szCs w:val="18"/>
                <w:color w:val="auto"/>
              </w:rPr>
              <w:t>Percent ceded - excess of $1,000,000 of coverage</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Risk retained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tcPr>
          <w:p>
            <w:pPr>
              <w:ind w:left="580"/>
              <w:spacing w:after="0"/>
              <w:rPr>
                <w:sz w:val="20"/>
                <w:szCs w:val="20"/>
                <w:color w:val="auto"/>
              </w:rPr>
            </w:pPr>
            <w:r>
              <w:rPr>
                <w:rFonts w:ascii="Arial" w:cs="Arial" w:eastAsia="Arial" w:hAnsi="Arial"/>
                <w:sz w:val="18"/>
                <w:szCs w:val="18"/>
                <w:color w:val="auto"/>
              </w:rPr>
              <w:t>Total reinsurance coverage per occurrence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4,700,000</w:t>
            </w: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4,900,000</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4,900,000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tcPr>
          <w:p>
            <w:pPr>
              <w:ind w:left="380"/>
              <w:spacing w:after="0"/>
              <w:rPr>
                <w:sz w:val="20"/>
                <w:szCs w:val="20"/>
                <w:color w:val="auto"/>
              </w:rPr>
            </w:pPr>
            <w:r>
              <w:rPr>
                <w:rFonts w:ascii="Arial" w:cs="Arial" w:eastAsia="Arial" w:hAnsi="Arial"/>
                <w:sz w:val="18"/>
                <w:szCs w:val="18"/>
                <w:color w:val="auto"/>
              </w:rPr>
              <w:t>Expiration date</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June 30, 2021</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June 30, 2020</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June 30, 2019</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340" w:type="dxa"/>
            <w:vAlign w:val="bottom"/>
            <w:tcBorders>
              <w:bottom w:val="single" w:sz="8" w:color="auto"/>
            </w:tcBorders>
            <w:gridSpan w:val="2"/>
          </w:tcPr>
          <w:p>
            <w:pPr>
              <w:spacing w:after="0" w:line="172" w:lineRule="exact"/>
              <w:rPr>
                <w:sz w:val="20"/>
                <w:szCs w:val="20"/>
                <w:color w:val="auto"/>
              </w:rPr>
            </w:pPr>
            <w:r>
              <w:rPr>
                <w:rFonts w:ascii="Arial" w:cs="Arial" w:eastAsia="Arial" w:hAnsi="Arial"/>
                <w:sz w:val="18"/>
                <w:szCs w:val="18"/>
                <w:color w:val="auto"/>
                <w:w w:val="88"/>
              </w:rPr>
              <w:t>Commercial Lines:</w:t>
            </w:r>
          </w:p>
        </w:tc>
        <w:tc>
          <w:tcPr>
            <w:tcW w:w="58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General liability commercial policies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tcPr>
          <w:p>
            <w:pPr>
              <w:ind w:left="38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Risk retained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tcPr>
          <w:p>
            <w:pPr>
              <w:ind w:left="380"/>
              <w:spacing w:after="0"/>
              <w:rPr>
                <w:sz w:val="20"/>
                <w:szCs w:val="20"/>
                <w:color w:val="auto"/>
              </w:rPr>
            </w:pPr>
            <w:r>
              <w:rPr>
                <w:rFonts w:ascii="Arial" w:cs="Arial" w:eastAsia="Arial" w:hAnsi="Arial"/>
                <w:sz w:val="18"/>
                <w:szCs w:val="18"/>
                <w:color w:val="auto"/>
              </w:rPr>
              <w:t>Excess of loss coverage above risk retained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3,750,000</w:t>
            </w: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3,750,000</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in excess of</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in excess of</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in excess of</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750,000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750,000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Total reinsurance coverage per occurrence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tcPr>
          <w:p>
            <w:pPr>
              <w:ind w:left="380"/>
              <w:spacing w:after="0"/>
              <w:rPr>
                <w:sz w:val="20"/>
                <w:szCs w:val="20"/>
                <w:color w:val="auto"/>
              </w:rPr>
            </w:pPr>
            <w:r>
              <w:rPr>
                <w:rFonts w:ascii="Arial" w:cs="Arial" w:eastAsia="Arial" w:hAnsi="Arial"/>
                <w:sz w:val="18"/>
                <w:szCs w:val="18"/>
                <w:color w:val="auto"/>
              </w:rPr>
              <w:t>Losses per occurrence subject to reinsurance coverage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4,500,000</w:t>
            </w: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4,500,000</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tcPr>
          <w:p>
            <w:pPr>
              <w:ind w:left="180"/>
              <w:spacing w:after="0"/>
              <w:rPr>
                <w:sz w:val="20"/>
                <w:szCs w:val="20"/>
                <w:color w:val="auto"/>
              </w:rPr>
            </w:pPr>
            <w:r>
              <w:rPr>
                <w:rFonts w:ascii="Arial" w:cs="Arial" w:eastAsia="Arial" w:hAnsi="Arial"/>
                <w:sz w:val="18"/>
                <w:szCs w:val="18"/>
                <w:color w:val="auto"/>
              </w:rPr>
              <w:t>Commercial Umbrella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Quota share treaty:</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tcPr>
          <w:p>
            <w:pPr>
              <w:ind w:left="580"/>
              <w:spacing w:after="0"/>
              <w:rPr>
                <w:sz w:val="20"/>
                <w:szCs w:val="20"/>
                <w:color w:val="auto"/>
              </w:rPr>
            </w:pPr>
            <w:r>
              <w:rPr>
                <w:rFonts w:ascii="Arial" w:cs="Arial" w:eastAsia="Arial" w:hAnsi="Arial"/>
                <w:sz w:val="18"/>
                <w:szCs w:val="18"/>
                <w:color w:val="auto"/>
              </w:rPr>
              <w:t>Percent ceded - first $1,000,000 of coverage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Percent ceded - excess of $1,000,000 of coverage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tcPr>
          <w:p>
            <w:pPr>
              <w:ind w:left="580"/>
              <w:spacing w:after="0"/>
              <w:rPr>
                <w:sz w:val="20"/>
                <w:szCs w:val="20"/>
                <w:color w:val="auto"/>
              </w:rPr>
            </w:pPr>
            <w:r>
              <w:rPr>
                <w:rFonts w:ascii="Arial" w:cs="Arial" w:eastAsia="Arial" w:hAnsi="Arial"/>
                <w:sz w:val="18"/>
                <w:szCs w:val="18"/>
                <w:color w:val="auto"/>
              </w:rPr>
              <w:t>Risk retained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Total reinsurance coverage per occurrence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4,900,000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tcPr>
          <w:p>
            <w:pPr>
              <w:ind w:left="58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Expiration date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June 30, 2019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16"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Company’s estimated ultimate treaty year loss ratios (the “Loss Ratio(s)”) for treaties in effect during the three months and nine months ended September 30, 2020 are attributable to contracts under the 2019/2020 Treaty. The Loss Ratios for treaties in effect for the nine months ended September 30, 2019 are attributable to contracts under the 2017/2019 Treaty for the 2018/2019 Treaty Year, which expired on June 30, 2019 and was not renewed. There was no current quota share treaty in effect during the three months ended September 30, 2019, and therefore no current contingent commission adjustment was recorded for the three months ended September 30, 2019.</w:t>
      </w:r>
    </w:p>
    <w:p>
      <w:pPr>
        <w:spacing w:after="0" w:line="194"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auto"/>
        </w:rPr>
        <w:t>Under the 2019/2020 Treaty and the 2017/2019 Treaty for the 2018/2019 Treaty Year, the Company received an upfront fixed provisional ceding commission rate that is not subject to a sliding scale contingent adjustment. In addition to the treaties that were in effect during the nine months ended September 30, 2020 and 2019, and three months ended September 30, 2019, the Loss Ratios from prior years’ treaties are subject to change as incurred losses from those periods increase or decrease, resulting in an increase or decrease in the commission rate and contingent ceding commissions earned.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Ceding commission revenue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5940" w:type="dxa"/>
        <w:tblCellMar>
          <w:top w:w="0" w:type="dxa"/>
          <w:left w:w="0" w:type="dxa"/>
          <w:bottom w:w="0" w:type="dxa"/>
          <w:right w:w="0" w:type="dxa"/>
        </w:tblCellMar>
      </w:tblPr>
      <w:tr>
        <w:trPr>
          <w:trHeight w:val="211"/>
        </w:trPr>
        <w:tc>
          <w:tcPr>
            <w:tcW w:w="2100" w:type="dxa"/>
            <w:vAlign w:val="bottom"/>
          </w:tcPr>
          <w:p>
            <w:pPr>
              <w:ind w:left="320"/>
              <w:spacing w:after="0"/>
              <w:rPr>
                <w:sz w:val="20"/>
                <w:szCs w:val="20"/>
                <w:color w:val="auto"/>
              </w:rPr>
            </w:pPr>
            <w:r>
              <w:rPr>
                <w:rFonts w:ascii="Arial" w:cs="Arial" w:eastAsia="Arial" w:hAnsi="Arial"/>
                <w:sz w:val="18"/>
                <w:szCs w:val="18"/>
                <w:b w:val="1"/>
                <w:bCs w:val="1"/>
                <w:color w:val="auto"/>
                <w:w w:val="99"/>
              </w:rPr>
              <w:t>Three months ended</w:t>
            </w:r>
          </w:p>
        </w:tc>
        <w:tc>
          <w:tcPr>
            <w:tcW w:w="18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6"/>
              </w:rPr>
              <w:t>Nine months ended</w:t>
            </w:r>
          </w:p>
        </w:tc>
      </w:tr>
      <w:tr>
        <w:trPr>
          <w:trHeight w:val="229"/>
        </w:trPr>
        <w:tc>
          <w:tcPr>
            <w:tcW w:w="210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September 30,</w:t>
            </w:r>
          </w:p>
        </w:tc>
      </w:tr>
    </w:tbl>
    <w:p>
      <w:pPr>
        <w:sectPr>
          <w:pgSz w:w="11900" w:h="16838" w:orient="portrait"/>
          <w:cols w:equalWidth="0" w:num="1">
            <w:col w:w="11240"/>
          </w:cols>
          <w:pgMar w:left="320" w:top="127" w:right="339" w:bottom="0" w:gutter="0" w:footer="0" w:header="0"/>
        </w:sectPr>
      </w:pPr>
    </w:p>
    <w:bookmarkStart w:id="18" w:name="page19"/>
    <w:bookmarkEnd w:id="18"/>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9"/>
                <w:szCs w:val="19"/>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05"/>
        </w:trPr>
        <w:tc>
          <w:tcPr>
            <w:tcW w:w="50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Provisional ceding commissions earned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3,460,768</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1,320,069</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$ 10,621,804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4,001,294</w:t>
            </w:r>
          </w:p>
        </w:tc>
        <w:tc>
          <w:tcPr>
            <w:tcW w:w="100" w:type="dxa"/>
            <w:vAlign w:val="bottom"/>
            <w:shd w:val="clear" w:color="auto" w:fill="CCEEFF"/>
          </w:tcPr>
          <w:p>
            <w:pPr>
              <w:spacing w:after="0"/>
              <w:rPr>
                <w:sz w:val="18"/>
                <w:szCs w:val="18"/>
                <w:color w:val="auto"/>
              </w:rPr>
            </w:pPr>
          </w:p>
        </w:tc>
      </w:tr>
      <w:tr>
        <w:trPr>
          <w:trHeight w:val="211"/>
        </w:trPr>
        <w:tc>
          <w:tcPr>
            <w:tcW w:w="5080" w:type="dxa"/>
            <w:vAlign w:val="bottom"/>
          </w:tcPr>
          <w:p>
            <w:pPr>
              <w:ind w:left="40"/>
              <w:spacing w:after="0"/>
              <w:rPr>
                <w:sz w:val="20"/>
                <w:szCs w:val="20"/>
                <w:color w:val="auto"/>
              </w:rPr>
            </w:pPr>
            <w:r>
              <w:rPr>
                <w:rFonts w:ascii="Arial" w:cs="Arial" w:eastAsia="Arial" w:hAnsi="Arial"/>
                <w:sz w:val="18"/>
                <w:szCs w:val="18"/>
                <w:color w:val="auto"/>
              </w:rPr>
              <w:t>Contingent ceding commissions earned</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(11,994)</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(290,487)</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138,283</w:t>
            </w: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(1,018,334)</w:t>
            </w:r>
          </w:p>
        </w:tc>
      </w:tr>
      <w:tr>
        <w:trPr>
          <w:trHeight w:val="20"/>
        </w:trPr>
        <w:tc>
          <w:tcPr>
            <w:tcW w:w="5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0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94"/>
              </w:rPr>
              <w:t>3,448,774</w:t>
            </w: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94"/>
              </w:rPr>
              <w:t>1,029,582</w:t>
            </w:r>
          </w:p>
        </w:tc>
        <w:tc>
          <w:tcPr>
            <w:tcW w:w="180" w:type="dxa"/>
            <w:vAlign w:val="bottom"/>
            <w:tcBorders>
              <w:right w:val="single" w:sz="8" w:color="CCEEFF"/>
            </w:tcBorders>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w w:val="87"/>
              </w:rPr>
              <w:t>$ 10,760,087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97"/>
              </w:rPr>
              <w:t>2,982,960</w:t>
            </w:r>
          </w:p>
        </w:tc>
        <w:tc>
          <w:tcPr>
            <w:tcW w:w="100" w:type="dxa"/>
            <w:vAlign w:val="bottom"/>
            <w:shd w:val="clear" w:color="auto" w:fill="CCEEFF"/>
          </w:tcPr>
          <w:p>
            <w:pPr>
              <w:spacing w:after="0"/>
              <w:rPr>
                <w:sz w:val="19"/>
                <w:szCs w:val="19"/>
                <w:color w:val="auto"/>
              </w:rPr>
            </w:pP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Provisional ceding commissions are settled monthly. Balances due from reinsurers for contingent ceding commissions on quota share treaties are settled annually based on the Loss Ratio of each treaty year that ends on June 30. As discussed above, the Loss Ratios from prior years’ treaties are subject to change as incurred losses from those periods develop, resulting in an increase or decrease in the commission rate and contingent ceding commissions earned. As of September 30, 2020 and December 31, 2019, net contingent ceding commissions payable to reinsurers under all treaties was approximately $2,864,000and $2,886,000, respectively, which is recorded in reinsurance balances payable on the accompanying condensed consolidated balance sheets.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Home Loan Bank</w:t>
      </w:r>
    </w:p>
    <w:p>
      <w:pPr>
        <w:spacing w:after="0" w:line="216"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In July 2017, KICO became a member of, and invested in, the Federal Home Loan Bank of New York (“FHLBNY”). The aggregate fair value of the investment in dividend bearing common stock was $11,200and $15,180as of September 30, 2020 and December 31, 2019, respectively. FHLBNY members have access to a variety of flexible, low cost funding through FHLBNY’s credit products, enabling members to customize advances, which are to be fully collateralized. Eligible collateral to pledge to FHLBNY includes residential and commercial mortgage backed securities, along with U.S. Treasury and agency securities. See Note 3 – Investments for eligible collateral held in a designated custodian account available for future advances. Advances are limited to 5% of KICO’s net admitted assets as of the previous quarter and are due and payable within ninety days of borrowing. The maximum allowable advance as of September 30, 2020 was approximately $11,732,000. Advances are limited to 85% of the amount of available collateral, which was approximately $5,683,000 as of September 30, 2020. There were no borrowings under this facility during the nine months ended September 30, 2020 and 2019.</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19, 2017, the Company issued $30 million of its5.50% Senior Unsecured Notes dueDecember 30, 2022 (the “Notes”) in an underwritten public offering. Interest is payable semi-annually in arrears on June 30 and December 30 of each year, which began on June 30, 2018 at the rate of 5.50% per annum. The net proceeds of the issuance were $29,121,630, net of discount of $163,200and transaction costs of $715,170, for an effective yield of 5.67% per annum. The balance of long-term debt as of September 30, 2020 and December 31, 2019 is as follows:</w:t>
      </w:r>
    </w:p>
    <w:p>
      <w:pPr>
        <w:spacing w:after="0" w:line="171" w:lineRule="exact"/>
        <w:rPr>
          <w:sz w:val="20"/>
          <w:szCs w:val="20"/>
          <w:color w:val="auto"/>
        </w:rPr>
      </w:pPr>
    </w:p>
    <w:tbl>
      <w:tblPr>
        <w:tblLayout w:type="fixed"/>
        <w:tblInd w:w="8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September</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6"/>
              </w:rPr>
              <w:t>December</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8"/>
                <w:szCs w:val="18"/>
                <w:color w:val="auto"/>
              </w:rPr>
            </w:pPr>
          </w:p>
        </w:tc>
        <w:tc>
          <w:tcPr>
            <w:tcW w:w="104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04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5.50% Senior Unsecured Notes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$ 30,000,000</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$ 30,000,000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Discount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(73,023)</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(97,325)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(323,411)</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(431,244)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7340" w:type="dxa"/>
            <w:vAlign w:val="bottom"/>
          </w:tcPr>
          <w:p>
            <w:pPr>
              <w:spacing w:after="0" w:line="205" w:lineRule="exact"/>
              <w:rPr>
                <w:sz w:val="20"/>
                <w:szCs w:val="20"/>
                <w:color w:val="auto"/>
              </w:rPr>
            </w:pPr>
            <w:r>
              <w:rPr>
                <w:rFonts w:ascii="Arial" w:cs="Arial" w:eastAsia="Arial" w:hAnsi="Arial"/>
                <w:sz w:val="18"/>
                <w:szCs w:val="18"/>
                <w:color w:val="auto"/>
              </w:rPr>
              <w:t>Long-term debt, net</w:t>
            </w:r>
          </w:p>
        </w:tc>
        <w:tc>
          <w:tcPr>
            <w:tcW w:w="940" w:type="dxa"/>
            <w:vAlign w:val="bottom"/>
          </w:tcPr>
          <w:p>
            <w:pPr>
              <w:jc w:val="right"/>
              <w:spacing w:after="0" w:line="205" w:lineRule="exact"/>
              <w:rPr>
                <w:sz w:val="20"/>
                <w:szCs w:val="20"/>
                <w:color w:val="auto"/>
              </w:rPr>
            </w:pPr>
            <w:r>
              <w:rPr>
                <w:rFonts w:ascii="Arial" w:cs="Arial" w:eastAsia="Arial" w:hAnsi="Arial"/>
                <w:sz w:val="18"/>
                <w:szCs w:val="18"/>
                <w:color w:val="auto"/>
                <w:w w:val="87"/>
              </w:rPr>
              <w:t>$ 29,603,566</w:t>
            </w:r>
          </w:p>
        </w:tc>
        <w:tc>
          <w:tcPr>
            <w:tcW w:w="100" w:type="dxa"/>
            <w:vAlign w:val="bottom"/>
          </w:tcPr>
          <w:p>
            <w:pPr>
              <w:spacing w:after="0"/>
              <w:rPr>
                <w:sz w:val="17"/>
                <w:szCs w:val="17"/>
                <w:color w:val="auto"/>
              </w:rPr>
            </w:pPr>
          </w:p>
        </w:tc>
        <w:tc>
          <w:tcPr>
            <w:tcW w:w="1140" w:type="dxa"/>
            <w:vAlign w:val="bottom"/>
            <w:gridSpan w:val="3"/>
          </w:tcPr>
          <w:p>
            <w:pPr>
              <w:jc w:val="right"/>
              <w:ind w:right="100"/>
              <w:spacing w:after="0" w:line="205" w:lineRule="exact"/>
              <w:rPr>
                <w:sz w:val="20"/>
                <w:szCs w:val="20"/>
                <w:color w:val="auto"/>
              </w:rPr>
            </w:pPr>
            <w:r>
              <w:rPr>
                <w:rFonts w:ascii="Arial" w:cs="Arial" w:eastAsia="Arial" w:hAnsi="Arial"/>
                <w:sz w:val="18"/>
                <w:szCs w:val="18"/>
                <w:color w:val="auto"/>
                <w:w w:val="97"/>
              </w:rPr>
              <w:t>$ 29,471,431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340" w:type="dxa"/>
            <w:vAlign w:val="bottom"/>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Notes are unsecured obligations of the Company and are not the obligations of or guaranteed by any of the Company’s subsidiaries. The Notes rank senior in right of payment to any of the Company’s existing and future indebtedness that is by its terms expressly subordinated or junior in right of payment to the Notes. The Notes rank equally in right of payment to all of the Company’s existing and future senior indebtedness, but will be effectively subordinated to any secured indebtedness to the extent of the value of the collateral securing such secured indebtedness. In addition, the Notes will be structurally subordinated to the indebtedness and other obligations of the Company’s subsidiaries. The Company may redeem the Notes, at any time in whole or from time to time in part, at the redemption price equal to the greater of: (i) 100% of the principal amount of the Notes to be redeemed; and (ii) the sum of the present values of the remaining scheduled payments of principal and interest on the Notes to be redeemed that would be due if the Notes matured on the applicable redemption date (exclusive of interest accrued to the applicable redemption date) discounted to the redemption date on a semi-annual basis at the Treasury Rate, plus 50 basis points.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used an aggregate $28,256,335of the net proceeds from the offering to contribute capital to KICO in order to support additional growth. The remainder of the net proceeds is being used for general corporate purposes. A registration statement relating to the debt issued in the offering was filed with the SEC, which became effective on November 28,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 and Paid</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Dividends declared and paid on Common Stock were $1,530,390 and $2,827,276for the nine months ended September 30, 2020 and 2019, respectively. The Company’s Board of Directors approved a quarterly dividend on November 4, 2020 of $.04per share payable in cash on December 15, 2020 to stockholders of record as of November 30, 2020 (see Note 13 - Subsequent Events).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ectPr>
          <w:pgSz w:w="11900" w:h="16838" w:orient="portrait"/>
          <w:cols w:equalWidth="0" w:num="1">
            <w:col w:w="11240"/>
          </w:cols>
          <w:pgMar w:left="320" w:top="121" w:right="339" w:bottom="174" w:gutter="0" w:footer="0" w:header="0"/>
        </w:sectPr>
      </w:pPr>
    </w:p>
    <w:bookmarkStart w:id="19" w:name="page20"/>
    <w:bookmarkEnd w:id="19"/>
    <w:p>
      <w:pPr>
        <w:jc w:val="both"/>
        <w:ind w:right="100"/>
        <w:spacing w:after="0" w:line="305" w:lineRule="auto"/>
        <w:rPr>
          <w:sz w:val="20"/>
          <w:szCs w:val="20"/>
          <w:color w:val="auto"/>
        </w:rPr>
      </w:pPr>
      <w:r>
        <w:rPr>
          <w:rFonts w:ascii="Arial" w:cs="Arial" w:eastAsia="Arial" w:hAnsi="Arial"/>
          <w:sz w:val="15"/>
          <w:szCs w:val="15"/>
          <w:color w:val="auto"/>
        </w:rPr>
        <w:t>Effective August 12, 2014, the Company adopted the 2014 Equity Participation Plan (the “2014 Plan”) pursuant to which a maximum of 700,000shares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Non-statutory stock options granted under the 2014 Plan expire no later than ten years from the date of grant. The Board of Directors or the Compensation Committee determines the vesting provisions for stock awards granted under the 2014 Plan, subject to the provisions of the 2014 Plan. On August 5, 2020, the Company’s stockholders approved amendments to the 2014 Plan, including an increase in the maximum shares of Common Stock of the Company that are authorized to be used pursuant to the 2014 Plan to1,400,000.</w:t>
      </w:r>
    </w:p>
    <w:p>
      <w:pPr>
        <w:spacing w:after="0" w:line="156" w:lineRule="exact"/>
        <w:rPr>
          <w:sz w:val="20"/>
          <w:szCs w:val="20"/>
          <w:color w:val="auto"/>
        </w:rPr>
      </w:pPr>
    </w:p>
    <w:p>
      <w:pPr>
        <w:jc w:val="both"/>
        <w:ind w:right="100"/>
        <w:spacing w:after="0" w:line="307" w:lineRule="auto"/>
        <w:rPr>
          <w:sz w:val="20"/>
          <w:szCs w:val="20"/>
          <w:color w:val="auto"/>
        </w:rPr>
      </w:pPr>
      <w:r>
        <w:rPr>
          <w:rFonts w:ascii="Arial" w:cs="Arial" w:eastAsia="Arial" w:hAnsi="Arial"/>
          <w:sz w:val="15"/>
          <w:szCs w:val="15"/>
          <w:color w:val="auto"/>
        </w:rPr>
        <w:t>The results of operations for the three months ended September 30, 2020 and 2019 include stock-based compensation expense for stock options totaling approximately $14,000and $20,000, respectively. The results of operations for the nine months ended September 30, 2020 and 2019 include stock-based compensation expense for stock options totaling approximately $52,000and $21,000, respectively. Stock-based compensation expense related to stock options is net of estimated forfeitures of approximately 16% for the three months and nine months ended September 30, 2020. Stock-based compensation expense related to stock options is net of estimated forfeitures of approximately 17% for the three months and nine months ended September 30, 2019. Such amounts have been included in the consolidated statements of operations and comprehensive income (loss) within other operating expenses.</w:t>
      </w:r>
    </w:p>
    <w:p>
      <w:pPr>
        <w:spacing w:after="0" w:line="155" w:lineRule="exact"/>
        <w:rPr>
          <w:sz w:val="20"/>
          <w:szCs w:val="20"/>
          <w:color w:val="auto"/>
        </w:rPr>
      </w:pPr>
    </w:p>
    <w:p>
      <w:pPr>
        <w:jc w:val="both"/>
        <w:ind w:right="100"/>
        <w:spacing w:after="0" w:line="292" w:lineRule="auto"/>
        <w:rPr>
          <w:sz w:val="20"/>
          <w:szCs w:val="20"/>
          <w:color w:val="auto"/>
        </w:rPr>
      </w:pPr>
      <w:r>
        <w:rPr>
          <w:rFonts w:ascii="Arial" w:cs="Arial" w:eastAsia="Arial" w:hAnsi="Arial"/>
          <w:sz w:val="17"/>
          <w:szCs w:val="17"/>
          <w:color w:val="auto"/>
        </w:rPr>
        <w:t>The weighted average estimated fair value of stock options granted during the nine months ended September 30, 2020 and 2019 was $2.40per share and $1.91per share, respectively. The fair value of stock options at the grant date was estimated using the Black-Scholes option-pricing model.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for grants during the following periods:</w:t>
      </w:r>
    </w:p>
    <w:p>
      <w:pPr>
        <w:spacing w:after="0" w:line="200" w:lineRule="exact"/>
        <w:rPr>
          <w:sz w:val="20"/>
          <w:szCs w:val="20"/>
          <w:color w:val="auto"/>
        </w:rPr>
      </w:pPr>
    </w:p>
    <w:p>
      <w:pPr>
        <w:spacing w:after="0" w:line="221"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Nine months ended</w:t>
      </w:r>
    </w:p>
    <w:p>
      <w:pPr>
        <w:spacing w:after="0" w:line="22"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September 30,</w:t>
      </w:r>
    </w:p>
    <w:p>
      <w:pPr>
        <w:spacing w:after="0" w:line="4" w:lineRule="exact"/>
        <w:rPr>
          <w:sz w:val="20"/>
          <w:szCs w:val="20"/>
          <w:color w:val="auto"/>
        </w:rPr>
      </w:pPr>
    </w:p>
    <w:p>
      <w:pPr>
        <w:ind w:left="8240"/>
        <w:spacing w:after="0"/>
        <w:tabs>
          <w:tab w:leader="none" w:pos="934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5051425</wp:posOffset>
            </wp:positionH>
            <wp:positionV relativeFrom="paragraph">
              <wp:posOffset>-130175</wp:posOffset>
            </wp:positionV>
            <wp:extent cx="12744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4445" cy="8255"/>
                    </a:xfrm>
                    <a:prstGeom prst="rect">
                      <a:avLst/>
                    </a:prstGeom>
                    <a:noFill/>
                  </pic:spPr>
                </pic:pic>
              </a:graphicData>
            </a:graphic>
          </wp:anchor>
        </w:drawing>
        <w:drawing>
          <wp:anchor simplePos="0" relativeHeight="251657728" behindDoc="1" locked="0" layoutInCell="0" allowOverlap="1">
            <wp:simplePos x="0" y="0"/>
            <wp:positionH relativeFrom="column">
              <wp:posOffset>5051425</wp:posOffset>
            </wp:positionH>
            <wp:positionV relativeFrom="paragraph">
              <wp:posOffset>11430</wp:posOffset>
            </wp:positionV>
            <wp:extent cx="12744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11"/>
        </w:trPr>
        <w:tc>
          <w:tcPr>
            <w:tcW w:w="4300" w:type="dxa"/>
            <w:vAlign w:val="bottom"/>
          </w:tcPr>
          <w:p>
            <w:pPr>
              <w:spacing w:after="0"/>
              <w:rPr>
                <w:sz w:val="20"/>
                <w:szCs w:val="20"/>
                <w:color w:val="auto"/>
              </w:rPr>
            </w:pPr>
            <w:r>
              <w:rPr>
                <w:rFonts w:ascii="Arial" w:cs="Arial" w:eastAsia="Arial" w:hAnsi="Arial"/>
                <w:sz w:val="18"/>
                <w:szCs w:val="18"/>
                <w:color w:val="auto"/>
              </w:rPr>
              <w:t>Volatility</w:t>
            </w:r>
          </w:p>
        </w:tc>
        <w:tc>
          <w:tcPr>
            <w:tcW w:w="3660" w:type="dxa"/>
            <w:vAlign w:val="bottom"/>
          </w:tcPr>
          <w:p>
            <w:pPr>
              <w:jc w:val="right"/>
              <w:ind w:right="32"/>
              <w:spacing w:after="0"/>
              <w:rPr>
                <w:sz w:val="20"/>
                <w:szCs w:val="20"/>
                <w:color w:val="auto"/>
              </w:rPr>
            </w:pPr>
            <w:r>
              <w:rPr>
                <w:rFonts w:ascii="Arial" w:cs="Arial" w:eastAsia="Arial" w:hAnsi="Arial"/>
                <w:sz w:val="18"/>
                <w:szCs w:val="18"/>
                <w:color w:val="auto"/>
              </w:rPr>
              <w:t>37.69%</w:t>
            </w:r>
          </w:p>
        </w:tc>
        <w:tc>
          <w:tcPr>
            <w:tcW w:w="1020" w:type="dxa"/>
            <w:vAlign w:val="bottom"/>
          </w:tcPr>
          <w:p>
            <w:pPr>
              <w:jc w:val="right"/>
              <w:spacing w:after="0"/>
              <w:rPr>
                <w:sz w:val="20"/>
                <w:szCs w:val="20"/>
                <w:color w:val="auto"/>
              </w:rPr>
            </w:pPr>
            <w:r>
              <w:rPr>
                <w:rFonts w:ascii="Arial" w:cs="Arial" w:eastAsia="Arial" w:hAnsi="Arial"/>
                <w:sz w:val="18"/>
                <w:szCs w:val="18"/>
                <w:color w:val="auto"/>
              </w:rPr>
              <w:t>36.11%</w:t>
            </w:r>
          </w:p>
        </w:tc>
      </w:tr>
      <w:tr>
        <w:trPr>
          <w:trHeight w:val="211"/>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Expected Life</w:t>
            </w:r>
          </w:p>
        </w:tc>
        <w:tc>
          <w:tcPr>
            <w:tcW w:w="3660" w:type="dxa"/>
            <w:vAlign w:val="bottom"/>
          </w:tcPr>
          <w:p>
            <w:pPr>
              <w:jc w:val="right"/>
              <w:ind w:right="172"/>
              <w:spacing w:after="0"/>
              <w:rPr>
                <w:sz w:val="20"/>
                <w:szCs w:val="20"/>
                <w:color w:val="auto"/>
              </w:rPr>
            </w:pPr>
            <w:r>
              <w:rPr>
                <w:rFonts w:ascii="Arial" w:cs="Arial" w:eastAsia="Arial" w:hAnsi="Arial"/>
                <w:sz w:val="18"/>
                <w:szCs w:val="18"/>
                <w:color w:val="auto"/>
              </w:rPr>
              <w:t>2.75 years</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w w:val="99"/>
              </w:rPr>
              <w:t>3.25 years</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TheBlack-</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Scholesoptionpricingmodelwasdevelopedforuseinestimatingthefairvalueoftradedoptions,whichhavenovestingrestrictionsandarefullytransferable.Inaddition,option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valuationmodels require the input of highly subjective assumptions including the expected stock price volatility. Because the Company’s stock options have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characteristics significantly different from those of traded options, and because changes in the subjective input assumptions can materially affect the fair value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estimate, in management’s opinion, the existing models do not necessarily provide a reliable single measure of the fair value of the Company’s stock options.</w:t>
      </w:r>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Company’s 2014 Plan for the nine months ended September 30, 2020 is as follows:</w:t>
      </w:r>
    </w:p>
    <w:p>
      <w:pPr>
        <w:spacing w:after="0" w:line="200" w:lineRule="exact"/>
        <w:rPr>
          <w:sz w:val="20"/>
          <w:szCs w:val="20"/>
          <w:color w:val="auto"/>
        </w:rPr>
      </w:pPr>
    </w:p>
    <w:p>
      <w:pPr>
        <w:spacing w:after="0" w:line="227" w:lineRule="exact"/>
        <w:rPr>
          <w:sz w:val="20"/>
          <w:szCs w:val="20"/>
          <w:color w:val="auto"/>
        </w:rPr>
      </w:pPr>
    </w:p>
    <w:tbl>
      <w:tblPr>
        <w:tblLayout w:type="fixed"/>
        <w:tblInd w:w="8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Weighted</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Weighted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Average</w:t>
            </w: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Exercise</w:t>
            </w: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Remaining</w:t>
            </w: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Number</w:t>
            </w:r>
          </w:p>
        </w:tc>
        <w:tc>
          <w:tcPr>
            <w:tcW w:w="12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Price per</w:t>
            </w: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Contractual</w:t>
            </w: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8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of Shares</w:t>
            </w:r>
          </w:p>
        </w:tc>
        <w:tc>
          <w:tcPr>
            <w:tcW w:w="12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3"/>
              </w:rPr>
              <w:t>Share</w:t>
            </w: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Term</w:t>
            </w:r>
          </w:p>
        </w:tc>
        <w:tc>
          <w:tcPr>
            <w:tcW w:w="100" w:type="dxa"/>
            <w:vAlign w:val="bottom"/>
          </w:tcPr>
          <w:p>
            <w:pPr>
              <w:spacing w:after="0"/>
              <w:rPr>
                <w:sz w:val="19"/>
                <w:szCs w:val="19"/>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12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82,000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8.61</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74,523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7.96</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Exercised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(36,557)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8.43</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9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vMerge w:val="continue"/>
          </w:tcPr>
          <w:p>
            <w:pPr>
              <w:spacing w:after="0"/>
              <w:rPr>
                <w:sz w:val="21"/>
                <w:szCs w:val="21"/>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2020</w:t>
            </w:r>
          </w:p>
        </w:tc>
        <w:tc>
          <w:tcPr>
            <w:tcW w:w="12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119,966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8.26</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49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vMerge w:val="continue"/>
          </w:tcPr>
          <w:p>
            <w:pPr>
              <w:spacing w:after="0"/>
              <w:rPr>
                <w:sz w:val="20"/>
                <w:szCs w:val="20"/>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September 30, 2020</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ind w:right="100"/>
        <w:spacing w:after="0" w:line="317" w:lineRule="auto"/>
        <w:rPr>
          <w:sz w:val="20"/>
          <w:szCs w:val="20"/>
          <w:color w:val="auto"/>
        </w:rPr>
      </w:pPr>
      <w:r>
        <w:rPr>
          <w:rFonts w:ascii="Arial" w:cs="Arial" w:eastAsia="Arial" w:hAnsi="Arial"/>
          <w:sz w:val="15"/>
          <w:szCs w:val="15"/>
          <w:color w:val="auto"/>
        </w:rPr>
        <w:t>The aggregate intrinsic value of options outstanding and options exercisable at September 30, 2020 is calculated as the difference between the exercise price of the underlying options and the market price of the Company’s Common Stock for the options that had exercise prices that were lower than the $5.89closing price of the Company’s Common Stock on September 30, 2020. No options were exercised during the nine months ended September 30, 2020. The total intrinsic value of options forfeited during the nine months ended September 30, 2020 was $-0-, determined as of the date of forfeiture.</w:t>
      </w:r>
    </w:p>
    <w:p>
      <w:pPr>
        <w:spacing w:after="0" w:line="145" w:lineRule="exact"/>
        <w:rPr>
          <w:sz w:val="20"/>
          <w:szCs w:val="20"/>
          <w:color w:val="auto"/>
        </w:rPr>
      </w:pPr>
    </w:p>
    <w:p>
      <w:pPr>
        <w:jc w:val="both"/>
        <w:ind w:right="100"/>
        <w:spacing w:after="0" w:line="251" w:lineRule="auto"/>
        <w:rPr>
          <w:sz w:val="20"/>
          <w:szCs w:val="20"/>
          <w:color w:val="auto"/>
        </w:rPr>
      </w:pPr>
      <w:r>
        <w:rPr>
          <w:rFonts w:ascii="Arial" w:cs="Arial" w:eastAsia="Arial" w:hAnsi="Arial"/>
          <w:sz w:val="18"/>
          <w:szCs w:val="18"/>
          <w:color w:val="auto"/>
        </w:rPr>
        <w:t>Participants in the 2014 Plan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As of September 30, 2020, the estimated fair value of unamortized compensation cost related to unvested stock option awards was approximately $78,000.</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Unamortized compensation cost as of September 30, 2020 is expected to be recognized over a remaining weighted-average vesting period of 1.38 years.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there were 810,199shares reserved for grants under the 2014 Plan.</w:t>
      </w:r>
    </w:p>
    <w:p>
      <w:pPr>
        <w:sectPr>
          <w:pgSz w:w="11900" w:h="16838" w:orient="portrait"/>
          <w:cols w:equalWidth="0" w:num="1">
            <w:col w:w="11340"/>
          </w:cols>
          <w:pgMar w:left="320" w:top="127" w:right="239" w:bottom="174"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restricted Common Stock activity under the Company’s 2014 Plan for the nine months ended September 30, 2020 is as follows: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8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Weighted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Average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Grant Date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 Value</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Restricted Stock Awards</w:t>
            </w:r>
          </w:p>
        </w:tc>
        <w:tc>
          <w:tcPr>
            <w:tcW w:w="8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3"/>
              </w:rPr>
              <w:t>per Share</w:t>
            </w: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Fair Value</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2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213,929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209,518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Vested</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(91,863)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(1,331,254)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(19,266)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(292,455)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vMerge w:val="continue"/>
          </w:tcPr>
          <w:p>
            <w:pPr>
              <w:spacing w:after="0"/>
              <w:rPr>
                <w:sz w:val="20"/>
                <w:szCs w:val="20"/>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312,318</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3,591,969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Fair value was calculated using the closing price of the Company’s Common Stock on the grant date. For the three months ended September 30, 2020 and 2019, stock-based compensation for these grants was approximately $416,000and $388,000, respectively, which is included in other operating expenses on the accompanying condensed consolidated statements of operations and comprehensive income (loss). For the nine months ended September 30, 2020 and 2019, stock-based compensation for these grants was approximately $1,321,000and $1,096,000, respectively, which is included in other operating expenses on the accompanying condensed consolidated statements of operations and comprehensive income (loss). These amounts reflect the Company’s accounting expense and do not correspond to the actual value that will be recognized by the directors, executives and employees.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gridSpan w:val="2"/>
          </w:tcPr>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7300" w:type="dxa"/>
            <w:vAlign w:val="bottom"/>
            <w:gridSpan w:val="2"/>
          </w:tcPr>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6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September</w:t>
            </w:r>
          </w:p>
        </w:tc>
        <w:tc>
          <w:tcPr>
            <w:tcW w:w="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December</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273"/>
              <w:spacing w:after="0"/>
              <w:rPr>
                <w:sz w:val="20"/>
                <w:szCs w:val="20"/>
                <w:color w:val="auto"/>
              </w:rPr>
            </w:pPr>
            <w:r>
              <w:rPr>
                <w:rFonts w:ascii="Arial" w:cs="Arial" w:eastAsia="Arial" w:hAnsi="Arial"/>
                <w:sz w:val="18"/>
                <w:szCs w:val="18"/>
                <w:b w:val="1"/>
                <w:bCs w:val="1"/>
                <w:color w:val="auto"/>
              </w:rPr>
              <w:t>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7300" w:type="dxa"/>
            <w:vAlign w:val="bottom"/>
            <w:gridSpan w:val="2"/>
          </w:tcPr>
          <w:p>
            <w:pPr>
              <w:ind w:left="860"/>
              <w:spacing w:after="0"/>
              <w:rPr>
                <w:sz w:val="20"/>
                <w:szCs w:val="20"/>
                <w:color w:val="auto"/>
              </w:rPr>
            </w:pPr>
            <w:r>
              <w:rPr>
                <w:rFonts w:ascii="Arial" w:cs="Arial" w:eastAsia="Arial" w:hAnsi="Arial"/>
                <w:sz w:val="18"/>
                <w:szCs w:val="18"/>
                <w:color w:val="auto"/>
              </w:rPr>
              <w:t>Deferred tax asset:</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carryovers (1)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6440" w:type="dxa"/>
            <w:vAlign w:val="bottom"/>
          </w:tcPr>
          <w:p>
            <w:pPr>
              <w:ind w:left="180"/>
              <w:spacing w:after="0"/>
              <w:rPr>
                <w:sz w:val="20"/>
                <w:szCs w:val="20"/>
                <w:color w:val="auto"/>
              </w:rPr>
            </w:pPr>
            <w:r>
              <w:rPr>
                <w:rFonts w:ascii="Arial" w:cs="Arial" w:eastAsia="Arial" w:hAnsi="Arial"/>
                <w:sz w:val="18"/>
                <w:szCs w:val="18"/>
                <w:color w:val="auto"/>
              </w:rPr>
              <w:t>Claims reserve discount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779,554</w:t>
            </w: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839,959</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Unearned premium</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3,185,331</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6440" w:type="dxa"/>
            <w:vAlign w:val="bottom"/>
          </w:tcPr>
          <w:p>
            <w:pPr>
              <w:ind w:left="180"/>
              <w:spacing w:after="0"/>
              <w:rPr>
                <w:sz w:val="20"/>
                <w:szCs w:val="20"/>
                <w:color w:val="auto"/>
              </w:rPr>
            </w:pPr>
            <w:r>
              <w:rPr>
                <w:rFonts w:ascii="Arial" w:cs="Arial" w:eastAsia="Arial" w:hAnsi="Arial"/>
                <w:sz w:val="18"/>
                <w:szCs w:val="18"/>
                <w:color w:val="auto"/>
              </w:rPr>
              <w:t>Deferred ceding commission revenue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1,513,500</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1,624,434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491,402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462,019</w:t>
            </w: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64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vMerge w:val="continue"/>
          </w:tcPr>
          <w:p>
            <w:pPr>
              <w:spacing w:after="0"/>
              <w:rPr>
                <w:sz w:val="17"/>
                <w:szCs w:val="17"/>
                <w:color w:val="auto"/>
              </w:rPr>
            </w:pPr>
          </w:p>
        </w:tc>
        <w:tc>
          <w:tcPr>
            <w:tcW w:w="6440" w:type="dxa"/>
            <w:vAlign w:val="bottom"/>
          </w:tcPr>
          <w:p>
            <w:pPr>
              <w:spacing w:after="0" w:line="205" w:lineRule="exact"/>
              <w:rPr>
                <w:sz w:val="20"/>
                <w:szCs w:val="20"/>
                <w:color w:val="auto"/>
              </w:rPr>
            </w:pPr>
            <w:r>
              <w:rPr>
                <w:rFonts w:ascii="Arial" w:cs="Arial" w:eastAsia="Arial" w:hAnsi="Arial"/>
                <w:sz w:val="18"/>
                <w:szCs w:val="18"/>
                <w:color w:val="auto"/>
              </w:rPr>
              <w:t>Total deferred tax assets</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w w:val="97"/>
              </w:rPr>
              <w:t>6,025,632</w:t>
            </w:r>
          </w:p>
        </w:tc>
        <w:tc>
          <w:tcPr>
            <w:tcW w:w="80" w:type="dxa"/>
            <w:vAlign w:val="bottom"/>
          </w:tcPr>
          <w:p>
            <w:pPr>
              <w:spacing w:after="0"/>
              <w:rPr>
                <w:sz w:val="17"/>
                <w:szCs w:val="17"/>
                <w:color w:val="auto"/>
              </w:rPr>
            </w:pPr>
          </w:p>
        </w:tc>
        <w:tc>
          <w:tcPr>
            <w:tcW w:w="860" w:type="dxa"/>
            <w:vAlign w:val="bottom"/>
          </w:tcPr>
          <w:p>
            <w:pPr>
              <w:jc w:val="right"/>
              <w:spacing w:after="0" w:line="205" w:lineRule="exact"/>
              <w:rPr>
                <w:sz w:val="20"/>
                <w:szCs w:val="20"/>
                <w:color w:val="auto"/>
              </w:rPr>
            </w:pPr>
            <w:r>
              <w:rPr>
                <w:rFonts w:ascii="Arial" w:cs="Arial" w:eastAsia="Arial" w:hAnsi="Arial"/>
                <w:sz w:val="18"/>
                <w:szCs w:val="18"/>
                <w:color w:val="auto"/>
              </w:rPr>
              <w:t>7,618,003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vMerge w:val="restart"/>
          </w:tcPr>
          <w:p>
            <w:pPr>
              <w:spacing w:after="0"/>
              <w:rPr>
                <w:sz w:val="17"/>
                <w:szCs w:val="17"/>
                <w:color w:val="auto"/>
              </w:rPr>
            </w:pPr>
          </w:p>
        </w:tc>
        <w:tc>
          <w:tcPr>
            <w:tcW w:w="6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6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KICO (2)</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759,543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759,543</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6440" w:type="dxa"/>
            <w:vAlign w:val="bottom"/>
          </w:tcPr>
          <w:p>
            <w:pPr>
              <w:ind w:left="180"/>
              <w:spacing w:after="0"/>
              <w:rPr>
                <w:sz w:val="20"/>
                <w:szCs w:val="20"/>
                <w:color w:val="auto"/>
              </w:rPr>
            </w:pPr>
            <w:r>
              <w:rPr>
                <w:rFonts w:ascii="Arial" w:cs="Arial" w:eastAsia="Arial" w:hAnsi="Arial"/>
                <w:sz w:val="18"/>
                <w:szCs w:val="18"/>
                <w:color w:val="auto"/>
              </w:rPr>
              <w:t>Deferred acquisition costs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4,182,428</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4,333,219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105,000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64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369,570</w:t>
            </w: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312,298</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gains of securities - available-for-sale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2,581,873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64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vMerge w:val="continue"/>
          </w:tcPr>
          <w:p>
            <w:pPr>
              <w:spacing w:after="0"/>
              <w:rPr>
                <w:sz w:val="17"/>
                <w:szCs w:val="17"/>
                <w:color w:val="auto"/>
              </w:rPr>
            </w:pPr>
          </w:p>
        </w:tc>
        <w:tc>
          <w:tcPr>
            <w:tcW w:w="6440" w:type="dxa"/>
            <w:vAlign w:val="bottom"/>
          </w:tcPr>
          <w:p>
            <w:pPr>
              <w:spacing w:after="0" w:line="205" w:lineRule="exact"/>
              <w:rPr>
                <w:sz w:val="20"/>
                <w:szCs w:val="20"/>
                <w:color w:val="auto"/>
              </w:rPr>
            </w:pPr>
            <w:r>
              <w:rPr>
                <w:rFonts w:ascii="Arial" w:cs="Arial" w:eastAsia="Arial" w:hAnsi="Arial"/>
                <w:sz w:val="18"/>
                <w:szCs w:val="18"/>
                <w:color w:val="auto"/>
              </w:rPr>
              <w:t>Total deferred tax liabilities</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w w:val="97"/>
              </w:rPr>
              <w:t>7,998,414</w:t>
            </w:r>
          </w:p>
        </w:tc>
        <w:tc>
          <w:tcPr>
            <w:tcW w:w="80" w:type="dxa"/>
            <w:vAlign w:val="bottom"/>
          </w:tcPr>
          <w:p>
            <w:pPr>
              <w:spacing w:after="0"/>
              <w:rPr>
                <w:sz w:val="17"/>
                <w:szCs w:val="17"/>
                <w:color w:val="auto"/>
              </w:rPr>
            </w:pPr>
          </w:p>
        </w:tc>
        <w:tc>
          <w:tcPr>
            <w:tcW w:w="860" w:type="dxa"/>
            <w:vAlign w:val="bottom"/>
          </w:tcPr>
          <w:p>
            <w:pPr>
              <w:jc w:val="right"/>
              <w:spacing w:after="0" w:line="205" w:lineRule="exact"/>
              <w:rPr>
                <w:sz w:val="20"/>
                <w:szCs w:val="20"/>
                <w:color w:val="auto"/>
              </w:rPr>
            </w:pPr>
            <w:r>
              <w:rPr>
                <w:rFonts w:ascii="Arial" w:cs="Arial" w:eastAsia="Arial" w:hAnsi="Arial"/>
                <w:sz w:val="18"/>
                <w:szCs w:val="18"/>
                <w:color w:val="auto"/>
              </w:rPr>
              <w:t>7,306,951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vMerge w:val="restart"/>
          </w:tcPr>
          <w:p>
            <w:pPr>
              <w:spacing w:after="0"/>
              <w:rPr>
                <w:sz w:val="17"/>
                <w:szCs w:val="17"/>
                <w:color w:val="auto"/>
              </w:rPr>
            </w:pPr>
          </w:p>
        </w:tc>
        <w:tc>
          <w:tcPr>
            <w:tcW w:w="6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860" w:type="dxa"/>
            <w:vAlign w:val="bottom"/>
            <w:vMerge w:val="continue"/>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deferred income tax (liability) asset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line="211" w:lineRule="exact"/>
              <w:rPr>
                <w:sz w:val="20"/>
                <w:szCs w:val="20"/>
                <w:color w:val="auto"/>
              </w:rPr>
            </w:pPr>
            <w:r>
              <w:rPr>
                <w:rFonts w:ascii="Arial" w:cs="Arial" w:eastAsia="Arial" w:hAnsi="Arial"/>
                <w:sz w:val="14"/>
                <w:szCs w:val="14"/>
                <w:color w:val="auto"/>
              </w:rPr>
              <w:t>(1,972,782</w:t>
            </w:r>
            <w:r>
              <w:rPr>
                <w:rFonts w:ascii="Arial" w:cs="Arial" w:eastAsia="Arial" w:hAnsi="Arial"/>
                <w:sz w:val="24"/>
                <w:szCs w:val="24"/>
                <w:color w:val="auto"/>
                <w:vertAlign w:val="subscript"/>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311,052</w:t>
            </w:r>
          </w:p>
        </w:tc>
        <w:tc>
          <w:tcPr>
            <w:tcW w:w="0" w:type="dxa"/>
            <w:vAlign w:val="bottom"/>
          </w:tcPr>
          <w:p>
            <w:pPr>
              <w:spacing w:after="0"/>
              <w:rPr>
                <w:sz w:val="1"/>
                <w:szCs w:val="1"/>
                <w:color w:val="auto"/>
              </w:rPr>
            </w:pPr>
          </w:p>
        </w:tc>
      </w:tr>
      <w:tr>
        <w:trPr>
          <w:trHeight w:val="422"/>
        </w:trPr>
        <w:tc>
          <w:tcPr>
            <w:tcW w:w="7300" w:type="dxa"/>
            <w:vAlign w:val="bottom"/>
            <w:gridSpan w:val="2"/>
          </w:tcPr>
          <w:p>
            <w:pPr>
              <w:spacing w:after="0"/>
              <w:rPr>
                <w:sz w:val="20"/>
                <w:szCs w:val="20"/>
                <w:color w:val="auto"/>
              </w:rPr>
            </w:pPr>
            <w:r>
              <w:rPr>
                <w:rFonts w:ascii="Arial" w:cs="Arial" w:eastAsia="Arial" w:hAnsi="Arial"/>
                <w:sz w:val="18"/>
                <w:szCs w:val="18"/>
                <w:color w:val="auto"/>
              </w:rPr>
              <w:t>(1)   The deferred tax assets from net operating loss carryovers (“NOL”) are as follows:</w:t>
            </w:r>
          </w:p>
        </w:tc>
        <w:tc>
          <w:tcPr>
            <w:tcW w:w="9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7" w:right="339" w:bottom="0" w:gutter="0" w:footer="0" w:header="0"/>
        </w:sectPr>
      </w:pPr>
    </w:p>
    <w:bookmarkStart w:id="21" w:name="page22"/>
    <w:bookmarkEnd w:id="21"/>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December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7"/>
              </w:rPr>
              <w:t>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31,</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Type of NOL</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4"/>
              </w:rPr>
              <w:t>2019</w:t>
            </w:r>
          </w:p>
        </w:tc>
        <w:tc>
          <w:tcPr>
            <w:tcW w:w="1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Expiration</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Federal only, current year</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1,517,866</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State only (B)</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w w:val="99"/>
              </w:rPr>
              <w:t>December 31,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1,864,863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1,616,568</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(1,809,018)</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(1,548,187)</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State only, net of valuation allowance</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55,845</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5" w:lineRule="exact"/>
              <w:rPr>
                <w:sz w:val="20"/>
                <w:szCs w:val="20"/>
                <w:color w:val="auto"/>
              </w:rPr>
            </w:pPr>
            <w:r>
              <w:rPr>
                <w:rFonts w:ascii="Arial" w:cs="Arial" w:eastAsia="Arial" w:hAnsi="Arial"/>
                <w:sz w:val="18"/>
                <w:szCs w:val="18"/>
                <w:color w:val="auto"/>
              </w:rPr>
              <w:t>68,381</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vMerge w:val="continue"/>
          </w:tcPr>
          <w:p>
            <w:pPr>
              <w:spacing w:after="0"/>
              <w:rPr>
                <w:sz w:val="20"/>
                <w:szCs w:val="20"/>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 from net operating loss carryovers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1,586,247</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ind w:left="460" w:hanging="454"/>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March 27, 2020, the Coronavirus Aid, Relief, and Economic Security (CARES) Act was signed into law, allowing for a five year carryback of 2019 NOL’s. The Company will elect on its 2019 federal income tax return to carry back the 2019 NOL to tax years 2014 and 2015. The corporate tax rate in 2014 and 2015 was 34%, compared to the corporate tax rate of 21% in 2019.</w:t>
      </w:r>
    </w:p>
    <w:p>
      <w:pPr>
        <w:spacing w:after="0" w:line="187" w:lineRule="exact"/>
        <w:rPr>
          <w:rFonts w:ascii="Arial" w:cs="Arial" w:eastAsia="Arial" w:hAnsi="Arial"/>
          <w:sz w:val="18"/>
          <w:szCs w:val="18"/>
          <w:color w:val="auto"/>
        </w:rPr>
      </w:pPr>
    </w:p>
    <w:p>
      <w:pPr>
        <w:jc w:val="both"/>
        <w:ind w:left="460" w:hanging="454"/>
        <w:spacing w:after="0" w:line="311"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Kingstone generates operating losses for state purposes and has prior year NOLs available. The state NOL as of September 30, 2020 and December 31, 2019 was approximately $28,690,000and $24,901,000, respectively. KICO, the Company’s insurance underwriting subsidiary, is not subject to state income taxes. KICO’s state tax obligations are paid through a gross premiums tax, which is included in the consolidated statements of operations and comprehensive income (loss) within other underwriting expenses. Kingstone has recorded a valuation allowance due to the uncertainty of generating enough state taxable income to utilize 100% of the available state NOLs over their remaining lives, which expire between 2027 and 2040.</w:t>
      </w:r>
    </w:p>
    <w:p>
      <w:pPr>
        <w:spacing w:after="0" w:line="150" w:lineRule="exact"/>
        <w:rPr>
          <w:sz w:val="20"/>
          <w:szCs w:val="20"/>
          <w:color w:val="auto"/>
        </w:rPr>
      </w:pPr>
    </w:p>
    <w:p>
      <w:pPr>
        <w:ind w:left="460" w:hanging="454"/>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Deferred tax liability – Investment in KICO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jc w:val="both"/>
        <w:ind w:left="560"/>
        <w:spacing w:after="0" w:line="302" w:lineRule="auto"/>
        <w:rPr>
          <w:sz w:val="20"/>
          <w:szCs w:val="20"/>
          <w:color w:val="auto"/>
        </w:rPr>
      </w:pPr>
      <w:r>
        <w:rPr>
          <w:rFonts w:ascii="Arial" w:cs="Arial" w:eastAsia="Arial" w:hAnsi="Arial"/>
          <w:sz w:val="15"/>
          <w:szCs w:val="15"/>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$759,543upon the reduction of federal income tax rates as of December 31, 2017. The Company is required to maintain its deferred tax liability of $759,543related to this temporary difference until the stock of KICO is sold, or the assets of KICO are sold or KICO and the parent are merged.</w:t>
      </w:r>
    </w:p>
    <w:p>
      <w:pPr>
        <w:spacing w:after="0" w:line="3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had no material unrecognized tax benefit and no adjustments to liabilities or operations were required. There were no interest or penalties related to income taxes that have been accrued or recognized as of and for the nine months ended September 30, 2020 and 2019. If any had been recognized these would have been reported in income tax expense.</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Generally, taxing authorities may examine the Company’s tax returns for the three years from the date of filing. The Company’s tax returns for the years ended December 31, 2016 through December 31, 2019 remain subject to examination. The Company’s federal income tax return for the year ended December 31, 2016 has been examined by the Internal Revenue Service and was accepted as filed.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–Earnings/(Loss) Per Common Share</w:t>
      </w:r>
    </w:p>
    <w:p>
      <w:pPr>
        <w:spacing w:after="0" w:line="222"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auto"/>
        </w:rPr>
        <w:t>Basic net earnings/(loss) per common share is computed by dividing income/(loss) available to common shareholders by the weighted-average number of shares of Common Stock outstanding. Diluted earnings/(loss) per common share reflect, in periods in which they have a dilutive effect, the impact of common shares issuable upon exercise of stock options as well as non-vested restricted stock awards. The computation of diluted earnings/(loss) per common share excludes those options with an exercise price in excess of the average market price of the Company’s Common Stock during the periods presented.</w:t>
      </w:r>
    </w:p>
    <w:p>
      <w:pPr>
        <w:spacing w:after="0" w:line="1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computation of diluted earnings/(loss) per common share excludes outstanding options in periods where the exercise of such options would be anti-dilutive. For the nine months ended September 30, 2020, no options were included in the computation of diluted earnings (loss) per common share as they would have been anti-dilutive for the relevant periods and, as a result, the weighted average number of shares of Common Stock used in the calculation of diluted earnings per common share has not been adjusted for the effect of such options.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reconciliation of the weighted average number of shares of Common Stock used in the calculation of basic and diluted earnings (loss) per common share follows:</w:t>
      </w:r>
    </w:p>
    <w:tbl>
      <w:tblPr>
        <w:tblLayout w:type="fixed"/>
        <w:tblInd w:w="5940" w:type="dxa"/>
        <w:tblCellMar>
          <w:top w:w="0" w:type="dxa"/>
          <w:left w:w="0" w:type="dxa"/>
          <w:bottom w:w="0" w:type="dxa"/>
          <w:right w:w="0" w:type="dxa"/>
        </w:tblCellMar>
      </w:tblPr>
      <w:tr>
        <w:trPr>
          <w:trHeight w:val="195"/>
        </w:trPr>
        <w:tc>
          <w:tcPr>
            <w:tcW w:w="210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6"/>
              </w:rPr>
              <w:t>Three months ended</w:t>
            </w:r>
          </w:p>
        </w:tc>
        <w:tc>
          <w:tcPr>
            <w:tcW w:w="180" w:type="dxa"/>
            <w:vAlign w:val="bottom"/>
          </w:tcPr>
          <w:p>
            <w:pPr>
              <w:spacing w:after="0"/>
              <w:rPr>
                <w:sz w:val="16"/>
                <w:szCs w:val="16"/>
                <w:color w:val="auto"/>
              </w:rPr>
            </w:pPr>
          </w:p>
        </w:tc>
        <w:tc>
          <w:tcPr>
            <w:tcW w:w="208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6"/>
              </w:rPr>
              <w:t>Nine months ended</w:t>
            </w:r>
          </w:p>
        </w:tc>
      </w:tr>
      <w:tr>
        <w:trPr>
          <w:trHeight w:val="229"/>
        </w:trPr>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September 30,</w:t>
            </w:r>
          </w:p>
        </w:tc>
        <w:tc>
          <w:tcPr>
            <w:tcW w:w="180" w:type="dxa"/>
            <w:vAlign w:val="bottom"/>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September 30,</w:t>
            </w:r>
          </w:p>
        </w:tc>
      </w:tr>
    </w:tbl>
    <w:p>
      <w:pPr>
        <w:sectPr>
          <w:pgSz w:w="11900" w:h="16838" w:orient="portrait"/>
          <w:cols w:equalWidth="0" w:num="1">
            <w:col w:w="11240"/>
          </w:cols>
          <w:pgMar w:left="320" w:top="121" w:right="339" w:bottom="0" w:gutter="0" w:footer="0" w:header="0"/>
        </w:sectPr>
      </w:pPr>
    </w:p>
    <w:bookmarkStart w:id="22" w:name="page23"/>
    <w:bookmarkEnd w:id="22"/>
    <w:p>
      <w:pPr>
        <w:spacing w:after="0" w:line="62" w:lineRule="exact"/>
        <w:rPr>
          <w:sz w:val="20"/>
          <w:szCs w:val="20"/>
          <w:color w:val="auto"/>
        </w:rPr>
      </w:pPr>
    </w:p>
    <w:tbl>
      <w:tblPr>
        <w:tblLayout w:type="fixed"/>
        <w:tblInd w:w="8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04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9"/>
                <w:szCs w:val="19"/>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9"/>
                <w:szCs w:val="19"/>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940" w:type="dxa"/>
            <w:vAlign w:val="bottom"/>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10,673,077</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10,779,641</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10,737,853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10,769,817</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common share equivalents: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9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used for computing diluted earnings per share</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10,673,077</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10,779,641</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10,737,853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10,769,817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w:t>
      </w:r>
    </w:p>
    <w:p>
      <w:pPr>
        <w:spacing w:after="0" w:line="190"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 xml:space="preserve">On June 12, 2019, Phillip Woolgar filed a suit naming the Company and certain present or former officers and directors as defendants in a putative class action captioned </w:t>
      </w:r>
      <w:r>
        <w:rPr>
          <w:rFonts w:ascii="Arial" w:cs="Arial" w:eastAsia="Arial" w:hAnsi="Arial"/>
          <w:sz w:val="15"/>
          <w:szCs w:val="15"/>
          <w:i w:val="1"/>
          <w:iCs w:val="1"/>
          <w:color w:val="auto"/>
        </w:rPr>
        <w:t>Woolgar v. Kingstone Companies et al.</w:t>
      </w:r>
      <w:r>
        <w:rPr>
          <w:rFonts w:ascii="Arial" w:cs="Arial" w:eastAsia="Arial" w:hAnsi="Arial"/>
          <w:sz w:val="15"/>
          <w:szCs w:val="15"/>
          <w:color w:val="auto"/>
        </w:rPr>
        <w:t>, 19 cv 05500 (S.D.N.Y.), asserting claims under Section 10(b) of the Exchange Act and SEC Rule 10b-5 promulgated thereunder and Section 20(a) of the Exchange Act. Plaintiff sought to represent a class of persons or entities that purchased Kingstone securities between March 14, 2018, and April 29, 2019, and alleged violations of the federal securities law in connection with the Company’s April 29, 2019 announcement regarding losses related to winter catastrophe events. The lawsuit alleged that the Company failed to disclose that it did not adequately follow industry best practices related to claims handling and thus did not record sufficient claim reserves, and that as a result, Defendants’ positive statements about the Company’s business, operations and prospects misled investors. Plaintiff seeks, among other things, an undetermined amount of money damages. On August 10, 2020, the court granted the Company’s motion to dismiss the amended complaint in the suit. The court permitted plaintiff to amend the complaint to attempt to cure the deficiencies identified by the court in its opinion (to the extent plaintiff had a good faith basis to do so) by September 11, 2020. Plaintiff failed to replead by the September 11, 2020 deadline. On September 16, 2020, the court issued an order closing the case. Plaintiff did not file an appeal, rendering the dismissal final and the Company considers the matter closed.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 Lease</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 party to a non-cancellable operating lease, dated March 27, 2015, for its office facility for KICO located in Valley Stream, New York expiring March 31, 2024.</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8, 2019, the Company entered into a lease agreement for an additional office facility for Cosi located in Valley Stream, New York under a non-cancelable operating lease. The lease has a term of seven years and two months expiring December 31, 2026.</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base rental costs, occupancy lease agreements generally provide for rent escalations resulting from increased assessments from real estate taxes and other charges.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gridSpan w:val="2"/>
          </w:tcPr>
          <w:p>
            <w:pPr>
              <w:spacing w:after="0"/>
              <w:rPr>
                <w:sz w:val="20"/>
                <w:szCs w:val="20"/>
                <w:color w:val="auto"/>
              </w:rPr>
            </w:pPr>
            <w:r>
              <w:rPr>
                <w:rFonts w:ascii="Arial" w:cs="Arial" w:eastAsia="Arial" w:hAnsi="Arial"/>
                <w:sz w:val="18"/>
                <w:szCs w:val="18"/>
                <w:color w:val="auto"/>
              </w:rPr>
              <w:t>Additional information regarding the Company’s office operating leases is as follows: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8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Three</w:t>
            </w:r>
          </w:p>
        </w:tc>
        <w:tc>
          <w:tcPr>
            <w:tcW w:w="10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Nine</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months</w:t>
            </w:r>
          </w:p>
        </w:tc>
        <w:tc>
          <w:tcPr>
            <w:tcW w:w="10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months</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ended</w:t>
            </w:r>
          </w:p>
        </w:tc>
        <w:tc>
          <w:tcPr>
            <w:tcW w:w="10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ended</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September</w:t>
            </w: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September</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gridSpan w:val="2"/>
          </w:tcPr>
          <w:p>
            <w:pPr>
              <w:ind w:left="860"/>
              <w:spacing w:after="0"/>
              <w:rPr>
                <w:sz w:val="20"/>
                <w:szCs w:val="20"/>
                <w:color w:val="auto"/>
              </w:rPr>
            </w:pPr>
            <w:r>
              <w:rPr>
                <w:rFonts w:ascii="Arial" w:cs="Arial" w:eastAsia="Arial" w:hAnsi="Arial"/>
                <w:sz w:val="18"/>
                <w:szCs w:val="18"/>
                <w:b w:val="1"/>
                <w:bCs w:val="1"/>
                <w:color w:val="auto"/>
              </w:rPr>
              <w:t>Lease cost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60" w:type="dxa"/>
            <w:vAlign w:val="bottom"/>
          </w:tcPr>
          <w:p>
            <w:pPr>
              <w:spacing w:after="0"/>
              <w:rPr>
                <w:sz w:val="17"/>
                <w:szCs w:val="17"/>
                <w:color w:val="auto"/>
              </w:rPr>
            </w:pPr>
          </w:p>
        </w:tc>
        <w:tc>
          <w:tcPr>
            <w:tcW w:w="714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Operating leases</w:t>
            </w: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61,297</w:t>
            </w: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183,891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Short-term leases</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60" w:type="dxa"/>
            <w:vAlign w:val="bottom"/>
          </w:tcPr>
          <w:p>
            <w:pPr>
              <w:spacing w:after="0"/>
              <w:rPr>
                <w:sz w:val="21"/>
                <w:szCs w:val="21"/>
                <w:color w:val="auto"/>
              </w:rPr>
            </w:pPr>
          </w:p>
        </w:tc>
        <w:tc>
          <w:tcPr>
            <w:tcW w:w="7140" w:type="dxa"/>
            <w:vAlign w:val="bottom"/>
            <w:shd w:val="clear" w:color="auto" w:fill="CCEEFF"/>
          </w:tcPr>
          <w:p>
            <w:pPr>
              <w:ind w:left="200"/>
              <w:spacing w:after="0" w:line="205" w:lineRule="exact"/>
              <w:rPr>
                <w:sz w:val="20"/>
                <w:szCs w:val="20"/>
                <w:color w:val="auto"/>
              </w:rPr>
            </w:pPr>
            <w:r>
              <w:rPr>
                <w:rFonts w:ascii="Arial" w:cs="Arial" w:eastAsia="Arial" w:hAnsi="Arial"/>
                <w:sz w:val="18"/>
                <w:szCs w:val="18"/>
                <w:color w:val="auto"/>
              </w:rPr>
              <w:t>Total lease cost (1)</w:t>
            </w:r>
          </w:p>
        </w:tc>
        <w:tc>
          <w:tcPr>
            <w:tcW w:w="1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rPr>
              <w:t>61,297</w:t>
            </w:r>
          </w:p>
        </w:tc>
        <w:tc>
          <w:tcPr>
            <w:tcW w:w="1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line="205" w:lineRule="exact"/>
              <w:rPr>
                <w:sz w:val="20"/>
                <w:szCs w:val="20"/>
                <w:color w:val="auto"/>
              </w:rPr>
            </w:pPr>
            <w:r>
              <w:rPr>
                <w:rFonts w:ascii="Arial" w:cs="Arial" w:eastAsia="Arial" w:hAnsi="Arial"/>
                <w:sz w:val="18"/>
                <w:szCs w:val="18"/>
                <w:color w:val="auto"/>
              </w:rPr>
              <w:t>183,891</w:t>
            </w: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7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6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 on operating leases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7140" w:type="dxa"/>
            <w:vAlign w:val="bottom"/>
          </w:tcPr>
          <w:p>
            <w:pPr>
              <w:spacing w:after="0" w:line="199" w:lineRule="exact"/>
              <w:rPr>
                <w:sz w:val="20"/>
                <w:szCs w:val="20"/>
                <w:color w:val="auto"/>
              </w:rPr>
            </w:pPr>
            <w:r>
              <w:rPr>
                <w:rFonts w:ascii="Arial" w:cs="Arial" w:eastAsia="Arial" w:hAnsi="Arial"/>
                <w:sz w:val="18"/>
                <w:szCs w:val="18"/>
                <w:color w:val="auto"/>
              </w:rPr>
              <w:t>Cash payments included in the measurement of lease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7140" w:type="dxa"/>
            <w:vAlign w:val="bottom"/>
          </w:tcPr>
          <w:p>
            <w:pPr>
              <w:ind w:left="140"/>
              <w:spacing w:after="0"/>
              <w:rPr>
                <w:sz w:val="20"/>
                <w:szCs w:val="20"/>
                <w:color w:val="auto"/>
              </w:rPr>
            </w:pPr>
            <w:r>
              <w:rPr>
                <w:rFonts w:ascii="Arial" w:cs="Arial" w:eastAsia="Arial" w:hAnsi="Arial"/>
                <w:sz w:val="18"/>
                <w:szCs w:val="18"/>
                <w:color w:val="auto"/>
              </w:rPr>
              <w:t>liability reported in operating cash flows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62,782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147,018</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Remaining lease term in years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 years</w:t>
            </w: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right="300" w:hanging="454"/>
        <w:spacing w:after="0" w:line="263"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in the condensed consolidated statements of operations and comprehensive income (loss) within other underwriting expenses for KICO and within other operating expenses for Cosi.</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60" w:type="dxa"/>
            <w:vAlign w:val="bottom"/>
            <w:gridSpan w:val="2"/>
          </w:tcPr>
          <w:p>
            <w:pPr>
              <w:spacing w:after="0"/>
              <w:rPr>
                <w:sz w:val="20"/>
                <w:szCs w:val="20"/>
                <w:color w:val="auto"/>
              </w:rPr>
            </w:pPr>
            <w:r>
              <w:rPr>
                <w:rFonts w:ascii="Arial" w:cs="Arial" w:eastAsia="Arial" w:hAnsi="Arial"/>
                <w:sz w:val="18"/>
                <w:szCs w:val="18"/>
                <w:color w:val="auto"/>
              </w:rPr>
              <w:t>The following table presents the contractual maturities of the Company’s lease liabilities as of September 30, 2020: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5"/>
        </w:trPr>
        <w:tc>
          <w:tcPr>
            <w:tcW w:w="860" w:type="dxa"/>
            <w:vAlign w:val="bottom"/>
          </w:tcPr>
          <w:p>
            <w:pPr>
              <w:spacing w:after="0"/>
              <w:rPr>
                <w:sz w:val="24"/>
                <w:szCs w:val="24"/>
                <w:color w:val="auto"/>
              </w:rPr>
            </w:pPr>
          </w:p>
        </w:tc>
        <w:tc>
          <w:tcPr>
            <w:tcW w:w="8400" w:type="dxa"/>
            <w:vAlign w:val="bottom"/>
          </w:tcPr>
          <w:p>
            <w:pPr>
              <w:jc w:val="center"/>
              <w:spacing w:after="0"/>
              <w:rPr>
                <w:sz w:val="20"/>
                <w:szCs w:val="20"/>
                <w:color w:val="auto"/>
              </w:rPr>
            </w:pPr>
            <w:r>
              <w:rPr>
                <w:rFonts w:ascii="Arial" w:cs="Arial" w:eastAsia="Arial" w:hAnsi="Arial"/>
                <w:sz w:val="18"/>
                <w:szCs w:val="18"/>
                <w:b w:val="1"/>
                <w:bCs w:val="1"/>
                <w:color w:val="auto"/>
                <w:w w:val="91"/>
              </w:rPr>
              <w:t>For the Year</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8400" w:type="dxa"/>
            <w:vAlign w:val="bottom"/>
          </w:tcPr>
          <w:p>
            <w:pPr>
              <w:jc w:val="center"/>
              <w:spacing w:after="0"/>
              <w:rPr>
                <w:sz w:val="20"/>
                <w:szCs w:val="20"/>
                <w:color w:val="auto"/>
              </w:rPr>
            </w:pPr>
            <w:r>
              <w:rPr>
                <w:rFonts w:ascii="Arial" w:cs="Arial" w:eastAsia="Arial" w:hAnsi="Arial"/>
                <w:sz w:val="18"/>
                <w:szCs w:val="18"/>
                <w:b w:val="1"/>
                <w:bCs w:val="1"/>
                <w:color w:val="auto"/>
                <w:w w:val="91"/>
              </w:rPr>
              <w:t>Ending</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0" w:type="dxa"/>
            <w:vAlign w:val="bottom"/>
          </w:tcPr>
          <w:p>
            <w:pPr>
              <w:spacing w:after="0"/>
              <w:rPr>
                <w:sz w:val="19"/>
                <w:szCs w:val="19"/>
                <w:color w:val="auto"/>
              </w:rPr>
            </w:pPr>
          </w:p>
        </w:tc>
        <w:tc>
          <w:tcPr>
            <w:tcW w:w="8400" w:type="dxa"/>
            <w:vAlign w:val="bottom"/>
          </w:tcPr>
          <w:p>
            <w:pPr>
              <w:jc w:val="center"/>
              <w:spacing w:after="0"/>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19"/>
                <w:szCs w:val="19"/>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r>
      <w:tr>
        <w:trPr>
          <w:trHeight w:val="141"/>
        </w:trPr>
        <w:tc>
          <w:tcPr>
            <w:tcW w:w="860" w:type="dxa"/>
            <w:vAlign w:val="bottom"/>
          </w:tcPr>
          <w:p>
            <w:pPr>
              <w:spacing w:after="0"/>
              <w:rPr>
                <w:sz w:val="12"/>
                <w:szCs w:val="12"/>
                <w:color w:val="auto"/>
              </w:rPr>
            </w:pPr>
          </w:p>
        </w:tc>
        <w:tc>
          <w:tcPr>
            <w:tcW w:w="84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ectPr>
          <w:pgSz w:w="11900" w:h="16900" w:orient="portrait"/>
          <w:cols w:equalWidth="0" w:num="1">
            <w:col w:w="11240"/>
          </w:cols>
          <w:pgMar w:left="320" w:top="121" w:right="339" w:bottom="0" w:gutter="0" w:footer="0" w:header="0"/>
        </w:sectPr>
      </w:pPr>
    </w:p>
    <w:bookmarkStart w:id="23" w:name="page24"/>
    <w:bookmarkEnd w:id="23"/>
    <w:p>
      <w:pPr>
        <w:spacing w:after="0" w:line="90" w:lineRule="exact"/>
        <w:rPr>
          <w:sz w:val="20"/>
          <w:szCs w:val="20"/>
          <w:color w:val="auto"/>
        </w:rPr>
      </w:pPr>
    </w:p>
    <w:tbl>
      <w:tblPr>
        <w:tblLayout w:type="fixed"/>
        <w:tblInd w:w="860" w:type="dxa"/>
        <w:tblCellMar>
          <w:top w:w="0" w:type="dxa"/>
          <w:left w:w="0" w:type="dxa"/>
          <w:bottom w:w="0" w:type="dxa"/>
          <w:right w:w="0" w:type="dxa"/>
        </w:tblCellMar>
      </w:tblPr>
      <w:tr>
        <w:trPr>
          <w:trHeight w:val="211"/>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64,281</w:t>
            </w:r>
          </w:p>
        </w:tc>
      </w:tr>
      <w:tr>
        <w:trPr>
          <w:trHeight w:val="211"/>
        </w:trPr>
        <w:tc>
          <w:tcPr>
            <w:tcW w:w="850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264,571</w:t>
            </w:r>
          </w:p>
        </w:tc>
      </w:tr>
      <w:tr>
        <w:trPr>
          <w:trHeight w:val="211"/>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273,831</w:t>
            </w:r>
          </w:p>
        </w:tc>
      </w:tr>
      <w:tr>
        <w:trPr>
          <w:trHeight w:val="211"/>
        </w:trPr>
        <w:tc>
          <w:tcPr>
            <w:tcW w:w="850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283,415</w:t>
            </w:r>
          </w:p>
        </w:tc>
      </w:tr>
      <w:tr>
        <w:trPr>
          <w:trHeight w:val="211"/>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140,739</w:t>
            </w:r>
          </w:p>
        </w:tc>
      </w:tr>
      <w:tr>
        <w:trPr>
          <w:trHeight w:val="211"/>
        </w:trPr>
        <w:tc>
          <w:tcPr>
            <w:tcW w:w="850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192,916</w:t>
            </w:r>
          </w:p>
        </w:tc>
      </w:tr>
      <w:tr>
        <w:trPr>
          <w:trHeight w:val="204"/>
        </w:trPr>
        <w:tc>
          <w:tcPr>
            <w:tcW w:w="850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color w:val="auto"/>
              </w:rPr>
              <w:t>Total undiscounted lease payments</w:t>
            </w: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4"/>
              </w:rPr>
              <w:t>1,219,753</w:t>
            </w:r>
          </w:p>
        </w:tc>
        <w:tc>
          <w:tcPr>
            <w:tcW w:w="100" w:type="dxa"/>
            <w:vAlign w:val="bottom"/>
            <w:shd w:val="clear" w:color="auto" w:fill="CCEEFF"/>
          </w:tcPr>
          <w:p>
            <w:pPr>
              <w:spacing w:after="0"/>
              <w:rPr>
                <w:sz w:val="17"/>
                <w:szCs w:val="17"/>
                <w:color w:val="auto"/>
              </w:rPr>
            </w:pPr>
          </w:p>
        </w:tc>
      </w:tr>
      <w:tr>
        <w:trPr>
          <w:trHeight w:val="211"/>
        </w:trPr>
        <w:tc>
          <w:tcPr>
            <w:tcW w:w="8500" w:type="dxa"/>
            <w:vAlign w:val="bottom"/>
          </w:tcPr>
          <w:p>
            <w:pPr>
              <w:spacing w:after="0"/>
              <w:rPr>
                <w:sz w:val="20"/>
                <w:szCs w:val="20"/>
                <w:color w:val="auto"/>
              </w:rPr>
            </w:pPr>
            <w:r>
              <w:rPr>
                <w:rFonts w:ascii="Arial" w:cs="Arial" w:eastAsia="Arial" w:hAnsi="Arial"/>
                <w:sz w:val="18"/>
                <w:szCs w:val="18"/>
                <w:color w:val="auto"/>
              </w:rPr>
              <w:t>Less: present value adjustment</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188,522</w:t>
            </w:r>
          </w:p>
        </w:tc>
      </w:tr>
      <w:tr>
        <w:trPr>
          <w:trHeight w:val="224"/>
        </w:trPr>
        <w:tc>
          <w:tcPr>
            <w:tcW w:w="8500" w:type="dxa"/>
            <w:vAlign w:val="bottom"/>
            <w:tcBorders>
              <w:bottom w:val="single" w:sz="8" w:color="CCEEFF"/>
            </w:tcBorders>
            <w:shd w:val="clear" w:color="auto" w:fill="CCEEFF"/>
          </w:tcPr>
          <w:p>
            <w:pPr>
              <w:ind w:left="180"/>
              <w:spacing w:after="0" w:line="205" w:lineRule="exact"/>
              <w:rPr>
                <w:sz w:val="20"/>
                <w:szCs w:val="20"/>
                <w:color w:val="auto"/>
              </w:rPr>
            </w:pPr>
            <w:r>
              <w:rPr>
                <w:rFonts w:ascii="Arial" w:cs="Arial" w:eastAsia="Arial" w:hAnsi="Arial"/>
                <w:sz w:val="18"/>
                <w:szCs w:val="18"/>
                <w:color w:val="auto"/>
              </w:rPr>
              <w:t>Operating lease liability</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4"/>
              </w:rPr>
              <w:t>1,031,231</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9" w:lineRule="exact"/>
        <w:rPr>
          <w:sz w:val="20"/>
          <w:szCs w:val="20"/>
          <w:color w:val="auto"/>
        </w:rPr>
      </w:pPr>
    </w:p>
    <w:p>
      <w:pPr>
        <w:jc w:val="both"/>
        <w:ind w:firstLine="61"/>
        <w:spacing w:after="0" w:line="254" w:lineRule="auto"/>
        <w:rPr>
          <w:sz w:val="20"/>
          <w:szCs w:val="20"/>
          <w:color w:val="auto"/>
        </w:rPr>
      </w:pPr>
      <w:r>
        <w:rPr>
          <w:rFonts w:ascii="Arial" w:cs="Arial" w:eastAsia="Arial" w:hAnsi="Arial"/>
          <w:sz w:val="18"/>
          <w:szCs w:val="18"/>
          <w:color w:val="auto"/>
        </w:rPr>
        <w:t>Rent expense for the three months ended September 30, 2020 and 2019 amounted to $61,297and $41,342, respectively. Rent expense for the nine months ended September 30, 2020 and 2019 totaled $183,891and $124,026, respectively. Rent expense is included in the accompanying condensed consolidated statements of operations and comprehensive income (loss) within other underwriting expenses.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Barry Goldstein, President, Chief Executive Officer and Executive Chairman of the Board</w:t>
      </w: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October 14, 2019, the Company and Barry B. Goldstein, the Company’s President, Chief Executive Officer and Executive Chairman of the Board, entered into a Second Amended and Restated Employment Agreement (the “Amended Employment Agreement”). The Amended Employment Agreement is effective as of January 1, 2020 and expires on December 31, 2022. The Amended Employment Agreement extends the expiration date of the employment agreement in effect for Mr. Goldstein from December 31, 2021 to December 31, 2022.</w:t>
      </w:r>
    </w:p>
    <w:p>
      <w:pPr>
        <w:spacing w:after="0" w:line="19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Pursuant to the Amended Employment Agreement, Mr. Goldstein is entitled to receive an annual base salary of $500,000and an annual bonus equal to 6% of the Company’s consolidated income from operations before taxes, exclusive of the Company’s consolidated net investment income (loss), net unrealized gains (losses) on equity securities and net realized gains (losses) on investments, up to a maximum of 2.5 times his base salary. In addition, pursuant to the Amended Employment Agreement, Mr. Goldstein is entitled to receive a long-term compensation (“LTC”) award of between $945,000 and $2,835,000 based on a specified minimum increase in the Company’s adjusted book value per share (as defined in the Amended Employment Agreement) as of December 31, 2022 as compared to December 31, 2019 (with the maximum LTC payment being due if the average per annum increase is at least 14%). Further, pursuant to the Amended Employment Agreement, in the event that Mr. Goldstein’s employment is terminated by the Company without cause or he resigns for good reason (each as defined in the Amended Employment Agreement), Mr. Goldstein would be entitled to receive his base salary, the 6% bonus and the LTC payment for the remainder of the term. In addition, in the event of Mr. Goldstein’s death, his estate would be entitled to receive his base salary, accrued bonus and accrued LTC payment through the date of death. Further, in the event that Mr. Goldstein’s employment is terminated by the Company without cause or he resigns for good reason, or, in the event of the termination of Mr. Goldstein’s employment due to disability or death, Mr. Goldstein’s granted but unvested restricted stock awards will vest. Mr. Goldstein would be entitled, under certain circumstances, to a payment equal to 3.82 times his then annual salary, the target LTC payment of $1,890,000 and his accrued 6% bonus in the event of the termination of his employment within eighteen months following a change of control of the Company.</w:t>
      </w:r>
    </w:p>
    <w:p>
      <w:pPr>
        <w:spacing w:after="0" w:line="176"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Pursuant to the Amended Employment Agreement, in January 2020, Mr. Goldstein received a grant of 157,431shares of restricted stock, under the terms of the Company’s 2014 Plan determined by dividing $1,250,000by the fair market value of the Company’s Common Stock on the date of grant. This 2020 grant will become vested with respect to one-third of the award on each of the first and second anniversaries of the grant date and on December 31, 2022 based on the continued provision of services through the applicable vesting date. Also pursuant to the Amended Employment Agreement, Mr. Goldstein will be entitled to receive a grant, under the terms of the 2014 Plan, during January 2021, of a number of shares of restricted stock determined by dividing $1,500,000by the fair market value of the Company’s Common Stock on the date of grant. The January 2021 grant will become vested with respect to one-half of the award on each of the first anniversary of the grant date and on December 31, 2022 based on the continued provision of services through the applicable vesting date. Further, pursuant to the Amended Employment Agreement, Mr. Goldstein is entitled to receive a grant, under the terms of the 2014 Plan, during each of 2020, 2021 and 2022, of a number of shares of restricted stock determined by dividing $136,500by the fair market value of the Company’s Common Stock on the date of grant. In January 2020, Mr. Goldstein was granted 17,191shares of restricted stock pursuant to this provision. This grant will become vested with respect to one-third of the award on each of the first and second anniversaries of the grant date and on December 31, 2022 based on the continued provision of services through the applicable vesting date. The 2021 grant will become vested with respect to one-half of the award on each of the first anniversary of the grant date and on December 31, 2022 based on the continued provision of services through the applicable vesting date. The 2022 grant will become vested on December 31, 2022 based on the continued provision of services through such date.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Dale A. Thatcher</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Effective July 19, 2019 (the “Separation Date”), Dale A. Thatcher retired and resigned his positions as Chief Executive Officer and President of the Company and KICO. At such time, he also resigned his positions on the Board of Directors of each of the Company and KICO. Effective upon Mr. Thatcher’s separation from employment, the Board appointed Barry B. Goldstein, former Chief Executive Officer and Executive Chairman of the Board of Directors, to the position of Chief Executive Officer and President of each of the Company and KICO. Mr. Goldstein previously served as Chief Executive Officer and President of the Company from March 2001 through December 31, 2018, and as Chief Executive Officer and President of KICO from January 2012 through December 31, 2018.</w:t>
      </w:r>
    </w:p>
    <w:p>
      <w:pPr>
        <w:spacing w:after="0" w:line="196"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In connection with his separation from employment, each of the Company and KICO entered into an Agreement and General Release (the “Separation Agreement”) with Mr. Thatcher. Pursuant to the Separation Agreement, the Company and KICO shall collectively provide the following payments and benefits to Mr. Thatcher in full satisfaction of all payments and benefits and other amounts due to him under the terms of the existing employment agreements upon his separation from employment: (i) $381,111 (representing the amount of base salary he would have received had he remained employed through March 31, 2020), (ii) $5,000 in full satisfaction for any bonus payments payable under the existing employment agreements, (iii) continuing group health coverage commencing on the Separation Date and ending on March 31, 2020, and (iv) continued vesting of all stock awards previously granted to Mr. Thatcher in his capacity as an executive officer but which were unvested as of the Separation Date (Mr. Thatcher shall not be entitled to any further grants of stock awards</w:t>
      </w:r>
    </w:p>
    <w:p>
      <w:pPr>
        <w:sectPr>
          <w:pgSz w:w="11900" w:h="16928" w:orient="portrait"/>
          <w:cols w:equalWidth="0" w:num="1">
            <w:col w:w="11240"/>
          </w:cols>
          <w:pgMar w:left="320" w:top="140" w:right="339" w:bottom="0" w:gutter="0" w:footer="0" w:header="0"/>
        </w:sectPr>
      </w:pPr>
    </w:p>
    <w:bookmarkStart w:id="24" w:name="page25"/>
    <w:bookmarkEnd w:id="24"/>
    <w:p>
      <w:pPr>
        <w:spacing w:after="0" w:line="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after the Separation Date). In addition, the Company and KICO agreed to provide Mr. Thatcher with a severance payment of $20,000in consideration for a release. Pursuant to the Separation Agreement, Mr. Thatcher agreed that, for a period of three years following the Separation Date, he shall not accept any operating executive role with another property and casualty insurance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Meryl Golden, Chief Operating Officer</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16, 2019, the Company and Meryl Golden entered into an employment agreement (the “Golden Employment Agreement”) pursuant to which Ms. Golden serves as the Company’s Chief Operating Officer. Ms. Golden also serves as KICO’s Chief Operating Officer. The Golden Employment Agreement became effective as of September 25, 2019 and expires on December 31, 2021.</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Pursuant to the Golden Employment Agreement, Ms. Golden is entitled to receive an annual salary of $500,000and was granted a five year option for the purchase of 50,000shares of the Company’s Common Stock pursuant to the 2014 Plan. The options granted will vest in three equal installments, with the first installment vesting on the grant date, and the remaining installments vesting on the first and second anniversaries following the grant date, subject to the terms of the stock option agreement between the Company and Ms. Golden.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w:t>
      </w:r>
    </w:p>
    <w:p>
      <w:pPr>
        <w:spacing w:after="0" w:line="216"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The outbreak of the coronavirus, also known as “COVID-19”, has spread across the globe and is impacting worldwide economic activity. Conditions surrounding the coronavirus continue to rapidly evolve and government authorities have implemented emergency measures to mitigate the spread of the virus. The outbreak and the related mitigation measures have had and will continue to have a material adverse impact on global economic conditions as well as on the Company’s business activities. The extent to which COVID-19 may impact the Company’s business activities will depend on future developments, such as the ultimate geographic spread of the disease, the duration of the outbreak, travel restrictions, business disruptions, and the effectiveness of actions taken in the United States and other countries to contain and treat the disease. These events are highly uncertain and, as such, the Company cannot determine their financial impact at this time. No adjustments have been made to the amounts reported in these condensed consolidated financial statements as a result of this matter.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Deferred Compensation Plan</w:t>
      </w:r>
    </w:p>
    <w:p>
      <w:pPr>
        <w:spacing w:after="0" w:line="222"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On June 18, 2018, the Company adopted the Kingstone Companies, Inc. Deferred Compensation Plan (the “Deferred Compensation Plan”). The Deferred Compensation Plan is offered to a select group (“Participants”), consisting of management and highly compensated employees as a method of recognizing and retaining such Participants. The Deferred Compensation Plan provides for eligible Participants to elect to defer up to 75% of their base compensation and up to 100% of bonuses and other compensation and to have such deferred amounts deemed to be invested in specified investment options. In addition to the Participant deferrals, the Company may choose to make matching contributions to some or all of the Participants in the Deferred Compensation Plan to the extent the Participant did not receive the maximum matching or non-elective contributions permissible under the Company’s 401(k) Plan due to limitations under the Internal Revenue Code or the 401(k) Plan. Participants may elect to receive payment of their account balances in a single cash payment or in annual installments for a period of up to ten years. The deferred compensation liability as of September 30, 2020 and December 31, 2019 amounted to $629,593and $599,274, respectively, and is recorded in accounts payable, accrued expenses and other liabilities in the accompanying condensed consolidated balance sheets. The Company did not make any voluntary contributions for the nine months ended September 30, 2020 and 2019.</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evaluated events that occurred subsequent to September 30, 2020 through the date these condensed consolidated financial statements were issued for matters that required disclosure or adjustment in these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 Declared</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4, 2020, the Company’s Board of Directors approved a quarterly dividend of $0.04 per share payable in cash on December 15, 2020 to stockholders of record as of the close of business on November 30, 2020 (see Note 8 – Stockholders’ Equity).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MANAGEMENT’S DISCUSSION AND ANALYSIS OF FINANCIAL CONDITION AND RESULTS OF OPERATIONS</w:t>
      </w:r>
      <w:r>
        <w:rPr>
          <w:rFonts w:ascii="Arial" w:cs="Arial" w:eastAsia="Arial" w:hAnsi="Arial"/>
          <w:sz w:val="18"/>
          <w:szCs w:val="18"/>
          <w:color w:val="auto"/>
        </w:rPr>
        <w:t>.</w:t>
      </w:r>
    </w:p>
    <w:p>
      <w:pPr>
        <w:spacing w:after="0" w:line="222" w:lineRule="exact"/>
        <w:rPr>
          <w:sz w:val="20"/>
          <w:szCs w:val="20"/>
          <w:color w:val="auto"/>
        </w:rPr>
      </w:pPr>
    </w:p>
    <w:p>
      <w:pPr>
        <w:jc w:val="both"/>
        <w:ind w:firstLine="634"/>
        <w:spacing w:after="0" w:line="267" w:lineRule="auto"/>
        <w:rPr>
          <w:sz w:val="20"/>
          <w:szCs w:val="20"/>
          <w:color w:val="auto"/>
        </w:rPr>
      </w:pPr>
      <w:r>
        <w:rPr>
          <w:rFonts w:ascii="Arial" w:cs="Arial" w:eastAsia="Arial" w:hAnsi="Arial"/>
          <w:sz w:val="17"/>
          <w:szCs w:val="17"/>
          <w:color w:val="auto"/>
        </w:rPr>
        <w:t>We offer property and casualty insurance products to individuals through our wholly owned subsidiary, Kingstone Insurance Company (“KICO”). KICO’s insureds are located primarily in downstate New York, consisting of New York City, Long Island and Westchester County, although we are actively writing business in New Jersey, Rhode Island, Connecticut and Massachusetts. We are licensed in the States of New York, New Jersey, Rhode Island, Connecticut, Massachusetts, Pennsylvania, Maine, and New Hampshire. For the three and nine months ended September 30, 2020, respectively, 80.6% and 79.9% of KICO’s direct written premiums came from the New York policies.</w:t>
      </w:r>
    </w:p>
    <w:p>
      <w:pPr>
        <w:spacing w:after="0" w:line="180" w:lineRule="exact"/>
        <w:rPr>
          <w:sz w:val="20"/>
          <w:szCs w:val="20"/>
          <w:color w:val="auto"/>
        </w:rPr>
      </w:pPr>
    </w:p>
    <w:p>
      <w:pPr>
        <w:jc w:val="both"/>
        <w:ind w:firstLine="634"/>
        <w:spacing w:after="0" w:line="307" w:lineRule="auto"/>
        <w:rPr>
          <w:sz w:val="20"/>
          <w:szCs w:val="20"/>
          <w:color w:val="auto"/>
        </w:rPr>
      </w:pPr>
      <w:r>
        <w:rPr>
          <w:rFonts w:ascii="Arial" w:cs="Arial" w:eastAsia="Arial" w:hAnsi="Arial"/>
          <w:sz w:val="15"/>
          <w:szCs w:val="15"/>
          <w:color w:val="auto"/>
        </w:rPr>
        <w:t>In addition, through our subsidiary, Cosi Agency, Inc. (“Cosi”), a multi-state licensed general agency, we access alternative distribution channels. Through Cosi, we have the opportunity to partner with name-brand carriers and access nationwide insurance agencies. See “Distribution Channels” below for a discussion of our distribution channels. Cosi receives commission revenue from KICO for the policies it places with others and pays commissions to these agencies. Cosi retains the profit between the commission revenue received and the commission expense paid. Net Cosi revenue is eliminated against commission expense and Cosi related expenses are included in other operating expenses. Cosi related expenses are not included in our stand-alone insurance underwriting business and, accordingly, its expenses are not included in the calculation of our combined ratio as described below.</w:t>
      </w:r>
    </w:p>
    <w:p>
      <w:pPr>
        <w:spacing w:after="0" w:line="155" w:lineRule="exact"/>
        <w:rPr>
          <w:sz w:val="20"/>
          <w:szCs w:val="20"/>
          <w:color w:val="auto"/>
        </w:rPr>
      </w:pPr>
    </w:p>
    <w:p>
      <w:pPr>
        <w:jc w:val="both"/>
        <w:ind w:firstLine="634"/>
        <w:spacing w:after="0" w:line="311" w:lineRule="auto"/>
        <w:rPr>
          <w:sz w:val="20"/>
          <w:szCs w:val="20"/>
          <w:color w:val="auto"/>
        </w:rPr>
      </w:pPr>
      <w:r>
        <w:rPr>
          <w:rFonts w:ascii="Arial" w:cs="Arial" w:eastAsia="Arial" w:hAnsi="Arial"/>
          <w:sz w:val="15"/>
          <w:szCs w:val="15"/>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one-year term. Earned premiums represent premiums received from insureds, which are recognized as revenue over the period of time that insurance coverage is provided (i.e., ratably over the one-year life of the policy). A significant period of time can elapse from the receipt of insurance premiums to the payment of insurance claims. During this time, KICO invests the premiums, earns investment income and generates net realized and</w:t>
      </w:r>
    </w:p>
    <w:p>
      <w:pPr>
        <w:sectPr>
          <w:pgSz w:w="11900" w:h="16868" w:orient="portrait"/>
          <w:cols w:equalWidth="0" w:num="1">
            <w:col w:w="11240"/>
          </w:cols>
          <w:pgMar w:left="320" w:top="127" w:right="339" w:bottom="0" w:gutter="0" w:footer="0" w:header="0"/>
        </w:sectPr>
      </w:pPr>
    </w:p>
    <w:bookmarkStart w:id="25" w:name="page26"/>
    <w:bookmarkEnd w:id="25"/>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unrealized investment gains and losses on investments. Our holding company earns investment income from its cash holdings and may also generate net realized and unrealized investment gains and losses on future investments.</w:t>
      </w:r>
    </w:p>
    <w:p>
      <w:pPr>
        <w:spacing w:after="0" w:line="180"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Other operating expenses include our corporate expenses as a holding company and operating expenses of Cosi. These corporate expenses include legal and auditing fees, executive employment costs, and other costs directly associated with being a public company. Cosi operating expenses primarily include employment costs and consulting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Lines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product lines include the following:</w:t>
      </w:r>
    </w:p>
    <w:p>
      <w:pPr>
        <w:spacing w:after="0" w:line="216"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b w:val="1"/>
          <w:bCs w:val="1"/>
          <w:i w:val="1"/>
          <w:iCs w:val="1"/>
          <w:color w:val="auto"/>
        </w:rPr>
        <w:t xml:space="preserve">Personal lines: </w:t>
      </w:r>
      <w:r>
        <w:rPr>
          <w:rFonts w:ascii="Arial" w:cs="Arial" w:eastAsia="Arial" w:hAnsi="Arial"/>
          <w:sz w:val="18"/>
          <w:szCs w:val="18"/>
          <w:color w:val="auto"/>
        </w:rPr>
        <w:t>Our largest line of business is personal lines, consisting of homeowners, dwelling fire, cooperative/condominium, renters,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 umbrella policies.</w:t>
      </w:r>
    </w:p>
    <w:p>
      <w:pPr>
        <w:spacing w:after="0" w:line="180" w:lineRule="exact"/>
        <w:rPr>
          <w:sz w:val="20"/>
          <w:szCs w:val="20"/>
          <w:color w:val="auto"/>
        </w:rPr>
      </w:pPr>
    </w:p>
    <w:p>
      <w:pPr>
        <w:jc w:val="both"/>
        <w:ind w:firstLine="691"/>
        <w:spacing w:after="0" w:line="270" w:lineRule="auto"/>
        <w:rPr>
          <w:sz w:val="20"/>
          <w:szCs w:val="20"/>
          <w:color w:val="auto"/>
        </w:rPr>
      </w:pPr>
      <w:r>
        <w:rPr>
          <w:rFonts w:ascii="Arial" w:cs="Arial" w:eastAsia="Arial" w:hAnsi="Arial"/>
          <w:sz w:val="17"/>
          <w:szCs w:val="17"/>
          <w:b w:val="1"/>
          <w:bCs w:val="1"/>
          <w:i w:val="1"/>
          <w:iCs w:val="1"/>
          <w:color w:val="auto"/>
        </w:rPr>
        <w:t xml:space="preserve">Commercial liability: </w:t>
      </w:r>
      <w:r>
        <w:rPr>
          <w:rFonts w:ascii="Arial" w:cs="Arial" w:eastAsia="Arial" w:hAnsi="Arial"/>
          <w:sz w:val="17"/>
          <w:szCs w:val="17"/>
          <w:color w:val="auto"/>
        </w:rPr>
        <w:t>Through July 2019, we offered businessowners policies, which consist primarily of small business retail, service, and office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risks, with 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pacing w:after="0" w:line="177" w:lineRule="exact"/>
        <w:rPr>
          <w:sz w:val="20"/>
          <w:szCs w:val="20"/>
          <w:color w:val="auto"/>
        </w:rPr>
      </w:pPr>
    </w:p>
    <w:p>
      <w:pPr>
        <w:jc w:val="both"/>
        <w:ind w:firstLine="634"/>
        <w:spacing w:after="0" w:line="311" w:lineRule="auto"/>
        <w:rPr>
          <w:sz w:val="20"/>
          <w:szCs w:val="20"/>
          <w:color w:val="auto"/>
        </w:rPr>
      </w:pPr>
      <w:r>
        <w:rPr>
          <w:rFonts w:ascii="Arial" w:cs="Arial" w:eastAsia="Arial" w:hAnsi="Arial"/>
          <w:sz w:val="15"/>
          <w:szCs w:val="15"/>
          <w:color w:val="auto"/>
        </w:rPr>
        <w:t>In May 2019, due to the poor performance of this line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 force policies for these lines are being non-renewed at the end of their current annual terms. For the three months and nine months ended September 30, 2020, these policies represent approximately 0.9% and 3.4%, respectively of net premiums earned and as of September 30, 2020, 36.8% of loss and LAE reserves net of reinsurance recoverables. See discussion below under “Additional Financial Information”.</w:t>
      </w:r>
    </w:p>
    <w:p>
      <w:pPr>
        <w:spacing w:after="0" w:line="150"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b w:val="1"/>
          <w:bCs w:val="1"/>
          <w:i w:val="1"/>
          <w:iCs w:val="1"/>
          <w:color w:val="auto"/>
        </w:rPr>
        <w:t xml:space="preserve">Livery physical damage: </w:t>
      </w:r>
      <w:r>
        <w:rPr>
          <w:rFonts w:ascii="Arial" w:cs="Arial" w:eastAsia="Arial" w:hAnsi="Arial"/>
          <w:sz w:val="18"/>
          <w:szCs w:val="18"/>
          <w:color w:val="auto"/>
        </w:rPr>
        <w:t>We write for-hire vehicle physical damage only policies for livery and car service vehicles and taxicabs. These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insure only the physical damage portion of insurance for such vehicles, with no liability coverage included.</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We write canine legal liability policies and have a small participation in mandatory state joint underwriting associations.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Measures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utilize the following key measures in analyzing the results of our insurance underwriting business:</w:t>
      </w:r>
    </w:p>
    <w:p>
      <w:pPr>
        <w:spacing w:after="0" w:line="216"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b w:val="1"/>
          <w:bCs w:val="1"/>
          <w:i w:val="1"/>
          <w:iCs w:val="1"/>
          <w:color w:val="auto"/>
        </w:rPr>
        <w:t xml:space="preserve">Net loss ratio: </w:t>
      </w:r>
      <w:r>
        <w:rPr>
          <w:rFonts w:ascii="Arial" w:cs="Arial" w:eastAsia="Arial" w:hAnsi="Arial"/>
          <w:sz w:val="18"/>
          <w:szCs w:val="18"/>
          <w:color w:val="auto"/>
        </w:rPr>
        <w:t>The net loss ratio is a measure of the underwriting profitability of an insurance company’s business. Expressed as a percentage, this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ratio of net losses and LAE incurred to net premiums earned.</w:t>
      </w:r>
    </w:p>
    <w:p>
      <w:pPr>
        <w:spacing w:after="0" w:line="180" w:lineRule="exact"/>
        <w:rPr>
          <w:sz w:val="20"/>
          <w:szCs w:val="20"/>
          <w:color w:val="auto"/>
        </w:rPr>
      </w:pPr>
    </w:p>
    <w:p>
      <w:pPr>
        <w:jc w:val="both"/>
        <w:ind w:firstLine="634"/>
        <w:spacing w:after="0" w:line="276" w:lineRule="auto"/>
        <w:rPr>
          <w:sz w:val="20"/>
          <w:szCs w:val="20"/>
          <w:color w:val="auto"/>
        </w:rPr>
      </w:pPr>
      <w:r>
        <w:rPr>
          <w:rFonts w:ascii="Arial" w:cs="Arial" w:eastAsia="Arial" w:hAnsi="Arial"/>
          <w:sz w:val="17"/>
          <w:szCs w:val="17"/>
          <w:b w:val="1"/>
          <w:bCs w:val="1"/>
          <w:i w:val="1"/>
          <w:iCs w:val="1"/>
          <w:color w:val="auto"/>
        </w:rPr>
        <w:t xml:space="preserve">Net underwriting expense ratio: </w:t>
      </w:r>
      <w:r>
        <w:rPr>
          <w:rFonts w:ascii="Arial" w:cs="Arial" w:eastAsia="Arial" w:hAnsi="Arial"/>
          <w:sz w:val="17"/>
          <w:szCs w:val="17"/>
          <w:color w:val="auto"/>
        </w:rPr>
        <w:t>The net underwriting expense ratio is a measure of an insurance company’s operational efficiency in administering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its 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71"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b w:val="1"/>
          <w:bCs w:val="1"/>
          <w:i w:val="1"/>
          <w:iCs w:val="1"/>
          <w:color w:val="auto"/>
        </w:rPr>
        <w:t xml:space="preserve">Net combined ratio: </w:t>
      </w:r>
      <w:r>
        <w:rPr>
          <w:rFonts w:ascii="Arial" w:cs="Arial" w:eastAsia="Arial" w:hAnsi="Arial"/>
          <w:sz w:val="18"/>
          <w:szCs w:val="18"/>
          <w:color w:val="auto"/>
        </w:rPr>
        <w:t>The net combined ratio is a measure of an insurance company’s overall underwriting profit. This is the sum of the net loss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underwriting expense ratios. If the net combined ratio is at or above 100 percent, an insurance company cannot be profitable without investment income, and may not be profitable if investment income is insufficient.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b w:val="1"/>
          <w:bCs w:val="1"/>
          <w:i w:val="1"/>
          <w:iCs w:val="1"/>
          <w:color w:val="auto"/>
        </w:rPr>
        <w:t xml:space="preserve">Underwriting income: </w:t>
      </w:r>
      <w:r>
        <w:rPr>
          <w:rFonts w:ascii="Arial" w:cs="Arial" w:eastAsia="Arial" w:hAnsi="Arial"/>
          <w:sz w:val="18"/>
          <w:szCs w:val="18"/>
          <w:color w:val="auto"/>
        </w:rPr>
        <w:t>Underwriting income is net pre-tax income attributable to our insurance underwriting business before investment activity.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Channels</w:t>
      </w:r>
    </w:p>
    <w:p>
      <w:pPr>
        <w:spacing w:after="0" w:line="222"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During 2019, we initiated an alternative distribution program through Cosi (“Alternative Distribution”). The goal of this program is to enhance our personal lines distribution channel to include nationally recognized name-brand carriers along with nationwide call center and digital insurance agencies. While still in early stages of development, the impact of this initiative can be measured by the amount of new premiums written compared to total premiums written, which includes renewals from our independent agency network. The table below shows premiums written by distribution channel for our homeowners and dwelling fire components of personal lines.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20" w:type="dxa"/>
            <w:vAlign w:val="bottom"/>
          </w:tcPr>
          <w:p>
            <w:pPr>
              <w:spacing w:after="0"/>
              <w:rPr>
                <w:sz w:val="18"/>
                <w:szCs w:val="18"/>
                <w:color w:val="auto"/>
              </w:rPr>
            </w:pPr>
          </w:p>
        </w:tc>
        <w:tc>
          <w:tcPr>
            <w:tcW w:w="1760" w:type="dxa"/>
            <w:vAlign w:val="bottom"/>
            <w:gridSpan w:val="3"/>
          </w:tcPr>
          <w:p>
            <w:pPr>
              <w:ind w:left="160"/>
              <w:spacing w:after="0"/>
              <w:rPr>
                <w:sz w:val="20"/>
                <w:szCs w:val="20"/>
                <w:color w:val="auto"/>
              </w:rPr>
            </w:pPr>
            <w:r>
              <w:rPr>
                <w:rFonts w:ascii="Arial" w:cs="Arial" w:eastAsia="Arial" w:hAnsi="Arial"/>
                <w:sz w:val="18"/>
                <w:szCs w:val="18"/>
                <w:color w:val="auto"/>
                <w:w w:val="95"/>
              </w:rPr>
              <w:t>Three months ended</w:t>
            </w:r>
          </w:p>
        </w:tc>
        <w:tc>
          <w:tcPr>
            <w:tcW w:w="160" w:type="dxa"/>
            <w:vAlign w:val="bottom"/>
          </w:tcPr>
          <w:p>
            <w:pPr>
              <w:spacing w:after="0"/>
              <w:rPr>
                <w:sz w:val="18"/>
                <w:szCs w:val="18"/>
                <w:color w:val="auto"/>
              </w:rPr>
            </w:pPr>
          </w:p>
        </w:tc>
        <w:tc>
          <w:tcPr>
            <w:tcW w:w="1880" w:type="dxa"/>
            <w:vAlign w:val="bottom"/>
            <w:gridSpan w:val="3"/>
          </w:tcPr>
          <w:p>
            <w:pPr>
              <w:ind w:left="280"/>
              <w:spacing w:after="0"/>
              <w:rPr>
                <w:sz w:val="20"/>
                <w:szCs w:val="20"/>
                <w:color w:val="auto"/>
              </w:rPr>
            </w:pPr>
            <w:r>
              <w:rPr>
                <w:rFonts w:ascii="Arial" w:cs="Arial" w:eastAsia="Arial" w:hAnsi="Arial"/>
                <w:sz w:val="18"/>
                <w:szCs w:val="18"/>
                <w:color w:val="auto"/>
                <w:w w:val="95"/>
              </w:rPr>
              <w:t>Three months ended</w:t>
            </w:r>
          </w:p>
        </w:tc>
        <w:tc>
          <w:tcPr>
            <w:tcW w:w="160" w:type="dxa"/>
            <w:vAlign w:val="bottom"/>
          </w:tcPr>
          <w:p>
            <w:pPr>
              <w:spacing w:after="0"/>
              <w:rPr>
                <w:sz w:val="18"/>
                <w:szCs w:val="18"/>
                <w:color w:val="auto"/>
              </w:rPr>
            </w:pPr>
          </w:p>
        </w:tc>
        <w:tc>
          <w:tcPr>
            <w:tcW w:w="1880" w:type="dxa"/>
            <w:vAlign w:val="bottom"/>
            <w:gridSpan w:val="3"/>
          </w:tcPr>
          <w:p>
            <w:pPr>
              <w:ind w:left="300"/>
              <w:spacing w:after="0"/>
              <w:rPr>
                <w:sz w:val="20"/>
                <w:szCs w:val="20"/>
                <w:color w:val="auto"/>
              </w:rPr>
            </w:pPr>
            <w:r>
              <w:rPr>
                <w:rFonts w:ascii="Arial" w:cs="Arial" w:eastAsia="Arial" w:hAnsi="Arial"/>
                <w:sz w:val="18"/>
                <w:szCs w:val="18"/>
                <w:color w:val="auto"/>
                <w:w w:val="99"/>
              </w:rPr>
              <w:t>Nine months ended</w:t>
            </w:r>
          </w:p>
        </w:tc>
        <w:tc>
          <w:tcPr>
            <w:tcW w:w="140" w:type="dxa"/>
            <w:vAlign w:val="bottom"/>
          </w:tcPr>
          <w:p>
            <w:pPr>
              <w:spacing w:after="0"/>
              <w:rPr>
                <w:sz w:val="18"/>
                <w:szCs w:val="18"/>
                <w:color w:val="auto"/>
              </w:rPr>
            </w:pPr>
          </w:p>
        </w:tc>
        <w:tc>
          <w:tcPr>
            <w:tcW w:w="1880" w:type="dxa"/>
            <w:vAlign w:val="bottom"/>
            <w:gridSpan w:val="3"/>
          </w:tcPr>
          <w:p>
            <w:pPr>
              <w:ind w:left="320"/>
              <w:spacing w:after="0"/>
              <w:rPr>
                <w:sz w:val="20"/>
                <w:szCs w:val="20"/>
                <w:color w:val="auto"/>
              </w:rPr>
            </w:pPr>
            <w:r>
              <w:rPr>
                <w:rFonts w:ascii="Arial" w:cs="Arial" w:eastAsia="Arial" w:hAnsi="Arial"/>
                <w:sz w:val="18"/>
                <w:szCs w:val="18"/>
                <w:color w:val="auto"/>
                <w:w w:val="98"/>
              </w:rPr>
              <w:t>Nine months ended</w:t>
            </w:r>
          </w:p>
        </w:tc>
        <w:tc>
          <w:tcPr>
            <w:tcW w:w="160" w:type="dxa"/>
            <w:vAlign w:val="bottom"/>
          </w:tcPr>
          <w:p>
            <w:pPr>
              <w:spacing w:after="0"/>
              <w:rPr>
                <w:sz w:val="18"/>
                <w:szCs w:val="18"/>
                <w:color w:val="auto"/>
              </w:rPr>
            </w:pPr>
          </w:p>
        </w:tc>
      </w:tr>
      <w:tr>
        <w:trPr>
          <w:trHeight w:val="224"/>
        </w:trPr>
        <w:tc>
          <w:tcPr>
            <w:tcW w:w="3220" w:type="dxa"/>
            <w:vAlign w:val="bottom"/>
          </w:tcPr>
          <w:p>
            <w:pPr>
              <w:spacing w:after="0"/>
              <w:rPr>
                <w:sz w:val="20"/>
                <w:szCs w:val="20"/>
                <w:color w:val="auto"/>
              </w:rPr>
            </w:pPr>
            <w:r>
              <w:rPr>
                <w:rFonts w:ascii="Arial" w:cs="Arial" w:eastAsia="Arial" w:hAnsi="Arial"/>
                <w:sz w:val="18"/>
                <w:szCs w:val="18"/>
                <w:color w:val="auto"/>
              </w:rPr>
              <w:t>($ in thousands)</w:t>
            </w:r>
          </w:p>
        </w:tc>
        <w:tc>
          <w:tcPr>
            <w:tcW w:w="17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5"/>
              </w:rPr>
              <w:t>September 30, 2020</w:t>
            </w:r>
          </w:p>
        </w:tc>
        <w:tc>
          <w:tcPr>
            <w:tcW w:w="160" w:type="dxa"/>
            <w:vAlign w:val="bottom"/>
          </w:tcPr>
          <w:p>
            <w:pPr>
              <w:spacing w:after="0"/>
              <w:rPr>
                <w:sz w:val="19"/>
                <w:szCs w:val="19"/>
                <w:color w:val="auto"/>
              </w:rPr>
            </w:pPr>
          </w:p>
        </w:tc>
        <w:tc>
          <w:tcPr>
            <w:tcW w:w="188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w w:val="96"/>
              </w:rPr>
              <w:t>September 30, 2019</w:t>
            </w:r>
          </w:p>
        </w:tc>
        <w:tc>
          <w:tcPr>
            <w:tcW w:w="160" w:type="dxa"/>
            <w:vAlign w:val="bottom"/>
          </w:tcPr>
          <w:p>
            <w:pPr>
              <w:spacing w:after="0"/>
              <w:rPr>
                <w:sz w:val="19"/>
                <w:szCs w:val="19"/>
                <w:color w:val="auto"/>
              </w:rPr>
            </w:pPr>
          </w:p>
        </w:tc>
        <w:tc>
          <w:tcPr>
            <w:tcW w:w="188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w w:val="96"/>
              </w:rPr>
              <w:t>September 30, 2020</w:t>
            </w:r>
          </w:p>
        </w:tc>
        <w:tc>
          <w:tcPr>
            <w:tcW w:w="140" w:type="dxa"/>
            <w:vAlign w:val="bottom"/>
          </w:tcPr>
          <w:p>
            <w:pPr>
              <w:spacing w:after="0"/>
              <w:rPr>
                <w:sz w:val="19"/>
                <w:szCs w:val="19"/>
                <w:color w:val="auto"/>
              </w:rPr>
            </w:pPr>
          </w:p>
        </w:tc>
        <w:tc>
          <w:tcPr>
            <w:tcW w:w="188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color w:val="auto"/>
                <w:w w:val="95"/>
              </w:rPr>
              <w:t>September 30, 2019</w:t>
            </w:r>
          </w:p>
        </w:tc>
        <w:tc>
          <w:tcPr>
            <w:tcW w:w="160" w:type="dxa"/>
            <w:vAlign w:val="bottom"/>
          </w:tcPr>
          <w:p>
            <w:pPr>
              <w:spacing w:after="0"/>
              <w:rPr>
                <w:sz w:val="19"/>
                <w:szCs w:val="19"/>
                <w:color w:val="auto"/>
              </w:rPr>
            </w:pPr>
          </w:p>
        </w:tc>
      </w:tr>
      <w:tr>
        <w:trPr>
          <w:trHeight w:val="204"/>
        </w:trPr>
        <w:tc>
          <w:tcPr>
            <w:tcW w:w="3220" w:type="dxa"/>
            <w:vAlign w:val="bottom"/>
          </w:tcPr>
          <w:p>
            <w:pPr>
              <w:spacing w:after="0" w:line="205" w:lineRule="exact"/>
              <w:rPr>
                <w:sz w:val="20"/>
                <w:szCs w:val="20"/>
                <w:color w:val="auto"/>
              </w:rPr>
            </w:pPr>
            <w:r>
              <w:rPr>
                <w:rFonts w:ascii="Arial" w:cs="Arial" w:eastAsia="Arial" w:hAnsi="Arial"/>
                <w:sz w:val="18"/>
                <w:szCs w:val="18"/>
                <w:color w:val="auto"/>
              </w:rPr>
              <w:t>Direct Written Pemiums</w:t>
            </w:r>
          </w:p>
        </w:tc>
        <w:tc>
          <w:tcPr>
            <w:tcW w:w="780" w:type="dxa"/>
            <w:vAlign w:val="bottom"/>
            <w:tcBorders>
              <w:bottom w:val="single" w:sz="8" w:color="auto"/>
            </w:tcBorders>
          </w:tcPr>
          <w:p>
            <w:pPr>
              <w:ind w:left="100"/>
              <w:spacing w:after="0" w:line="205" w:lineRule="exact"/>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7"/>
                <w:szCs w:val="17"/>
                <w:color w:val="auto"/>
              </w:rPr>
            </w:pPr>
          </w:p>
        </w:tc>
        <w:tc>
          <w:tcPr>
            <w:tcW w:w="880" w:type="dxa"/>
            <w:vAlign w:val="bottom"/>
            <w:tcBorders>
              <w:bottom w:val="single" w:sz="8" w:color="auto"/>
            </w:tcBorders>
          </w:tcPr>
          <w:p>
            <w:pPr>
              <w:ind w:left="240"/>
              <w:spacing w:after="0" w:line="205" w:lineRule="exact"/>
              <w:rPr>
                <w:sz w:val="20"/>
                <w:szCs w:val="20"/>
                <w:color w:val="auto"/>
              </w:rPr>
            </w:pPr>
            <w:r>
              <w:rPr>
                <w:rFonts w:ascii="Arial" w:cs="Arial" w:eastAsia="Arial" w:hAnsi="Arial"/>
                <w:sz w:val="18"/>
                <w:szCs w:val="18"/>
                <w:color w:val="auto"/>
                <w:w w:val="99"/>
              </w:rPr>
              <w:t>Percent</w:t>
            </w:r>
          </w:p>
        </w:tc>
        <w:tc>
          <w:tcPr>
            <w:tcW w:w="160" w:type="dxa"/>
            <w:vAlign w:val="bottom"/>
          </w:tcPr>
          <w:p>
            <w:pPr>
              <w:spacing w:after="0"/>
              <w:rPr>
                <w:sz w:val="17"/>
                <w:szCs w:val="17"/>
                <w:color w:val="auto"/>
              </w:rPr>
            </w:pPr>
          </w:p>
        </w:tc>
        <w:tc>
          <w:tcPr>
            <w:tcW w:w="880" w:type="dxa"/>
            <w:vAlign w:val="bottom"/>
            <w:tcBorders>
              <w:bottom w:val="single" w:sz="8" w:color="auto"/>
            </w:tcBorders>
          </w:tcPr>
          <w:p>
            <w:pPr>
              <w:ind w:left="200"/>
              <w:spacing w:after="0" w:line="205" w:lineRule="exact"/>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7"/>
                <w:szCs w:val="17"/>
                <w:color w:val="auto"/>
              </w:rPr>
            </w:pPr>
          </w:p>
        </w:tc>
        <w:tc>
          <w:tcPr>
            <w:tcW w:w="880" w:type="dxa"/>
            <w:vAlign w:val="bottom"/>
            <w:tcBorders>
              <w:bottom w:val="single" w:sz="8" w:color="auto"/>
            </w:tcBorders>
          </w:tcPr>
          <w:p>
            <w:pPr>
              <w:ind w:left="220"/>
              <w:spacing w:after="0" w:line="205" w:lineRule="exact"/>
              <w:rPr>
                <w:sz w:val="20"/>
                <w:szCs w:val="20"/>
                <w:color w:val="auto"/>
              </w:rPr>
            </w:pPr>
            <w:r>
              <w:rPr>
                <w:rFonts w:ascii="Arial" w:cs="Arial" w:eastAsia="Arial" w:hAnsi="Arial"/>
                <w:sz w:val="18"/>
                <w:szCs w:val="18"/>
                <w:color w:val="auto"/>
              </w:rPr>
              <w:t>Percent</w:t>
            </w:r>
          </w:p>
        </w:tc>
        <w:tc>
          <w:tcPr>
            <w:tcW w:w="160" w:type="dxa"/>
            <w:vAlign w:val="bottom"/>
          </w:tcPr>
          <w:p>
            <w:pPr>
              <w:spacing w:after="0"/>
              <w:rPr>
                <w:sz w:val="17"/>
                <w:szCs w:val="17"/>
                <w:color w:val="auto"/>
              </w:rPr>
            </w:pPr>
          </w:p>
        </w:tc>
        <w:tc>
          <w:tcPr>
            <w:tcW w:w="880" w:type="dxa"/>
            <w:vAlign w:val="bottom"/>
            <w:tcBorders>
              <w:bottom w:val="single" w:sz="8" w:color="auto"/>
            </w:tcBorders>
          </w:tcPr>
          <w:p>
            <w:pPr>
              <w:ind w:left="200"/>
              <w:spacing w:after="0" w:line="205" w:lineRule="exact"/>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7"/>
                <w:szCs w:val="17"/>
                <w:color w:val="auto"/>
              </w:rPr>
            </w:pPr>
          </w:p>
        </w:tc>
        <w:tc>
          <w:tcPr>
            <w:tcW w:w="900" w:type="dxa"/>
            <w:vAlign w:val="bottom"/>
            <w:tcBorders>
              <w:bottom w:val="single" w:sz="8" w:color="auto"/>
            </w:tcBorders>
          </w:tcPr>
          <w:p>
            <w:pPr>
              <w:ind w:left="240"/>
              <w:spacing w:after="0" w:line="205" w:lineRule="exact"/>
              <w:rPr>
                <w:sz w:val="20"/>
                <w:szCs w:val="20"/>
                <w:color w:val="auto"/>
              </w:rPr>
            </w:pPr>
            <w:r>
              <w:rPr>
                <w:rFonts w:ascii="Arial" w:cs="Arial" w:eastAsia="Arial" w:hAnsi="Arial"/>
                <w:sz w:val="18"/>
                <w:szCs w:val="18"/>
                <w:color w:val="auto"/>
              </w:rPr>
              <w:t>Percent</w:t>
            </w:r>
          </w:p>
        </w:tc>
        <w:tc>
          <w:tcPr>
            <w:tcW w:w="140" w:type="dxa"/>
            <w:vAlign w:val="bottom"/>
          </w:tcPr>
          <w:p>
            <w:pPr>
              <w:spacing w:after="0"/>
              <w:rPr>
                <w:sz w:val="17"/>
                <w:szCs w:val="17"/>
                <w:color w:val="auto"/>
              </w:rPr>
            </w:pPr>
          </w:p>
        </w:tc>
        <w:tc>
          <w:tcPr>
            <w:tcW w:w="900" w:type="dxa"/>
            <w:vAlign w:val="bottom"/>
            <w:tcBorders>
              <w:bottom w:val="single" w:sz="8" w:color="auto"/>
            </w:tcBorders>
          </w:tcPr>
          <w:p>
            <w:pPr>
              <w:ind w:left="220"/>
              <w:spacing w:after="0" w:line="205" w:lineRule="exact"/>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7"/>
                <w:szCs w:val="17"/>
                <w:color w:val="auto"/>
              </w:rPr>
            </w:pPr>
          </w:p>
        </w:tc>
        <w:tc>
          <w:tcPr>
            <w:tcW w:w="880" w:type="dxa"/>
            <w:vAlign w:val="bottom"/>
            <w:tcBorders>
              <w:bottom w:val="single" w:sz="8" w:color="auto"/>
            </w:tcBorders>
          </w:tcPr>
          <w:p>
            <w:pPr>
              <w:ind w:left="240"/>
              <w:spacing w:after="0" w:line="205" w:lineRule="exact"/>
              <w:rPr>
                <w:sz w:val="20"/>
                <w:szCs w:val="20"/>
                <w:color w:val="auto"/>
              </w:rPr>
            </w:pPr>
            <w:r>
              <w:rPr>
                <w:rFonts w:ascii="Arial" w:cs="Arial" w:eastAsia="Arial" w:hAnsi="Arial"/>
                <w:sz w:val="18"/>
                <w:szCs w:val="18"/>
                <w:color w:val="auto"/>
                <w:w w:val="99"/>
              </w:rPr>
              <w:t>Percent</w:t>
            </w:r>
          </w:p>
        </w:tc>
        <w:tc>
          <w:tcPr>
            <w:tcW w:w="160" w:type="dxa"/>
            <w:vAlign w:val="bottom"/>
          </w:tcPr>
          <w:p>
            <w:pPr>
              <w:spacing w:after="0"/>
              <w:rPr>
                <w:sz w:val="17"/>
                <w:szCs w:val="17"/>
                <w:color w:val="auto"/>
              </w:rPr>
            </w:pPr>
          </w:p>
        </w:tc>
      </w:tr>
      <w:tr>
        <w:trPr>
          <w:trHeight w:val="239"/>
        </w:trPr>
        <w:tc>
          <w:tcPr>
            <w:tcW w:w="32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bl>
    <w:p>
      <w:pPr>
        <w:sectPr>
          <w:pgSz w:w="11900" w:h="16900" w:orient="portrait"/>
          <w:cols w:equalWidth="0" w:num="1">
            <w:col w:w="11240"/>
          </w:cols>
          <w:pgMar w:left="320" w:top="127" w:right="3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Core Independent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33,325</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32,430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91,752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89,712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Expansion Independent (1)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9,001</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7,188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22,343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16,681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Alternative Distribution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through Cosi</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3080" w:type="dxa"/>
            <w:vAlign w:val="bottom"/>
          </w:tcPr>
          <w:p>
            <w:pPr>
              <w:spacing w:after="0" w:line="205" w:lineRule="exact"/>
              <w:rPr>
                <w:sz w:val="20"/>
                <w:szCs w:val="20"/>
                <w:color w:val="auto"/>
              </w:rPr>
            </w:pPr>
            <w:r>
              <w:rPr>
                <w:rFonts w:ascii="Arial" w:cs="Arial" w:eastAsia="Arial" w:hAnsi="Arial"/>
                <w:sz w:val="18"/>
                <w:szCs w:val="18"/>
                <w:color w:val="auto"/>
              </w:rPr>
              <w:t>Total</w:t>
            </w:r>
          </w:p>
        </w:tc>
        <w:tc>
          <w:tcPr>
            <w:tcW w:w="3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5" w:lineRule="exact"/>
              <w:rPr>
                <w:sz w:val="20"/>
                <w:szCs w:val="20"/>
                <w:color w:val="auto"/>
              </w:rPr>
            </w:pPr>
            <w:r>
              <w:rPr>
                <w:rFonts w:ascii="Arial" w:cs="Arial" w:eastAsia="Arial" w:hAnsi="Arial"/>
                <w:sz w:val="18"/>
                <w:szCs w:val="18"/>
                <w:color w:val="auto"/>
              </w:rPr>
              <w:t>43,582</w:t>
            </w: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204" w:lineRule="exact"/>
              <w:rPr>
                <w:sz w:val="20"/>
                <w:szCs w:val="20"/>
                <w:color w:val="auto"/>
              </w:rPr>
            </w:pPr>
            <w:r>
              <w:rPr>
                <w:rFonts w:ascii="Arial" w:cs="Arial" w:eastAsia="Arial" w:hAnsi="Arial"/>
                <w:sz w:val="13"/>
                <w:szCs w:val="13"/>
                <w:color w:val="auto"/>
              </w:rPr>
              <w:t>100.0</w:t>
            </w:r>
            <w:r>
              <w:rPr>
                <w:rFonts w:ascii="Arial" w:cs="Arial" w:eastAsia="Arial" w:hAnsi="Arial"/>
                <w:sz w:val="23"/>
                <w:szCs w:val="23"/>
                <w:color w:val="auto"/>
                <w:vertAlign w:val="subscript"/>
              </w:rPr>
              <w:t>%</w:t>
            </w:r>
          </w:p>
        </w:tc>
        <w:tc>
          <w:tcPr>
            <w:tcW w:w="200" w:type="dxa"/>
            <w:vAlign w:val="bottom"/>
          </w:tcPr>
          <w:p>
            <w:pPr>
              <w:jc w:val="right"/>
              <w:ind w:right="12"/>
              <w:spacing w:after="0" w:line="205"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40,935</w:t>
            </w:r>
          </w:p>
        </w:tc>
        <w:tc>
          <w:tcPr>
            <w:tcW w:w="1040" w:type="dxa"/>
            <w:vAlign w:val="bottom"/>
            <w:gridSpan w:val="2"/>
          </w:tcPr>
          <w:p>
            <w:pPr>
              <w:jc w:val="right"/>
              <w:ind w:right="120"/>
              <w:spacing w:after="0" w:line="204" w:lineRule="exact"/>
              <w:rPr>
                <w:sz w:val="20"/>
                <w:szCs w:val="20"/>
                <w:color w:val="auto"/>
              </w:rPr>
            </w:pPr>
            <w:r>
              <w:rPr>
                <w:rFonts w:ascii="Arial" w:cs="Arial" w:eastAsia="Arial" w:hAnsi="Arial"/>
                <w:sz w:val="13"/>
                <w:szCs w:val="13"/>
                <w:color w:val="auto"/>
              </w:rPr>
              <w:t>100.0</w:t>
            </w:r>
            <w:r>
              <w:rPr>
                <w:rFonts w:ascii="Arial" w:cs="Arial" w:eastAsia="Arial" w:hAnsi="Arial"/>
                <w:sz w:val="23"/>
                <w:szCs w:val="23"/>
                <w:color w:val="auto"/>
                <w:vertAlign w:val="subscript"/>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w w:val="92"/>
              </w:rPr>
              <w:t>119,408</w:t>
            </w:r>
          </w:p>
        </w:tc>
        <w:tc>
          <w:tcPr>
            <w:tcW w:w="1040" w:type="dxa"/>
            <w:vAlign w:val="bottom"/>
            <w:gridSpan w:val="2"/>
          </w:tcPr>
          <w:p>
            <w:pPr>
              <w:jc w:val="right"/>
              <w:ind w:right="120"/>
              <w:spacing w:after="0" w:line="204" w:lineRule="exact"/>
              <w:rPr>
                <w:sz w:val="20"/>
                <w:szCs w:val="20"/>
                <w:color w:val="auto"/>
              </w:rPr>
            </w:pPr>
            <w:r>
              <w:rPr>
                <w:rFonts w:ascii="Arial" w:cs="Arial" w:eastAsia="Arial" w:hAnsi="Arial"/>
                <w:sz w:val="13"/>
                <w:szCs w:val="13"/>
                <w:color w:val="auto"/>
              </w:rPr>
              <w:t>100.0</w:t>
            </w:r>
            <w:r>
              <w:rPr>
                <w:rFonts w:ascii="Arial" w:cs="Arial" w:eastAsia="Arial" w:hAnsi="Arial"/>
                <w:sz w:val="23"/>
                <w:szCs w:val="23"/>
                <w:color w:val="auto"/>
                <w:vertAlign w:val="subscript"/>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205" w:lineRule="exact"/>
              <w:rPr>
                <w:sz w:val="20"/>
                <w:szCs w:val="20"/>
                <w:color w:val="auto"/>
              </w:rPr>
            </w:pPr>
            <w:r>
              <w:rPr>
                <w:rFonts w:ascii="Arial" w:cs="Arial" w:eastAsia="Arial" w:hAnsi="Arial"/>
                <w:sz w:val="18"/>
                <w:szCs w:val="18"/>
                <w:color w:val="auto"/>
                <w:w w:val="95"/>
              </w:rPr>
              <w:t>108,953</w:t>
            </w:r>
          </w:p>
        </w:tc>
        <w:tc>
          <w:tcPr>
            <w:tcW w:w="200" w:type="dxa"/>
            <w:vAlign w:val="bottom"/>
          </w:tcPr>
          <w:p>
            <w:pPr>
              <w:spacing w:after="0"/>
              <w:rPr>
                <w:sz w:val="17"/>
                <w:szCs w:val="17"/>
                <w:color w:val="auto"/>
              </w:rPr>
            </w:pPr>
          </w:p>
        </w:tc>
        <w:tc>
          <w:tcPr>
            <w:tcW w:w="940" w:type="dxa"/>
            <w:vAlign w:val="bottom"/>
            <w:gridSpan w:val="2"/>
          </w:tcPr>
          <w:p>
            <w:pPr>
              <w:jc w:val="right"/>
              <w:spacing w:after="0" w:line="204" w:lineRule="exact"/>
              <w:rPr>
                <w:sz w:val="20"/>
                <w:szCs w:val="20"/>
                <w:color w:val="auto"/>
              </w:rPr>
            </w:pPr>
            <w:r>
              <w:rPr>
                <w:rFonts w:ascii="Arial" w:cs="Arial" w:eastAsia="Arial" w:hAnsi="Arial"/>
                <w:sz w:val="13"/>
                <w:szCs w:val="13"/>
                <w:color w:val="auto"/>
              </w:rPr>
              <w:t>100.0</w:t>
            </w:r>
            <w:r>
              <w:rPr>
                <w:rFonts w:ascii="Arial" w:cs="Arial" w:eastAsia="Arial" w:hAnsi="Arial"/>
                <w:sz w:val="23"/>
                <w:szCs w:val="23"/>
                <w:color w:val="auto"/>
                <w:vertAlign w:val="subscript"/>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Outside of New York</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(Percent components may not sum to totals due to rounding)</w:t>
      </w:r>
    </w:p>
    <w:p>
      <w:pPr>
        <w:spacing w:after="0" w:line="216" w:lineRule="exact"/>
        <w:rPr>
          <w:sz w:val="20"/>
          <w:szCs w:val="20"/>
          <w:color w:val="auto"/>
        </w:rPr>
      </w:pPr>
    </w:p>
    <w:p>
      <w:pPr>
        <w:jc w:val="both"/>
        <w:ind w:firstLine="634"/>
        <w:spacing w:after="0" w:line="270" w:lineRule="auto"/>
        <w:rPr>
          <w:sz w:val="20"/>
          <w:szCs w:val="20"/>
          <w:color w:val="auto"/>
        </w:rPr>
      </w:pPr>
      <w:r>
        <w:rPr>
          <w:rFonts w:ascii="Arial" w:cs="Arial" w:eastAsia="Arial" w:hAnsi="Arial"/>
          <w:sz w:val="17"/>
          <w:szCs w:val="17"/>
          <w:color w:val="auto"/>
        </w:rPr>
        <w:t>For the three months ended September 30, 2020 and 2019, Alternative Distribution made up 2.9% and 3.2% of direct written premiums for our homeowners and dwelling fire components of personal lines. As discussed above, on July 10, 2020, KICO’s A.M. Best Financial Strength Rating was downgraded from A- (Excellent) to B++ (Good). We believe this action will result in a material decrease in the business from Cosi, a multi-state licensed general agent that had partnered with name-brand carriers, some of which require an A.M. Best rating of A- (Excellent) from its partners.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2"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7"/>
          <w:szCs w:val="17"/>
          <w:color w:val="auto"/>
        </w:rPr>
        <w:t>Our condensed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the current economic environment, and other factors, in forming its estimates and judgments for certain amounts included in the condensed consolidated financial statements, giving due consideration to materiality. It is possible that the ultimate outcome as anticipated by our management in formulating its estimates in these financial statements may not materialize. Application of the critical accounting policies involves the exercise of judgment and use of assumptions as to future uncertainties and, as a result, actual results could differ from these estimates. In addition, other companies may utilize different estimates, which may impact the comparability of our results of operations to those of similar companies.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jc w:val="both"/>
        <w:ind w:firstLine="634"/>
        <w:spacing w:after="0" w:line="317" w:lineRule="auto"/>
        <w:rPr>
          <w:sz w:val="20"/>
          <w:szCs w:val="20"/>
          <w:color w:val="auto"/>
        </w:rPr>
      </w:pPr>
      <w:r>
        <w:rPr>
          <w:rFonts w:ascii="Arial" w:cs="Arial" w:eastAsia="Arial" w:hAnsi="Arial"/>
          <w:sz w:val="15"/>
          <w:szCs w:val="15"/>
          <w:color w:val="auto"/>
        </w:rPr>
        <w:t>We believe that the most critical accounting policies relate to the reporting of reserves for loss and LAE, including losses that have occurred but have not been reported prior to the reporting date, amounts recoverable from third party reinsurers, deferred ceding commission revenue, deferred policy acquisition costs, deferred income taxes, the impairment of investment securities, intangible assets and the valuation of stock-based compensation. See Note 2 to the condensed consolidated financial statements - “Accounting Policies” for information related to updated accounting policies.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changes in the results of our operations (in thousands)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8"/>
                <w:szCs w:val="18"/>
                <w:b w:val="1"/>
                <w:bCs w:val="1"/>
                <w:color w:val="auto"/>
                <w:w w:val="87"/>
              </w:rPr>
              <w:t>Nine months ended September 30,</w:t>
            </w:r>
          </w:p>
        </w:tc>
        <w:tc>
          <w:tcPr>
            <w:tcW w:w="11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9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72"/>
              <w:spacing w:after="0" w:line="206"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92"/>
              <w:spacing w:after="0" w:line="206" w:lineRule="exact"/>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480"/>
              <w:spacing w:after="0" w:line="206" w:lineRule="exact"/>
              <w:rPr>
                <w:sz w:val="20"/>
                <w:szCs w:val="20"/>
                <w:color w:val="auto"/>
              </w:rPr>
            </w:pPr>
            <w:r>
              <w:rPr>
                <w:rFonts w:ascii="Arial" w:cs="Arial" w:eastAsia="Arial" w:hAnsi="Arial"/>
                <w:sz w:val="18"/>
                <w:szCs w:val="18"/>
                <w:b w:val="1"/>
                <w:bCs w:val="1"/>
                <w:color w:val="auto"/>
                <w:w w:val="96"/>
              </w:rPr>
              <w:t>Change</w:t>
            </w:r>
          </w:p>
        </w:tc>
        <w:tc>
          <w:tcPr>
            <w:tcW w:w="1120" w:type="dxa"/>
            <w:vAlign w:val="bottom"/>
          </w:tcPr>
          <w:p>
            <w:pPr>
              <w:ind w:left="300"/>
              <w:spacing w:after="0" w:line="206" w:lineRule="exact"/>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60" w:type="dxa"/>
            <w:vAlign w:val="bottom"/>
            <w:tcBorders>
              <w:top w:val="single" w:sz="8" w:color="auto"/>
            </w:tcBorders>
          </w:tcPr>
          <w:p>
            <w:pPr>
              <w:ind w:left="40"/>
              <w:spacing w:after="0" w:line="205" w:lineRule="exact"/>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written premiums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125,090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128,333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1"/>
        </w:trPr>
        <w:tc>
          <w:tcPr>
            <w:tcW w:w="5960" w:type="dxa"/>
            <w:vAlign w:val="bottom"/>
            <w:gridSpan w:val="2"/>
          </w:tcPr>
          <w:p>
            <w:pPr>
              <w:ind w:left="200"/>
              <w:spacing w:after="0"/>
              <w:rPr>
                <w:sz w:val="20"/>
                <w:szCs w:val="20"/>
                <w:color w:val="auto"/>
              </w:rPr>
            </w:pPr>
            <w:r>
              <w:rPr>
                <w:rFonts w:ascii="Arial" w:cs="Arial" w:eastAsia="Arial" w:hAnsi="Arial"/>
                <w:sz w:val="18"/>
                <w:szCs w:val="18"/>
                <w:color w:val="auto"/>
              </w:rPr>
              <w:t>Assumed written premiums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125,090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128,334</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line="205" w:lineRule="exact"/>
              <w:rPr>
                <w:sz w:val="20"/>
                <w:szCs w:val="20"/>
                <w:color w:val="auto"/>
              </w:rPr>
            </w:pPr>
            <w:r>
              <w:rPr>
                <w:rFonts w:ascii="Arial" w:cs="Arial" w:eastAsia="Arial" w:hAnsi="Arial"/>
                <w:sz w:val="18"/>
                <w:szCs w:val="18"/>
                <w:color w:val="auto"/>
              </w:rPr>
              <w:t>(3,244)</w:t>
            </w:r>
          </w:p>
        </w:tc>
        <w:tc>
          <w:tcPr>
            <w:tcW w:w="132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4"/>
        </w:trPr>
        <w:tc>
          <w:tcPr>
            <w:tcW w:w="5960" w:type="dxa"/>
            <w:vAlign w:val="bottom"/>
            <w:tcBorders>
              <w:top w:val="single" w:sz="8" w:color="CCEEFF"/>
            </w:tcBorders>
            <w:gridSpan w:val="2"/>
          </w:tcPr>
          <w:p>
            <w:pPr>
              <w:ind w:left="200"/>
              <w:spacing w:after="0" w:line="205" w:lineRule="exact"/>
              <w:rPr>
                <w:sz w:val="20"/>
                <w:szCs w:val="20"/>
                <w:color w:val="auto"/>
              </w:rPr>
            </w:pPr>
            <w:r>
              <w:rPr>
                <w:rFonts w:ascii="Arial" w:cs="Arial" w:eastAsia="Arial" w:hAnsi="Arial"/>
                <w:sz w:val="18"/>
                <w:szCs w:val="18"/>
                <w:color w:val="auto"/>
              </w:rPr>
              <w:t>Ceded written premiums</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Ceded to quota share treaties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18,452</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11"/>
        </w:trPr>
        <w:tc>
          <w:tcPr>
            <w:tcW w:w="5960" w:type="dxa"/>
            <w:vAlign w:val="bottom"/>
            <w:gridSpan w:val="2"/>
          </w:tcPr>
          <w:p>
            <w:pPr>
              <w:ind w:left="520"/>
              <w:spacing w:after="0"/>
              <w:rPr>
                <w:sz w:val="20"/>
                <w:szCs w:val="20"/>
                <w:color w:val="auto"/>
              </w:rPr>
            </w:pPr>
            <w:r>
              <w:rPr>
                <w:rFonts w:ascii="Arial" w:cs="Arial" w:eastAsia="Arial" w:hAnsi="Arial"/>
                <w:sz w:val="18"/>
                <w:szCs w:val="18"/>
                <w:color w:val="auto"/>
              </w:rPr>
              <w:t>Ceded to excess of loss treaties</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1,219</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1"/>
        </w:trPr>
        <w:tc>
          <w:tcPr>
            <w:tcW w:w="5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Ceded to catastrophe treaties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13,585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5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60" w:type="dxa"/>
            <w:vAlign w:val="bottom"/>
            <w:gridSpan w:val="2"/>
          </w:tcPr>
          <w:p>
            <w:pPr>
              <w:ind w:left="200"/>
              <w:spacing w:after="0" w:line="205" w:lineRule="exact"/>
              <w:rPr>
                <w:sz w:val="20"/>
                <w:szCs w:val="20"/>
                <w:color w:val="auto"/>
              </w:rPr>
            </w:pPr>
            <w:r>
              <w:rPr>
                <w:rFonts w:ascii="Arial" w:cs="Arial" w:eastAsia="Arial" w:hAnsi="Arial"/>
                <w:sz w:val="18"/>
                <w:szCs w:val="18"/>
                <w:color w:val="auto"/>
              </w:rPr>
              <w:t>Total ceded written premiums</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43,814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20,914</w:t>
            </w:r>
          </w:p>
        </w:tc>
        <w:tc>
          <w:tcPr>
            <w:tcW w:w="180" w:type="dxa"/>
            <w:vAlign w:val="bottom"/>
          </w:tcPr>
          <w:p>
            <w:pPr>
              <w:spacing w:after="0"/>
              <w:rPr>
                <w:sz w:val="17"/>
                <w:szCs w:val="17"/>
                <w:color w:val="auto"/>
              </w:rPr>
            </w:pPr>
          </w:p>
        </w:tc>
        <w:tc>
          <w:tcPr>
            <w:tcW w:w="114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22,900</w:t>
            </w:r>
          </w:p>
        </w:tc>
        <w:tc>
          <w:tcPr>
            <w:tcW w:w="1320" w:type="dxa"/>
            <w:vAlign w:val="bottom"/>
            <w:gridSpan w:val="2"/>
          </w:tcPr>
          <w:p>
            <w:pPr>
              <w:jc w:val="right"/>
              <w:ind w:right="60"/>
              <w:spacing w:after="0" w:line="205" w:lineRule="exact"/>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04"/>
        </w:trPr>
        <w:tc>
          <w:tcPr>
            <w:tcW w:w="5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960" w:type="dxa"/>
            <w:vAlign w:val="bottom"/>
            <w:gridSpan w:val="2"/>
          </w:tcPr>
          <w:p>
            <w:pPr>
              <w:ind w:left="200"/>
              <w:spacing w:after="0"/>
              <w:rPr>
                <w:sz w:val="20"/>
                <w:szCs w:val="20"/>
                <w:color w:val="auto"/>
              </w:rPr>
            </w:pPr>
            <w:r>
              <w:rPr>
                <w:rFonts w:ascii="Arial" w:cs="Arial" w:eastAsia="Arial" w:hAnsi="Arial"/>
                <w:sz w:val="18"/>
                <w:szCs w:val="18"/>
                <w:color w:val="auto"/>
              </w:rPr>
              <w:t>Net written premiums</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81,276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107,420</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(26,144)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4"/>
        </w:trPr>
        <w:tc>
          <w:tcPr>
            <w:tcW w:w="5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960" w:type="dxa"/>
            <w:vAlign w:val="bottom"/>
            <w:gridSpan w:val="2"/>
          </w:tcPr>
          <w:p>
            <w:pPr>
              <w:ind w:left="200"/>
              <w:spacing w:after="0"/>
              <w:rPr>
                <w:sz w:val="20"/>
                <w:szCs w:val="20"/>
                <w:color w:val="auto"/>
              </w:rPr>
            </w:pPr>
            <w:r>
              <w:rPr>
                <w:rFonts w:ascii="Arial" w:cs="Arial" w:eastAsia="Arial" w:hAnsi="Arial"/>
                <w:sz w:val="18"/>
                <w:szCs w:val="18"/>
                <w:color w:val="auto"/>
              </w:rPr>
              <w:t>Change in unearned premiums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(11,037)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13,253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1"/>
        </w:trPr>
        <w:tc>
          <w:tcPr>
            <w:tcW w:w="5960" w:type="dxa"/>
            <w:vAlign w:val="bottom"/>
            <w:gridSpan w:val="2"/>
          </w:tcPr>
          <w:p>
            <w:pPr>
              <w:ind w:left="360"/>
              <w:spacing w:after="0"/>
              <w:rPr>
                <w:sz w:val="20"/>
                <w:szCs w:val="20"/>
                <w:color w:val="auto"/>
              </w:rPr>
            </w:pPr>
            <w:r>
              <w:rPr>
                <w:rFonts w:ascii="Arial" w:cs="Arial" w:eastAsia="Arial" w:hAnsi="Arial"/>
                <w:sz w:val="18"/>
                <w:szCs w:val="18"/>
                <w:color w:val="auto"/>
              </w:rPr>
              <w:t>Ceded to quota share treaties</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(1,366)</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(1,026)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60" w:type="dxa"/>
            <w:vAlign w:val="bottom"/>
            <w:gridSpan w:val="2"/>
            <w:shd w:val="clear" w:color="auto" w:fill="CCEEFF"/>
          </w:tcPr>
          <w:p>
            <w:pPr>
              <w:ind w:left="200"/>
              <w:spacing w:after="0" w:line="205" w:lineRule="exact"/>
              <w:rPr>
                <w:sz w:val="20"/>
                <w:szCs w:val="20"/>
                <w:color w:val="auto"/>
              </w:rPr>
            </w:pPr>
            <w:r>
              <w:rPr>
                <w:rFonts w:ascii="Arial" w:cs="Arial" w:eastAsia="Arial" w:hAnsi="Arial"/>
                <w:sz w:val="18"/>
                <w:szCs w:val="18"/>
                <w:color w:val="auto"/>
              </w:rPr>
              <w:t>Change in net unearned premiums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5" w:lineRule="exact"/>
              <w:rPr>
                <w:sz w:val="20"/>
                <w:szCs w:val="20"/>
                <w:color w:val="auto"/>
              </w:rPr>
            </w:pPr>
            <w:r>
              <w:rPr>
                <w:rFonts w:ascii="Arial" w:cs="Arial" w:eastAsia="Arial" w:hAnsi="Arial"/>
                <w:sz w:val="18"/>
                <w:szCs w:val="18"/>
                <w:color w:val="auto"/>
              </w:rPr>
              <w:t>(12,403)</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12,227</w:t>
            </w:r>
          </w:p>
        </w:tc>
        <w:tc>
          <w:tcPr>
            <w:tcW w:w="132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04"/>
        </w:trPr>
        <w:tc>
          <w:tcPr>
            <w:tcW w:w="58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Premiums earned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60" w:type="dxa"/>
            <w:vAlign w:val="bottom"/>
            <w:gridSpan w:val="2"/>
          </w:tcPr>
          <w:p>
            <w:pPr>
              <w:ind w:left="360"/>
              <w:spacing w:after="0"/>
              <w:rPr>
                <w:sz w:val="20"/>
                <w:szCs w:val="20"/>
                <w:color w:val="auto"/>
              </w:rPr>
            </w:pPr>
            <w:r>
              <w:rPr>
                <w:rFonts w:ascii="Arial" w:cs="Arial" w:eastAsia="Arial" w:hAnsi="Arial"/>
                <w:sz w:val="18"/>
                <w:szCs w:val="18"/>
                <w:color w:val="auto"/>
              </w:rPr>
              <w:t>Direct and assumed</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127,305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117,297</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10,008</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1"/>
        </w:trPr>
        <w:tc>
          <w:tcPr>
            <w:tcW w:w="5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Ceded to reinsurance treaties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(22,280)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(23,926)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0"/>
        </w:trPr>
        <w:tc>
          <w:tcPr>
            <w:tcW w:w="5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60" w:type="dxa"/>
            <w:vAlign w:val="bottom"/>
            <w:gridSpan w:val="2"/>
          </w:tcPr>
          <w:p>
            <w:pPr>
              <w:ind w:left="200"/>
              <w:spacing w:after="0" w:line="205" w:lineRule="exact"/>
              <w:rPr>
                <w:sz w:val="20"/>
                <w:szCs w:val="20"/>
                <w:color w:val="auto"/>
              </w:rPr>
            </w:pPr>
            <w:r>
              <w:rPr>
                <w:rFonts w:ascii="Arial" w:cs="Arial" w:eastAsia="Arial" w:hAnsi="Arial"/>
                <w:sz w:val="18"/>
                <w:szCs w:val="18"/>
                <w:color w:val="auto"/>
              </w:rPr>
              <w:t>Net premiums earned</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81,099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95,017</w:t>
            </w:r>
          </w:p>
        </w:tc>
        <w:tc>
          <w:tcPr>
            <w:tcW w:w="180" w:type="dxa"/>
            <w:vAlign w:val="bottom"/>
          </w:tcPr>
          <w:p>
            <w:pPr>
              <w:spacing w:after="0"/>
              <w:rPr>
                <w:sz w:val="17"/>
                <w:szCs w:val="17"/>
                <w:color w:val="auto"/>
              </w:rPr>
            </w:pPr>
          </w:p>
        </w:tc>
        <w:tc>
          <w:tcPr>
            <w:tcW w:w="1140" w:type="dxa"/>
            <w:vAlign w:val="bottom"/>
            <w:gridSpan w:val="2"/>
          </w:tcPr>
          <w:p>
            <w:pPr>
              <w:jc w:val="right"/>
              <w:ind w:right="160"/>
              <w:spacing w:after="0" w:line="205" w:lineRule="exact"/>
              <w:rPr>
                <w:sz w:val="20"/>
                <w:szCs w:val="20"/>
                <w:color w:val="auto"/>
              </w:rPr>
            </w:pPr>
            <w:r>
              <w:rPr>
                <w:rFonts w:ascii="Arial" w:cs="Arial" w:eastAsia="Arial" w:hAnsi="Arial"/>
                <w:sz w:val="18"/>
                <w:szCs w:val="18"/>
                <w:color w:val="auto"/>
              </w:rPr>
              <w:t>(13,918)</w:t>
            </w:r>
          </w:p>
        </w:tc>
        <w:tc>
          <w:tcPr>
            <w:tcW w:w="132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1"/>
        </w:trPr>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60" w:type="dxa"/>
            <w:vAlign w:val="bottom"/>
            <w:gridSpan w:val="2"/>
          </w:tcPr>
          <w:p>
            <w:pPr>
              <w:ind w:left="200"/>
              <w:spacing w:after="0"/>
              <w:rPr>
                <w:sz w:val="20"/>
                <w:szCs w:val="20"/>
                <w:color w:val="auto"/>
              </w:rPr>
            </w:pPr>
            <w:r>
              <w:rPr>
                <w:rFonts w:ascii="Arial" w:cs="Arial" w:eastAsia="Arial" w:hAnsi="Arial"/>
                <w:sz w:val="18"/>
                <w:szCs w:val="18"/>
                <w:color w:val="auto"/>
              </w:rPr>
              <w:t>Ceding commission revenue</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2,983</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7,777</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11"/>
        </w:trPr>
        <w:tc>
          <w:tcPr>
            <w:tcW w:w="5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investment income</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1"/>
        </w:trPr>
        <w:tc>
          <w:tcPr>
            <w:tcW w:w="5960" w:type="dxa"/>
            <w:vAlign w:val="bottom"/>
            <w:gridSpan w:val="2"/>
          </w:tcPr>
          <w:p>
            <w:pPr>
              <w:ind w:left="200"/>
              <w:spacing w:after="0"/>
              <w:rPr>
                <w:sz w:val="20"/>
                <w:szCs w:val="20"/>
                <w:color w:val="auto"/>
              </w:rPr>
            </w:pPr>
            <w:r>
              <w:rPr>
                <w:rFonts w:ascii="Arial" w:cs="Arial" w:eastAsia="Arial" w:hAnsi="Arial"/>
                <w:sz w:val="18"/>
                <w:szCs w:val="18"/>
                <w:color w:val="auto"/>
              </w:rPr>
              <w:t>Net (losses) gains on investments</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3,712</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(5,351)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1"/>
        </w:trPr>
        <w:tc>
          <w:tcPr>
            <w:tcW w:w="5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5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60" w:type="dxa"/>
            <w:vAlign w:val="bottom"/>
            <w:gridSpan w:val="2"/>
          </w:tcPr>
          <w:p>
            <w:pPr>
              <w:ind w:left="360"/>
              <w:spacing w:after="0" w:line="205" w:lineRule="exact"/>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95,765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107,911</w:t>
            </w:r>
          </w:p>
        </w:tc>
        <w:tc>
          <w:tcPr>
            <w:tcW w:w="180" w:type="dxa"/>
            <w:vAlign w:val="bottom"/>
          </w:tcPr>
          <w:p>
            <w:pPr>
              <w:spacing w:after="0"/>
              <w:rPr>
                <w:sz w:val="17"/>
                <w:szCs w:val="17"/>
                <w:color w:val="auto"/>
              </w:rPr>
            </w:pPr>
          </w:p>
        </w:tc>
        <w:tc>
          <w:tcPr>
            <w:tcW w:w="1140" w:type="dxa"/>
            <w:vAlign w:val="bottom"/>
            <w:gridSpan w:val="2"/>
          </w:tcPr>
          <w:p>
            <w:pPr>
              <w:jc w:val="right"/>
              <w:ind w:right="160"/>
              <w:spacing w:after="0" w:line="205" w:lineRule="exact"/>
              <w:rPr>
                <w:sz w:val="20"/>
                <w:szCs w:val="20"/>
                <w:color w:val="auto"/>
              </w:rPr>
            </w:pPr>
            <w:r>
              <w:rPr>
                <w:rFonts w:ascii="Arial" w:cs="Arial" w:eastAsia="Arial" w:hAnsi="Arial"/>
                <w:sz w:val="18"/>
                <w:szCs w:val="18"/>
                <w:color w:val="auto"/>
              </w:rPr>
              <w:t>(12,146)</w:t>
            </w:r>
          </w:p>
        </w:tc>
        <w:tc>
          <w:tcPr>
            <w:tcW w:w="132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4"/>
        </w:trPr>
        <w:tc>
          <w:tcPr>
            <w:tcW w:w="596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Expenses</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960" w:type="dxa"/>
            <w:vAlign w:val="bottom"/>
            <w:gridSpan w:val="2"/>
          </w:tcPr>
          <w:p>
            <w:pPr>
              <w:ind w:left="200"/>
              <w:spacing w:after="0"/>
              <w:rPr>
                <w:sz w:val="20"/>
                <w:szCs w:val="20"/>
                <w:color w:val="auto"/>
              </w:rPr>
            </w:pPr>
            <w:r>
              <w:rPr>
                <w:rFonts w:ascii="Arial" w:cs="Arial" w:eastAsia="Arial" w:hAnsi="Arial"/>
                <w:sz w:val="18"/>
                <w:szCs w:val="18"/>
                <w:color w:val="auto"/>
              </w:rPr>
              <w:t>Loss and loss adjustment expenses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60" w:type="dxa"/>
            <w:vAlign w:val="bottom"/>
            <w:gridSpan w:val="2"/>
          </w:tcPr>
          <w:p>
            <w:pPr>
              <w:ind w:left="36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52,737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72,682</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(19,945)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1"/>
        </w:trPr>
        <w:tc>
          <w:tcPr>
            <w:tcW w:w="5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Losses from catastrophes, tropical storm Isaias (1)(2)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17,358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ind w:left="360"/>
              <w:spacing w:after="0"/>
              <w:rPr>
                <w:sz w:val="20"/>
                <w:szCs w:val="20"/>
                <w:color w:val="auto"/>
              </w:rPr>
            </w:pPr>
            <w:r>
              <w:rPr>
                <w:rFonts w:ascii="Arial" w:cs="Arial" w:eastAsia="Arial" w:hAnsi="Arial"/>
                <w:sz w:val="18"/>
                <w:szCs w:val="18"/>
                <w:color w:val="auto"/>
              </w:rPr>
              <w:t>Losses from catastrophes, all others (1)</w:t>
            </w:r>
          </w:p>
        </w:tc>
        <w:tc>
          <w:tcPr>
            <w:tcW w:w="3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3,049</w:t>
            </w:r>
          </w:p>
        </w:tc>
        <w:tc>
          <w:tcPr>
            <w:tcW w:w="3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7,755</w:t>
            </w:r>
          </w:p>
        </w:tc>
        <w:tc>
          <w:tcPr>
            <w:tcW w:w="32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(4,706)</w:t>
            </w:r>
          </w:p>
        </w:tc>
        <w:tc>
          <w:tcPr>
            <w:tcW w:w="104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0"/>
        </w:trPr>
        <w:tc>
          <w:tcPr>
            <w:tcW w:w="5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5"/>
        </w:trPr>
        <w:tc>
          <w:tcPr>
            <w:tcW w:w="5960" w:type="dxa"/>
            <w:vAlign w:val="bottom"/>
            <w:shd w:val="clear" w:color="auto" w:fill="CCEEFF"/>
          </w:tcPr>
          <w:p>
            <w:pPr>
              <w:ind w:left="360"/>
              <w:spacing w:after="0" w:line="205" w:lineRule="exact"/>
              <w:rPr>
                <w:sz w:val="20"/>
                <w:szCs w:val="20"/>
                <w:color w:val="auto"/>
              </w:rPr>
            </w:pPr>
            <w:r>
              <w:rPr>
                <w:rFonts w:ascii="Arial" w:cs="Arial" w:eastAsia="Arial" w:hAnsi="Arial"/>
                <w:sz w:val="18"/>
                <w:szCs w:val="18"/>
                <w:color w:val="auto"/>
              </w:rPr>
              <w:t>Total direct and assumed loss and loss adjustment expenses</w:t>
            </w: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73,144</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80,437</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40"/>
              <w:spacing w:after="0" w:line="205" w:lineRule="exact"/>
              <w:rPr>
                <w:sz w:val="20"/>
                <w:szCs w:val="20"/>
                <w:color w:val="auto"/>
              </w:rPr>
            </w:pPr>
            <w:r>
              <w:rPr>
                <w:rFonts w:ascii="Arial" w:cs="Arial" w:eastAsia="Arial" w:hAnsi="Arial"/>
                <w:sz w:val="18"/>
                <w:szCs w:val="18"/>
                <w:color w:val="auto"/>
              </w:rPr>
              <w:t>(7,293)</w:t>
            </w:r>
          </w:p>
        </w:tc>
        <w:tc>
          <w:tcPr>
            <w:tcW w:w="10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(9.1)%</w:t>
            </w:r>
          </w:p>
        </w:tc>
      </w:tr>
      <w:tr>
        <w:trPr>
          <w:trHeight w:val="204"/>
        </w:trPr>
        <w:tc>
          <w:tcPr>
            <w:tcW w:w="596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r>
      <w:tr>
        <w:trPr>
          <w:trHeight w:val="211"/>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Ceded loss and loss adjustment expenses:</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1"/>
        </w:trPr>
        <w:tc>
          <w:tcPr>
            <w:tcW w:w="5960" w:type="dxa"/>
            <w:vAlign w:val="bottom"/>
          </w:tcPr>
          <w:p>
            <w:pPr>
              <w:ind w:left="36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13,794</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8,041</w:t>
            </w:r>
          </w:p>
        </w:tc>
        <w:tc>
          <w:tcPr>
            <w:tcW w:w="3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5,753</w:t>
            </w:r>
          </w:p>
        </w:tc>
        <w:tc>
          <w:tcPr>
            <w:tcW w:w="104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211"/>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Losses from catastrophes, tropical storm Isaias (1)(2)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9,233</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9,233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1"/>
        </w:trPr>
        <w:tc>
          <w:tcPr>
            <w:tcW w:w="5960" w:type="dxa"/>
            <w:vAlign w:val="bottom"/>
          </w:tcPr>
          <w:p>
            <w:pPr>
              <w:ind w:left="360"/>
              <w:spacing w:after="0"/>
              <w:rPr>
                <w:sz w:val="20"/>
                <w:szCs w:val="20"/>
                <w:color w:val="auto"/>
              </w:rPr>
            </w:pPr>
            <w:r>
              <w:rPr>
                <w:rFonts w:ascii="Arial" w:cs="Arial" w:eastAsia="Arial" w:hAnsi="Arial"/>
                <w:sz w:val="18"/>
                <w:szCs w:val="18"/>
                <w:color w:val="auto"/>
              </w:rPr>
              <w:t>Losses from catastrophes, all others (1)</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808</w:t>
            </w:r>
          </w:p>
        </w:tc>
        <w:tc>
          <w:tcPr>
            <w:tcW w:w="3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(8)</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(1.0)</w:t>
            </w:r>
          </w:p>
        </w:tc>
      </w:tr>
      <w:tr>
        <w:trPr>
          <w:trHeight w:val="20"/>
        </w:trPr>
        <w:tc>
          <w:tcPr>
            <w:tcW w:w="5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4"/>
        </w:trPr>
        <w:tc>
          <w:tcPr>
            <w:tcW w:w="5960" w:type="dxa"/>
            <w:vAlign w:val="bottom"/>
            <w:shd w:val="clear" w:color="auto" w:fill="CCEEFF"/>
          </w:tcPr>
          <w:p>
            <w:pPr>
              <w:ind w:left="360"/>
              <w:spacing w:after="0" w:line="205" w:lineRule="exact"/>
              <w:rPr>
                <w:sz w:val="20"/>
                <w:szCs w:val="20"/>
                <w:color w:val="auto"/>
              </w:rPr>
            </w:pPr>
            <w:r>
              <w:rPr>
                <w:rFonts w:ascii="Arial" w:cs="Arial" w:eastAsia="Arial" w:hAnsi="Arial"/>
                <w:sz w:val="18"/>
                <w:szCs w:val="18"/>
                <w:color w:val="auto"/>
              </w:rPr>
              <w:t>Total ceded loss and loss adjustment expenses</w:t>
            </w: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23,827</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8,849</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80"/>
              <w:spacing w:after="0" w:line="205" w:lineRule="exact"/>
              <w:rPr>
                <w:sz w:val="20"/>
                <w:szCs w:val="20"/>
                <w:color w:val="auto"/>
              </w:rPr>
            </w:pPr>
            <w:r>
              <w:rPr>
                <w:rFonts w:ascii="Arial" w:cs="Arial" w:eastAsia="Arial" w:hAnsi="Arial"/>
                <w:sz w:val="18"/>
                <w:szCs w:val="18"/>
                <w:color w:val="auto"/>
              </w:rPr>
              <w:t>14,978</w:t>
            </w:r>
          </w:p>
        </w:tc>
        <w:tc>
          <w:tcPr>
            <w:tcW w:w="10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169.3%</w:t>
            </w:r>
          </w:p>
        </w:tc>
      </w:tr>
      <w:tr>
        <w:trPr>
          <w:trHeight w:val="204"/>
        </w:trPr>
        <w:tc>
          <w:tcPr>
            <w:tcW w:w="596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r>
      <w:tr>
        <w:trPr>
          <w:trHeight w:val="211"/>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and loss adjustment expenses:</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1"/>
        </w:trPr>
        <w:tc>
          <w:tcPr>
            <w:tcW w:w="5960" w:type="dxa"/>
            <w:vAlign w:val="bottom"/>
          </w:tcPr>
          <w:p>
            <w:pPr>
              <w:ind w:left="360"/>
              <w:spacing w:after="0"/>
              <w:rPr>
                <w:sz w:val="20"/>
                <w:szCs w:val="20"/>
                <w:color w:val="auto"/>
              </w:rPr>
            </w:pPr>
            <w:r>
              <w:rPr>
                <w:rFonts w:ascii="Arial" w:cs="Arial" w:eastAsia="Arial" w:hAnsi="Arial"/>
                <w:sz w:val="18"/>
                <w:szCs w:val="18"/>
                <w:color w:val="auto"/>
                <w:w w:val="97"/>
              </w:rPr>
              <w:t>Loss and loss adjustment expenses excluding the effect of catastrophes</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38,943</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64,641</w:t>
            </w:r>
          </w:p>
        </w:tc>
        <w:tc>
          <w:tcPr>
            <w:tcW w:w="3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(25,698)</w:t>
            </w:r>
          </w:p>
        </w:tc>
        <w:tc>
          <w:tcPr>
            <w:tcW w:w="104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11"/>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Losses from catastrophes, tropical storm Isaias (1)(2)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8,125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8,125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1"/>
        </w:trPr>
        <w:tc>
          <w:tcPr>
            <w:tcW w:w="5960" w:type="dxa"/>
            <w:vAlign w:val="bottom"/>
          </w:tcPr>
          <w:p>
            <w:pPr>
              <w:ind w:left="360"/>
              <w:spacing w:after="0"/>
              <w:rPr>
                <w:sz w:val="20"/>
                <w:szCs w:val="20"/>
                <w:color w:val="auto"/>
              </w:rPr>
            </w:pPr>
            <w:r>
              <w:rPr>
                <w:rFonts w:ascii="Arial" w:cs="Arial" w:eastAsia="Arial" w:hAnsi="Arial"/>
                <w:sz w:val="18"/>
                <w:szCs w:val="18"/>
                <w:color w:val="auto"/>
              </w:rPr>
              <w:t>Losses from catastrophes, all others (1)</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2,249</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6,947</w:t>
            </w:r>
          </w:p>
        </w:tc>
        <w:tc>
          <w:tcPr>
            <w:tcW w:w="3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(4,698)</w:t>
            </w:r>
          </w:p>
        </w:tc>
        <w:tc>
          <w:tcPr>
            <w:tcW w:w="104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0"/>
        </w:trPr>
        <w:tc>
          <w:tcPr>
            <w:tcW w:w="5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4"/>
        </w:trPr>
        <w:tc>
          <w:tcPr>
            <w:tcW w:w="5960" w:type="dxa"/>
            <w:vAlign w:val="bottom"/>
            <w:shd w:val="clear" w:color="auto" w:fill="CCEEFF"/>
          </w:tcPr>
          <w:p>
            <w:pPr>
              <w:ind w:left="360"/>
              <w:spacing w:after="0" w:line="205" w:lineRule="exact"/>
              <w:rPr>
                <w:sz w:val="20"/>
                <w:szCs w:val="20"/>
                <w:color w:val="auto"/>
              </w:rPr>
            </w:pPr>
            <w:r>
              <w:rPr>
                <w:rFonts w:ascii="Arial" w:cs="Arial" w:eastAsia="Arial" w:hAnsi="Arial"/>
                <w:sz w:val="18"/>
                <w:szCs w:val="18"/>
                <w:color w:val="auto"/>
              </w:rPr>
              <w:t>Net loss and loss adjustment expenses</w:t>
            </w: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49,317</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71,588</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40"/>
              <w:spacing w:after="0" w:line="205" w:lineRule="exact"/>
              <w:rPr>
                <w:sz w:val="20"/>
                <w:szCs w:val="20"/>
                <w:color w:val="auto"/>
              </w:rPr>
            </w:pPr>
            <w:r>
              <w:rPr>
                <w:rFonts w:ascii="Arial" w:cs="Arial" w:eastAsia="Arial" w:hAnsi="Arial"/>
                <w:sz w:val="18"/>
                <w:szCs w:val="18"/>
                <w:color w:val="auto"/>
              </w:rPr>
              <w:t>(22,271)</w:t>
            </w:r>
          </w:p>
        </w:tc>
        <w:tc>
          <w:tcPr>
            <w:tcW w:w="10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(31.1)%</w:t>
            </w:r>
          </w:p>
        </w:tc>
      </w:tr>
      <w:tr>
        <w:trPr>
          <w:trHeight w:val="204"/>
        </w:trPr>
        <w:tc>
          <w:tcPr>
            <w:tcW w:w="596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r>
      <w:tr>
        <w:trPr>
          <w:trHeight w:val="211"/>
        </w:trPr>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Commission expense</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23,653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21,866</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1,787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1"/>
        </w:trPr>
        <w:tc>
          <w:tcPr>
            <w:tcW w:w="5960" w:type="dxa"/>
            <w:vAlign w:val="bottom"/>
          </w:tcPr>
          <w:p>
            <w:pPr>
              <w:ind w:left="200"/>
              <w:spacing w:after="0"/>
              <w:rPr>
                <w:sz w:val="20"/>
                <w:szCs w:val="20"/>
                <w:color w:val="auto"/>
              </w:rPr>
            </w:pPr>
            <w:r>
              <w:rPr>
                <w:rFonts w:ascii="Arial" w:cs="Arial" w:eastAsia="Arial" w:hAnsi="Arial"/>
                <w:sz w:val="18"/>
                <w:szCs w:val="18"/>
                <w:color w:val="auto"/>
              </w:rPr>
              <w:t>Other underwriting expenses</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19,434</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17,983</w:t>
            </w:r>
          </w:p>
        </w:tc>
        <w:tc>
          <w:tcPr>
            <w:tcW w:w="3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1,451</w:t>
            </w: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1"/>
        </w:trPr>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2,647</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11"/>
        </w:trPr>
        <w:tc>
          <w:tcPr>
            <w:tcW w:w="59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2,070</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1,876</w:t>
            </w:r>
          </w:p>
        </w:tc>
        <w:tc>
          <w:tcPr>
            <w:tcW w:w="3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194</w:t>
            </w: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1"/>
        </w:trPr>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1,370</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9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r>
        <w:trPr>
          <w:trHeight w:val="204"/>
        </w:trPr>
        <w:tc>
          <w:tcPr>
            <w:tcW w:w="5960" w:type="dxa"/>
            <w:vAlign w:val="bottom"/>
          </w:tcPr>
          <w:p>
            <w:pPr>
              <w:ind w:left="360"/>
              <w:spacing w:after="0" w:line="205" w:lineRule="exact"/>
              <w:rPr>
                <w:sz w:val="20"/>
                <w:szCs w:val="20"/>
                <w:color w:val="auto"/>
              </w:rPr>
            </w:pPr>
            <w:r>
              <w:rPr>
                <w:rFonts w:ascii="Arial" w:cs="Arial" w:eastAsia="Arial" w:hAnsi="Arial"/>
                <w:sz w:val="18"/>
                <w:szCs w:val="18"/>
                <w:color w:val="auto"/>
              </w:rPr>
              <w:t>Total expenses</w:t>
            </w:r>
          </w:p>
        </w:tc>
        <w:tc>
          <w:tcPr>
            <w:tcW w:w="360" w:type="dxa"/>
            <w:vAlign w:val="bottom"/>
          </w:tcPr>
          <w:p>
            <w:pPr>
              <w:spacing w:after="0"/>
              <w:rPr>
                <w:sz w:val="17"/>
                <w:szCs w:val="17"/>
                <w:color w:val="auto"/>
              </w:rPr>
            </w:pPr>
          </w:p>
        </w:tc>
        <w:tc>
          <w:tcPr>
            <w:tcW w:w="96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99,209</w:t>
            </w:r>
          </w:p>
        </w:tc>
        <w:tc>
          <w:tcPr>
            <w:tcW w:w="320" w:type="dxa"/>
            <w:vAlign w:val="bottom"/>
          </w:tcPr>
          <w:p>
            <w:pPr>
              <w:spacing w:after="0"/>
              <w:rPr>
                <w:sz w:val="17"/>
                <w:szCs w:val="17"/>
                <w:color w:val="auto"/>
              </w:rPr>
            </w:pPr>
          </w:p>
        </w:tc>
        <w:tc>
          <w:tcPr>
            <w:tcW w:w="100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117,330</w:t>
            </w:r>
          </w:p>
        </w:tc>
        <w:tc>
          <w:tcPr>
            <w:tcW w:w="320" w:type="dxa"/>
            <w:vAlign w:val="bottom"/>
          </w:tcPr>
          <w:p>
            <w:pPr>
              <w:spacing w:after="0"/>
              <w:rPr>
                <w:sz w:val="17"/>
                <w:szCs w:val="17"/>
                <w:color w:val="auto"/>
              </w:rPr>
            </w:pPr>
          </w:p>
        </w:tc>
        <w:tc>
          <w:tcPr>
            <w:tcW w:w="1280" w:type="dxa"/>
            <w:vAlign w:val="bottom"/>
            <w:gridSpan w:val="2"/>
          </w:tcPr>
          <w:p>
            <w:pPr>
              <w:jc w:val="right"/>
              <w:ind w:right="440"/>
              <w:spacing w:after="0" w:line="205" w:lineRule="exact"/>
              <w:rPr>
                <w:sz w:val="20"/>
                <w:szCs w:val="20"/>
                <w:color w:val="auto"/>
              </w:rPr>
            </w:pPr>
            <w:r>
              <w:rPr>
                <w:rFonts w:ascii="Arial" w:cs="Arial" w:eastAsia="Arial" w:hAnsi="Arial"/>
                <w:sz w:val="18"/>
                <w:szCs w:val="18"/>
                <w:color w:val="auto"/>
              </w:rPr>
              <w:t>(18,122)</w:t>
            </w:r>
          </w:p>
        </w:tc>
        <w:tc>
          <w:tcPr>
            <w:tcW w:w="1040" w:type="dxa"/>
            <w:vAlign w:val="bottom"/>
          </w:tcPr>
          <w:p>
            <w:pPr>
              <w:jc w:val="right"/>
              <w:spacing w:after="0" w:line="205" w:lineRule="exact"/>
              <w:rPr>
                <w:sz w:val="20"/>
                <w:szCs w:val="20"/>
                <w:color w:val="auto"/>
              </w:rPr>
            </w:pPr>
            <w:r>
              <w:rPr>
                <w:rFonts w:ascii="Arial" w:cs="Arial" w:eastAsia="Arial" w:hAnsi="Arial"/>
                <w:sz w:val="18"/>
                <w:szCs w:val="18"/>
                <w:color w:val="auto"/>
              </w:rPr>
              <w:t>(15.4)%</w:t>
            </w:r>
          </w:p>
        </w:tc>
      </w:tr>
      <w:tr>
        <w:trPr>
          <w:trHeight w:val="204"/>
        </w:trPr>
        <w:tc>
          <w:tcPr>
            <w:tcW w:w="596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1"/>
        </w:trPr>
        <w:tc>
          <w:tcPr>
            <w:tcW w:w="5960" w:type="dxa"/>
            <w:vAlign w:val="bottom"/>
          </w:tcPr>
          <w:p>
            <w:pPr>
              <w:ind w:left="200"/>
              <w:spacing w:after="0"/>
              <w:rPr>
                <w:sz w:val="20"/>
                <w:szCs w:val="20"/>
                <w:color w:val="auto"/>
              </w:rPr>
            </w:pPr>
            <w:r>
              <w:rPr>
                <w:rFonts w:ascii="Arial" w:cs="Arial" w:eastAsia="Arial" w:hAnsi="Arial"/>
                <w:sz w:val="18"/>
                <w:szCs w:val="18"/>
                <w:color w:val="auto"/>
              </w:rPr>
              <w:t>Loss before taxes</w:t>
            </w: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(3,443)</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(9,419)</w:t>
            </w:r>
          </w:p>
        </w:tc>
        <w:tc>
          <w:tcPr>
            <w:tcW w:w="3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5,976</w:t>
            </w:r>
          </w:p>
        </w:tc>
        <w:tc>
          <w:tcPr>
            <w:tcW w:w="1040" w:type="dxa"/>
            <w:vAlign w:val="bottom"/>
          </w:tcPr>
          <w:p>
            <w:pPr>
              <w:jc w:val="right"/>
              <w:spacing w:after="0"/>
              <w:rPr>
                <w:sz w:val="20"/>
                <w:szCs w:val="20"/>
                <w:color w:val="auto"/>
              </w:rPr>
            </w:pPr>
            <w:r>
              <w:rPr>
                <w:rFonts w:ascii="Arial" w:cs="Arial" w:eastAsia="Arial" w:hAnsi="Arial"/>
                <w:sz w:val="18"/>
                <w:szCs w:val="18"/>
                <w:color w:val="auto"/>
              </w:rPr>
              <w:t>63.4%</w:t>
            </w:r>
          </w:p>
        </w:tc>
      </w:tr>
      <w:tr>
        <w:trPr>
          <w:trHeight w:val="211"/>
        </w:trPr>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(1,998)</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0"/>
        </w:trPr>
        <w:tc>
          <w:tcPr>
            <w:tcW w:w="59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r>
        <w:trPr>
          <w:trHeight w:val="204"/>
        </w:trPr>
        <w:tc>
          <w:tcPr>
            <w:tcW w:w="59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loss</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line="205" w:lineRule="exact"/>
              <w:rPr>
                <w:sz w:val="20"/>
                <w:szCs w:val="20"/>
                <w:color w:val="auto"/>
              </w:rPr>
            </w:pPr>
            <w:r>
              <w:rPr>
                <w:rFonts w:ascii="Arial" w:cs="Arial" w:eastAsia="Arial" w:hAnsi="Arial"/>
                <w:sz w:val="18"/>
                <w:szCs w:val="18"/>
                <w:color w:val="auto"/>
              </w:rPr>
              <w:t>(2,064)</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line="205" w:lineRule="exact"/>
              <w:rPr>
                <w:sz w:val="20"/>
                <w:szCs w:val="20"/>
                <w:color w:val="auto"/>
              </w:rPr>
            </w:pPr>
            <w:r>
              <w:rPr>
                <w:rFonts w:ascii="Arial" w:cs="Arial" w:eastAsia="Arial" w:hAnsi="Arial"/>
                <w:sz w:val="18"/>
                <w:szCs w:val="18"/>
                <w:color w:val="auto"/>
              </w:rPr>
              <w:t>(7,421)</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80"/>
              <w:spacing w:after="0" w:line="205" w:lineRule="exact"/>
              <w:rPr>
                <w:sz w:val="20"/>
                <w:szCs w:val="20"/>
                <w:color w:val="auto"/>
              </w:rPr>
            </w:pPr>
            <w:r>
              <w:rPr>
                <w:rFonts w:ascii="Arial" w:cs="Arial" w:eastAsia="Arial" w:hAnsi="Arial"/>
                <w:sz w:val="18"/>
                <w:szCs w:val="18"/>
                <w:color w:val="auto"/>
              </w:rPr>
              <w:t>5,357</w:t>
            </w:r>
          </w:p>
        </w:tc>
        <w:tc>
          <w:tcPr>
            <w:tcW w:w="1040" w:type="dxa"/>
            <w:vAlign w:val="bottom"/>
          </w:tcPr>
          <w:p>
            <w:pPr>
              <w:jc w:val="right"/>
              <w:spacing w:after="0" w:line="205" w:lineRule="exact"/>
              <w:rPr>
                <w:sz w:val="20"/>
                <w:szCs w:val="20"/>
                <w:color w:val="auto"/>
              </w:rPr>
            </w:pPr>
            <w:r>
              <w:rPr>
                <w:rFonts w:ascii="Arial" w:cs="Arial" w:eastAsia="Arial" w:hAnsi="Arial"/>
                <w:sz w:val="18"/>
                <w:szCs w:val="18"/>
                <w:color w:val="auto"/>
              </w:rPr>
              <w:t>72.2%</w:t>
            </w:r>
          </w:p>
        </w:tc>
      </w:tr>
      <w:tr>
        <w:trPr>
          <w:trHeight w:val="20"/>
        </w:trPr>
        <w:tc>
          <w:tcPr>
            <w:tcW w:w="5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460" w:hanging="454"/>
        <w:spacing w:after="0" w:line="328"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nine months ended September 30, 2020 and 2019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137" w:lineRule="exact"/>
        <w:rPr>
          <w:rFonts w:ascii="Arial" w:cs="Arial" w:eastAsia="Arial" w:hAnsi="Arial"/>
          <w:sz w:val="15"/>
          <w:szCs w:val="15"/>
          <w:color w:val="auto"/>
        </w:rPr>
      </w:pPr>
    </w:p>
    <w:p>
      <w:pPr>
        <w:ind w:left="460" w:hanging="454"/>
        <w:spacing w:after="0"/>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nine months ended September 30, 2020 includes catastrophe losses from tropical storm Isaias, which has been designated PCS Storm 2044.</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8"/>
                <w:szCs w:val="18"/>
                <w:b w:val="1"/>
                <w:bCs w:val="1"/>
                <w:color w:val="auto"/>
                <w:w w:val="86"/>
              </w:rPr>
              <w:t>Nine months ended September 30,</w:t>
            </w:r>
          </w:p>
        </w:tc>
        <w:tc>
          <w:tcPr>
            <w:tcW w:w="11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187"/>
        </w:trPr>
        <w:tc>
          <w:tcPr>
            <w:tcW w:w="5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right"/>
              <w:ind w:right="360"/>
              <w:spacing w:after="0" w:line="187" w:lineRule="exact"/>
              <w:rPr>
                <w:sz w:val="20"/>
                <w:szCs w:val="20"/>
                <w:color w:val="auto"/>
              </w:rPr>
            </w:pPr>
            <w:r>
              <w:rPr>
                <w:rFonts w:ascii="Arial" w:cs="Arial" w:eastAsia="Arial" w:hAnsi="Arial"/>
                <w:sz w:val="18"/>
                <w:szCs w:val="18"/>
                <w:b w:val="1"/>
                <w:bCs w:val="1"/>
                <w:color w:val="auto"/>
                <w:w w:val="96"/>
              </w:rPr>
              <w:t>Percentage</w:t>
            </w:r>
          </w:p>
        </w:tc>
        <w:tc>
          <w:tcPr>
            <w:tcW w:w="1120" w:type="dxa"/>
            <w:vAlign w:val="bottom"/>
          </w:tcPr>
          <w:p>
            <w:pPr>
              <w:ind w:left="300"/>
              <w:spacing w:after="0" w:line="187" w:lineRule="exact"/>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16"/>
                <w:szCs w:val="16"/>
                <w:color w:val="auto"/>
              </w:rPr>
            </w:pPr>
          </w:p>
        </w:tc>
      </w:tr>
      <w:tr>
        <w:trPr>
          <w:trHeight w:val="229"/>
        </w:trPr>
        <w:tc>
          <w:tcPr>
            <w:tcW w:w="58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Point Change</w:t>
            </w:r>
          </w:p>
        </w:tc>
        <w:tc>
          <w:tcPr>
            <w:tcW w:w="200" w:type="dxa"/>
            <w:vAlign w:val="bottom"/>
          </w:tcPr>
          <w:p>
            <w:pPr>
              <w:spacing w:after="0"/>
              <w:rPr>
                <w:sz w:val="19"/>
                <w:szCs w:val="19"/>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9"/>
                <w:szCs w:val="19"/>
                <w:color w:val="auto"/>
              </w:rPr>
            </w:pPr>
          </w:p>
        </w:tc>
      </w:tr>
      <w:tr>
        <w:trPr>
          <w:trHeight w:val="416"/>
        </w:trPr>
        <w:tc>
          <w:tcPr>
            <w:tcW w:w="6620" w:type="dxa"/>
            <w:vAlign w:val="bottom"/>
            <w:gridSpan w:val="2"/>
          </w:tcPr>
          <w:p>
            <w:pPr>
              <w:ind w:left="40"/>
              <w:spacing w:after="0"/>
              <w:rPr>
                <w:sz w:val="20"/>
                <w:szCs w:val="20"/>
                <w:color w:val="auto"/>
              </w:rPr>
            </w:pPr>
            <w:r>
              <w:rPr>
                <w:rFonts w:ascii="Arial" w:cs="Arial" w:eastAsia="Arial" w:hAnsi="Arial"/>
                <w:sz w:val="18"/>
                <w:szCs w:val="18"/>
                <w:b w:val="1"/>
                <w:bCs w:val="1"/>
                <w:color w:val="auto"/>
              </w:rPr>
              <w:t>Key ratios: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2"/>
        </w:trPr>
        <w:tc>
          <w:tcPr>
            <w:tcW w:w="6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loss ratio</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60.8%</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11"/>
        </w:trPr>
        <w:tc>
          <w:tcPr>
            <w:tcW w:w="5860" w:type="dxa"/>
            <w:vAlign w:val="bottom"/>
          </w:tcPr>
          <w:p>
            <w:pPr>
              <w:ind w:left="200"/>
              <w:spacing w:after="0"/>
              <w:rPr>
                <w:sz w:val="20"/>
                <w:szCs w:val="20"/>
                <w:color w:val="auto"/>
              </w:rPr>
            </w:pPr>
            <w:r>
              <w:rPr>
                <w:rFonts w:ascii="Arial" w:cs="Arial" w:eastAsia="Arial" w:hAnsi="Arial"/>
                <w:sz w:val="18"/>
                <w:szCs w:val="18"/>
                <w:color w:val="auto"/>
              </w:rPr>
              <w:t>Net underwriting expense ratio</w:t>
            </w:r>
          </w:p>
        </w:tc>
        <w:tc>
          <w:tcPr>
            <w:tcW w:w="7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38.9%</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37.8%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0"/>
        </w:trPr>
        <w:tc>
          <w:tcPr>
            <w:tcW w:w="5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4"/>
        </w:trPr>
        <w:tc>
          <w:tcPr>
            <w:tcW w:w="5860" w:type="dxa"/>
            <w:vAlign w:val="bottom"/>
            <w:shd w:val="clear" w:color="auto" w:fill="CCEEFF"/>
          </w:tcPr>
          <w:p>
            <w:pPr>
              <w:ind w:left="200"/>
              <w:spacing w:after="0" w:line="205" w:lineRule="exact"/>
              <w:rPr>
                <w:sz w:val="20"/>
                <w:szCs w:val="20"/>
                <w:color w:val="auto"/>
              </w:rPr>
            </w:pPr>
            <w:r>
              <w:rPr>
                <w:rFonts w:ascii="Arial" w:cs="Arial" w:eastAsia="Arial" w:hAnsi="Arial"/>
                <w:sz w:val="18"/>
                <w:szCs w:val="18"/>
                <w:color w:val="auto"/>
              </w:rPr>
              <w:t>Net combined ratio</w:t>
            </w:r>
          </w:p>
        </w:tc>
        <w:tc>
          <w:tcPr>
            <w:tcW w:w="7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w w:val="93"/>
              </w:rPr>
              <w:t>99.7%</w:t>
            </w:r>
          </w:p>
        </w:tc>
        <w:tc>
          <w:tcPr>
            <w:tcW w:w="1460" w:type="dxa"/>
            <w:vAlign w:val="bottom"/>
            <w:gridSpan w:val="3"/>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113.1%</w:t>
            </w:r>
          </w:p>
        </w:tc>
        <w:tc>
          <w:tcPr>
            <w:tcW w:w="1320" w:type="dxa"/>
            <w:vAlign w:val="bottom"/>
            <w:gridSpan w:val="2"/>
            <w:shd w:val="clear" w:color="auto" w:fill="CCEEFF"/>
          </w:tcPr>
          <w:p>
            <w:pPr>
              <w:jc w:val="right"/>
              <w:ind w:right="160"/>
              <w:spacing w:after="0" w:line="205" w:lineRule="exact"/>
              <w:rPr>
                <w:sz w:val="20"/>
                <w:szCs w:val="20"/>
                <w:color w:val="auto"/>
              </w:rPr>
            </w:pPr>
            <w:r>
              <w:rPr>
                <w:rFonts w:ascii="Arial" w:cs="Arial" w:eastAsia="Arial" w:hAnsi="Arial"/>
                <w:sz w:val="18"/>
                <w:szCs w:val="18"/>
                <w:color w:val="auto"/>
              </w:rPr>
              <w:t>(13.4)</w:t>
            </w:r>
          </w:p>
        </w:tc>
        <w:tc>
          <w:tcPr>
            <w:tcW w:w="132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(11.8)%</w:t>
            </w: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216" w:lineRule="exact"/>
        <w:rPr>
          <w:sz w:val="20"/>
          <w:szCs w:val="20"/>
          <w:color w:val="auto"/>
        </w:rPr>
      </w:pPr>
    </w:p>
    <w:p>
      <w:pPr>
        <w:jc w:val="both"/>
        <w:ind w:firstLine="634"/>
        <w:spacing w:after="0" w:line="317" w:lineRule="auto"/>
        <w:rPr>
          <w:sz w:val="20"/>
          <w:szCs w:val="20"/>
          <w:color w:val="auto"/>
        </w:rPr>
      </w:pPr>
      <w:r>
        <w:rPr>
          <w:rFonts w:ascii="Arial" w:cs="Arial" w:eastAsia="Arial" w:hAnsi="Arial"/>
          <w:sz w:val="15"/>
          <w:szCs w:val="15"/>
          <w:color w:val="auto"/>
        </w:rPr>
        <w:t>Direct written premiums during the nine months ended September 30, 2020 (“Nine Months 2020”) were $125,090,000 compared to $128,333,000 during the nine months ended September 30, 2019 (“Nine Months 2019”). The decrease of $3,243,000, or 2.5%, was primarily due to the decrease in premiums from our commercial lines business as result of our decision in July 2019 to no longer underwrite this line of business. Direct written premiums from our personal lines business for Nine Months 2020 were $119,598,000, an increase of $10,455,000, or 9.6%, from $109,143,000 in Nine Months 2019.</w:t>
      </w:r>
    </w:p>
    <w:p>
      <w:pPr>
        <w:spacing w:after="0" w:line="145" w:lineRule="exact"/>
        <w:rPr>
          <w:sz w:val="20"/>
          <w:szCs w:val="20"/>
          <w:color w:val="auto"/>
        </w:rPr>
      </w:pPr>
    </w:p>
    <w:p>
      <w:pPr>
        <w:jc w:val="both"/>
        <w:ind w:firstLine="876"/>
        <w:spacing w:after="0" w:line="251" w:lineRule="auto"/>
        <w:rPr>
          <w:sz w:val="20"/>
          <w:szCs w:val="20"/>
          <w:color w:val="auto"/>
        </w:rPr>
      </w:pPr>
      <w:r>
        <w:rPr>
          <w:rFonts w:ascii="Arial" w:cs="Arial" w:eastAsia="Arial" w:hAnsi="Arial"/>
          <w:sz w:val="18"/>
          <w:szCs w:val="18"/>
          <w:color w:val="auto"/>
        </w:rPr>
        <w:t>Beginning in 2017 we started writing homeowners policies in New Jersey. Through 2019 we expanded to Rhode Island, Massachusetts and Connecticut. We refer to our New York business as our “Core” business and the business outside of New York as our “Expansion” business. Direct written premiums from our Expansion business were $24,293,000 in Nine Months 2020, an increase of $7,393,000, or 43.7%. compared to $16,900,000 in Nine Months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Written Premiums and Net Premiums Earned</w:t>
      </w:r>
    </w:p>
    <w:p>
      <w:pPr>
        <w:spacing w:after="0" w:line="216" w:lineRule="exact"/>
        <w:rPr>
          <w:sz w:val="20"/>
          <w:szCs w:val="20"/>
          <w:color w:val="auto"/>
        </w:rPr>
      </w:pPr>
    </w:p>
    <w:p>
      <w:pPr>
        <w:jc w:val="both"/>
        <w:ind w:firstLine="634"/>
        <w:spacing w:after="0" w:line="303" w:lineRule="auto"/>
        <w:rPr>
          <w:sz w:val="20"/>
          <w:szCs w:val="20"/>
          <w:color w:val="auto"/>
        </w:rPr>
      </w:pPr>
      <w:r>
        <w:rPr>
          <w:rFonts w:ascii="Arial" w:cs="Arial" w:eastAsia="Arial" w:hAnsi="Arial"/>
          <w:sz w:val="15"/>
          <w:szCs w:val="15"/>
          <w:color w:val="auto"/>
        </w:rPr>
        <w:t>Through June 30, 2019, our quota share reinsurance treaties were on a July 1 through June 30 fiscal year basis. Effective December 15, 2019, we entered into a quota share reinsurance treaty for our personal lines business covering the period from December 15, 2019 through December 31, 2020 (“2019/2020 Treaty”). Our personal lines quota share reinsurance treaty in effect for Nine Months 2019 was covered through June 30, 2019 (together with the run-off period) under a treaty covering a two-year period from July 1, 2017 through June 30, 2019 (“2017/2019 Treaty”). The treaty in effect during Nine Months 2019 was covered through June 30, 2019 (together with the run-off period) under the July 1, 2018 through June 30, 2019 treaty year (“2018/2019 Treaty Year”). The following table describes the quota share reinsurance ceding rates in effect for each treaty year during Nine Months 2020 and Nine Months 2019 under the 2019/2020 Treaty and the 2017/2019 Treaty, respectively. This table should be referred to in conjunction with the discussions for net written premiums, net premiums earned, ceding commission revenue and net loss and loss adjustment expenses that follow.</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900" w:type="dxa"/>
            <w:vAlign w:val="bottom"/>
            <w:gridSpan w:val="3"/>
          </w:tcPr>
          <w:p>
            <w:pPr>
              <w:ind w:left="66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4"/>
              </w:rPr>
              <w:t>2020</w:t>
            </w:r>
          </w:p>
        </w:tc>
        <w:tc>
          <w:tcPr>
            <w:tcW w:w="2000" w:type="dxa"/>
            <w:vAlign w:val="bottom"/>
            <w:gridSpan w:val="2"/>
          </w:tcPr>
          <w:p>
            <w:pPr>
              <w:jc w:val="center"/>
              <w:ind w:left="12"/>
              <w:spacing w:after="0"/>
              <w:rPr>
                <w:sz w:val="20"/>
                <w:szCs w:val="20"/>
                <w:color w:val="auto"/>
              </w:rPr>
            </w:pPr>
            <w:r>
              <w:rPr>
                <w:rFonts w:ascii="Arial" w:cs="Arial" w:eastAsia="Arial" w:hAnsi="Arial"/>
                <w:sz w:val="18"/>
                <w:szCs w:val="18"/>
                <w:b w:val="1"/>
                <w:bCs w:val="1"/>
                <w:color w:val="auto"/>
                <w:w w:val="84"/>
              </w:rPr>
              <w:t>2019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90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0"/>
              </w:rPr>
              <w:t>("2019/2020</w:t>
            </w:r>
          </w:p>
        </w:tc>
        <w:tc>
          <w:tcPr>
            <w:tcW w:w="100" w:type="dxa"/>
            <w:vAlign w:val="bottom"/>
          </w:tcPr>
          <w:p>
            <w:pPr>
              <w:spacing w:after="0"/>
              <w:rPr>
                <w:sz w:val="16"/>
                <w:szCs w:val="16"/>
                <w:color w:val="auto"/>
              </w:rPr>
            </w:pPr>
          </w:p>
        </w:tc>
        <w:tc>
          <w:tcPr>
            <w:tcW w:w="190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0"/>
              </w:rPr>
              <w:t>("2018/2019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900" w:type="dxa"/>
            <w:vAlign w:val="bottom"/>
          </w:tcPr>
          <w:p>
            <w:pPr>
              <w:ind w:left="620"/>
              <w:spacing w:after="0"/>
              <w:rPr>
                <w:sz w:val="20"/>
                <w:szCs w:val="20"/>
                <w:color w:val="auto"/>
              </w:rPr>
            </w:pPr>
            <w:r>
              <w:rPr>
                <w:rFonts w:ascii="Arial" w:cs="Arial" w:eastAsia="Arial" w:hAnsi="Arial"/>
                <w:sz w:val="18"/>
                <w:szCs w:val="18"/>
                <w:b w:val="1"/>
                <w:bCs w:val="1"/>
                <w:color w:val="auto"/>
              </w:rPr>
              <w:t>Treaty")</w:t>
            </w:r>
          </w:p>
        </w:tc>
        <w:tc>
          <w:tcPr>
            <w:tcW w:w="100" w:type="dxa"/>
            <w:vAlign w:val="bottom"/>
          </w:tcPr>
          <w:p>
            <w:pPr>
              <w:spacing w:after="0"/>
              <w:rPr>
                <w:sz w:val="19"/>
                <w:szCs w:val="19"/>
                <w:color w:val="auto"/>
              </w:rPr>
            </w:pPr>
          </w:p>
        </w:tc>
        <w:tc>
          <w:tcPr>
            <w:tcW w:w="1900" w:type="dxa"/>
            <w:vAlign w:val="bottom"/>
          </w:tcPr>
          <w:p>
            <w:pPr>
              <w:ind w:left="420"/>
              <w:spacing w:after="0"/>
              <w:rPr>
                <w:sz w:val="20"/>
                <w:szCs w:val="20"/>
                <w:color w:val="auto"/>
              </w:rPr>
            </w:pPr>
            <w:r>
              <w:rPr>
                <w:rFonts w:ascii="Arial" w:cs="Arial" w:eastAsia="Arial" w:hAnsi="Arial"/>
                <w:sz w:val="18"/>
                <w:szCs w:val="18"/>
                <w:b w:val="1"/>
                <w:bCs w:val="1"/>
                <w:color w:val="auto"/>
              </w:rPr>
              <w:t>Treaty Year")</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Quota share reinsurance rates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Personal lines</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25% (2)</w:t>
            </w:r>
          </w:p>
        </w:tc>
        <w:tc>
          <w:tcPr>
            <w:tcW w:w="2000" w:type="dxa"/>
            <w:vAlign w:val="bottom"/>
            <w:gridSpan w:val="2"/>
          </w:tcPr>
          <w:p>
            <w:pPr>
              <w:jc w:val="center"/>
              <w:ind w:left="12"/>
              <w:spacing w:after="0"/>
              <w:rPr>
                <w:sz w:val="20"/>
                <w:szCs w:val="20"/>
                <w:color w:val="auto"/>
              </w:rPr>
            </w:pPr>
            <w:r>
              <w:rPr>
                <w:rFonts w:ascii="Arial" w:cs="Arial" w:eastAsia="Arial" w:hAnsi="Arial"/>
                <w:sz w:val="18"/>
                <w:szCs w:val="18"/>
                <w:color w:val="auto"/>
                <w:w w:val="91"/>
              </w:rPr>
              <w:t>10% (1)</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7" w:right="339" w:bottom="0" w:gutter="0" w:footer="0" w:header="0"/>
        </w:sectPr>
      </w:pPr>
    </w:p>
    <w:bookmarkStart w:id="28" w:name="page29"/>
    <w:bookmarkEnd w:id="28"/>
    <w:p>
      <w:pPr>
        <w:ind w:left="460" w:right="360" w:hanging="454"/>
        <w:spacing w:after="0" w:line="26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2018/2019 Treaty Year, covered under the 2017/2019 Treaty, expired on a run-off basis effective July 1, 2019 through June 30, 2020 (the “2019 Run-off”).</w:t>
      </w:r>
    </w:p>
    <w:p>
      <w:pPr>
        <w:spacing w:after="0" w:line="180" w:lineRule="exact"/>
        <w:rPr>
          <w:rFonts w:ascii="Arial" w:cs="Arial" w:eastAsia="Arial" w:hAnsi="Arial"/>
          <w:sz w:val="18"/>
          <w:szCs w:val="18"/>
          <w:color w:val="auto"/>
        </w:rPr>
      </w:pPr>
    </w:p>
    <w:p>
      <w:pPr>
        <w:ind w:left="460" w:hanging="454"/>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2019/2020 Treaty was effective December 15, 2019 with a quota share reinsurance rate of 25%.</w:t>
      </w:r>
    </w:p>
    <w:p>
      <w:pPr>
        <w:spacing w:after="0" w:line="1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See “Reinsurance” below for changes to our personal lines quota share treaty effective December 15, 2019, and July 1, 2019 and 2018.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jc w:val="both"/>
        <w:ind w:firstLine="634"/>
        <w:spacing w:after="0" w:line="303" w:lineRule="auto"/>
        <w:rPr>
          <w:sz w:val="20"/>
          <w:szCs w:val="20"/>
          <w:color w:val="auto"/>
        </w:rPr>
      </w:pPr>
      <w:r>
        <w:rPr>
          <w:rFonts w:ascii="Arial" w:cs="Arial" w:eastAsia="Arial" w:hAnsi="Arial"/>
          <w:sz w:val="15"/>
          <w:szCs w:val="15"/>
          <w:color w:val="auto"/>
        </w:rPr>
        <w:t>Net written premiums decreased $26,144,000, or 24.39%, to $81,276,000 in Nine Months 2020 from $107,420,000 in Nine Months 2019. Net written premiums include direct and assumed premiums, less the amount of written premiums ceded under our reinsurance treaties (quota share, excess of loss, and catastrophe). The decrease in net written premiums in Nine Months 2020 was attributable to the inception of the 2019/2020 Treaty on December 15, 2019 and the decrease in commercial lines premiums, which are not subject to a quota share treaty. In Nine Months 2020, our premiums ceded under quota share treaties increased by $18,452,000 over the comparable ceded premiums in Nine Months 2019. Our personal lines business was subject to the 2017/2019 Treaty under the 2018/2019 Treaty Year through June 30, 2019. Following June 30, 2019, any earned premium and associated claims for policies still in force will continue to be ceded under the 10% quota share rate until such policies expire (run-off) over the next year. The 2019 Run-off period is from July 1, 2019 through June 30, 2020 and there was no return of unearned premiums under this arrangement.</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Excess of loss reinsurance treaties</w:t>
      </w:r>
    </w:p>
    <w:p>
      <w:pPr>
        <w:spacing w:after="0" w:line="216"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An increase in written premiums will increase the premiums ceded under our excess of loss treaties. In Nine Months 2020, our ceded excess of loss reinsurance premiums increased by $263,000 over the comparable ceded premiums for Nine Months 2019. The increase was due to an increase in premiums subject to excess of loss reinsurance.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Catastrophe reinsurance treaties</w:t>
      </w:r>
    </w:p>
    <w:p>
      <w:pPr>
        <w:spacing w:after="0" w:line="216" w:lineRule="exact"/>
        <w:rPr>
          <w:sz w:val="20"/>
          <w:szCs w:val="20"/>
          <w:color w:val="auto"/>
        </w:rPr>
      </w:pPr>
    </w:p>
    <w:p>
      <w:pPr>
        <w:jc w:val="both"/>
        <w:ind w:firstLine="634"/>
        <w:spacing w:after="0" w:line="303" w:lineRule="auto"/>
        <w:rPr>
          <w:sz w:val="20"/>
          <w:szCs w:val="20"/>
          <w:color w:val="auto"/>
        </w:rPr>
      </w:pPr>
      <w:r>
        <w:rPr>
          <w:rFonts w:ascii="Arial" w:cs="Arial" w:eastAsia="Arial" w:hAnsi="Arial"/>
          <w:sz w:val="15"/>
          <w:szCs w:val="15"/>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 Nine Months 2020, our premiums ceded under catastrophe treaties increased by $4,185,000 over the comparable ceded premiums in Nine Months 2019. The change was due to an increase in our catastrophe limit purchased, an increase in premiums subject to catastrophe reinsurance due to continued growth of our personal lines business, and an increase in reinsurance rates effective July 1, 2019. Through June 30, 2020, our ceded catastrophe premiums were paid based on the total direct written premiums subject to the catastrophe reinsurance treaty. Effective July 1, 2020, and continuing through June 30, 2021, our ceded catastrophe premiums will be paid based on the total insured value of our risks calculated as of August 31, 2021.</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premiums earned</w:t>
      </w:r>
    </w:p>
    <w:p>
      <w:pPr>
        <w:spacing w:after="0" w:line="216"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Net premiums earned decreased $13,918,000, or 14.6%, to $81,099,000 in Nine Months 2020 from $95,017,000 in Nine Months 2019. The decrease was due to the inception of the 2019/2020 Treaty on December 15, 2019 and the decrease in commercial lines premiums, which are not subject to a quota share treaty.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29"/>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10"/>
          </w:tcPr>
          <w:p>
            <w:pPr>
              <w:ind w:left="700"/>
              <w:spacing w:after="0"/>
              <w:rPr>
                <w:sz w:val="20"/>
                <w:szCs w:val="20"/>
                <w:color w:val="auto"/>
              </w:rPr>
            </w:pPr>
            <w:r>
              <w:rPr>
                <w:rFonts w:ascii="Arial" w:cs="Arial" w:eastAsia="Arial" w:hAnsi="Arial"/>
                <w:sz w:val="18"/>
                <w:szCs w:val="18"/>
                <w:b w:val="1"/>
                <w:bCs w:val="1"/>
                <w:color w:val="auto"/>
                <w:w w:val="88"/>
              </w:rPr>
              <w:t>Nine months ended September 30,</w:t>
            </w: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12"/>
              <w:spacing w:after="0" w:line="206" w:lineRule="exact"/>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12"/>
              <w:spacing w:after="0" w:line="206" w:lineRule="exact"/>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ind w:left="40"/>
              <w:spacing w:after="0" w:line="206" w:lineRule="exact"/>
              <w:rPr>
                <w:sz w:val="20"/>
                <w:szCs w:val="20"/>
                <w:color w:val="auto"/>
              </w:rPr>
            </w:pPr>
            <w:r>
              <w:rPr>
                <w:rFonts w:ascii="Arial" w:cs="Arial" w:eastAsia="Arial" w:hAnsi="Arial"/>
                <w:sz w:val="18"/>
                <w:szCs w:val="18"/>
                <w:b w:val="1"/>
                <w:bCs w:val="1"/>
                <w:color w:val="auto"/>
              </w:rPr>
              <w:t>Change</w:t>
            </w:r>
          </w:p>
        </w:tc>
        <w:tc>
          <w:tcPr>
            <w:tcW w:w="820" w:type="dxa"/>
            <w:vAlign w:val="bottom"/>
          </w:tcPr>
          <w:p>
            <w:pPr>
              <w:ind w:left="80"/>
              <w:spacing w:after="0" w:line="206"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3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10,622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6,621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8"/>
              </w:rPr>
              <w:t>165.5%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9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Contingent ceding commissions earned</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Contingent ceding commissions earned excluding</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effect of catastrophes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Effect of catastrophes on ceding commissions earned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center"/>
              <w:ind w:left="352"/>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900" w:type="dxa"/>
            <w:vAlign w:val="bottom"/>
            <w:shd w:val="clear" w:color="auto" w:fill="CCEEFF"/>
          </w:tcPr>
          <w:p>
            <w:pPr>
              <w:ind w:left="120"/>
              <w:spacing w:after="0" w:line="205" w:lineRule="exact"/>
              <w:rPr>
                <w:sz w:val="20"/>
                <w:szCs w:val="20"/>
                <w:color w:val="auto"/>
              </w:rPr>
            </w:pPr>
            <w:r>
              <w:rPr>
                <w:rFonts w:ascii="Arial" w:cs="Arial" w:eastAsia="Arial" w:hAnsi="Arial"/>
                <w:sz w:val="18"/>
                <w:szCs w:val="18"/>
                <w:color w:val="auto"/>
              </w:rPr>
              <w:t>Contingent ceding commissions earned</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(1,018)</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5" w:lineRule="exact"/>
              <w:rPr>
                <w:sz w:val="20"/>
                <w:szCs w:val="20"/>
                <w:color w:val="auto"/>
              </w:rPr>
            </w:pPr>
            <w:r>
              <w:rPr>
                <w:rFonts w:ascii="Arial" w:cs="Arial" w:eastAsia="Arial" w:hAnsi="Arial"/>
                <w:sz w:val="18"/>
                <w:szCs w:val="18"/>
                <w:color w:val="auto"/>
              </w:rPr>
              <w:t>1,156</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left="352"/>
              <w:spacing w:after="0" w:line="205" w:lineRule="exact"/>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9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vMerge w:val="continue"/>
          </w:tcPr>
          <w:p>
            <w:pPr>
              <w:spacing w:after="0"/>
              <w:rPr>
                <w:sz w:val="20"/>
                <w:szCs w:val="20"/>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ceding commission revenue</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10,760</w:t>
            </w:r>
          </w:p>
        </w:tc>
        <w:tc>
          <w:tcPr>
            <w:tcW w:w="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7,777</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8"/>
              </w:rPr>
              <w:t>260.7%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Ceding commission revenue was $10,760,000 in Nine Months 2020 compared to $2,983,000 in Nine Months 2019. The increase of $7,777,000, or 260.7%, was due to an increase in both provisional ceding commissions earned and contingent ceding commissions earned. The increase in provisional ceding commissions occurred due to the increase in quota share reinsurance rates effective December 15, 2019 (see below for discussion of provisional ceding commissions earned and contingent ceding commissions earned).</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Provisional Ceding Commissions Earned</w:t>
      </w:r>
    </w:p>
    <w:p>
      <w:pPr>
        <w:spacing w:after="0" w:line="216"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We receive a provisional ceding commission based on ceded written premiums. The $6,621,000 increase in provisional ceding commissions earned is primarily due to the increase in the quota share ceding rate effective December 15, 2019 to 25%, from the 10% rate in effect in Nine Months 2019. There was an increase in ceded premiums in Nine Months 2020 available from which to earn ceding commissions compared to Nine Months 2019 due to the changes in quota share ceding rates, the elimination of the 10% quota share treaty on effective July 1, 2019, and an increase in personal lines direct written premiums subject to the quota share.</w:t>
      </w:r>
    </w:p>
    <w:p>
      <w:pPr>
        <w:sectPr>
          <w:pgSz w:w="11900" w:h="16838" w:orient="portrait"/>
          <w:cols w:equalWidth="0" w:num="1">
            <w:col w:w="11240"/>
          </w:cols>
          <w:pgMar w:left="320" w:top="127" w:right="339" w:bottom="0" w:gutter="0" w:footer="0" w:header="0"/>
        </w:sectPr>
      </w:pPr>
    </w:p>
    <w:bookmarkStart w:id="29" w:name="page30"/>
    <w:bookmarkEnd w:id="29"/>
    <w:p>
      <w:pPr>
        <w:ind w:left="64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216"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The 2019/2020 Treaty and 2017/2019 Treaty structure calls for a higher upfront provisional ceding commission and there is not an opportunity to earn additional contingent ceding commissions under these treaties. The amount of contingent ceding commissions we are eligible to receive under our prior years’ quota share treaties is subject to change based on losses incurred related to claims with accident dates before July 1, 2017. Under our prior years’ quota share treaties, we received a contingent ceding commission based on a sliding scale in relation to the losses incurred under our quota share treaties. The lower the ceded loss ratio, the more contingent commission we receive.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16"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Net investment income was $4,772,000 in Nine Months 2020 compared to $5,200,000 in Nine Months 2019, a decrease of $428,000, or 8.2%. The average yield on invested assets was 3.51% as of September 30, 2020 compared to 3.62% as of September 30, 2019.</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Cash and invested assets were $220,749,000 as of September 30, 2020 compared to $221,610,000 as of September 30, 2019. The $861,000 decrease in cash and invested assets was primarily attributable to premiums ceded, net of ceding commissions, at the inception of the 2019/2020 Treaty, partially offset by an increase in operating cash flows for the periods after September 30,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Gains and Losses on Investments</w:t>
      </w:r>
    </w:p>
    <w:p>
      <w:pPr>
        <w:spacing w:after="0" w:line="216" w:lineRule="exact"/>
        <w:rPr>
          <w:sz w:val="20"/>
          <w:szCs w:val="20"/>
          <w:color w:val="auto"/>
        </w:rPr>
      </w:pPr>
    </w:p>
    <w:p>
      <w:pPr>
        <w:jc w:val="both"/>
        <w:ind w:firstLine="634"/>
        <w:spacing w:after="0" w:line="270" w:lineRule="auto"/>
        <w:rPr>
          <w:sz w:val="20"/>
          <w:szCs w:val="20"/>
          <w:color w:val="auto"/>
        </w:rPr>
      </w:pPr>
      <w:r>
        <w:rPr>
          <w:rFonts w:ascii="Arial" w:cs="Arial" w:eastAsia="Arial" w:hAnsi="Arial"/>
          <w:sz w:val="17"/>
          <w:szCs w:val="17"/>
          <w:color w:val="auto"/>
        </w:rPr>
        <w:t>Net losses on investments were $1,639,000 in Nine Months 2020 compared to a net gain of $3,712,000 in Nine Months 2019. Unrealized losses on our equity securities and other investments in Nine Months 2020 were $2,394,000, compared to unrealized gains of $3,767,000 in Nine Months 2019. Realized gains on sales of investments were $275,000 in Nine Months 2020 compared to realized losses of $55,000 in Nine Months 2019. Unrealized losses in Nine Months 2020 were due to the market fluctuations related to the Covid-19 pandemic.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216" w:lineRule="exact"/>
        <w:rPr>
          <w:sz w:val="20"/>
          <w:szCs w:val="20"/>
          <w:color w:val="auto"/>
        </w:rPr>
      </w:pPr>
    </w:p>
    <w:p>
      <w:pPr>
        <w:jc w:val="both"/>
        <w:ind w:firstLine="594"/>
        <w:spacing w:after="0" w:line="292" w:lineRule="auto"/>
        <w:rPr>
          <w:sz w:val="20"/>
          <w:szCs w:val="20"/>
          <w:color w:val="auto"/>
        </w:rPr>
      </w:pPr>
      <w:r>
        <w:rPr>
          <w:rFonts w:ascii="Arial" w:cs="Arial" w:eastAsia="Arial" w:hAnsi="Arial"/>
          <w:sz w:val="17"/>
          <w:szCs w:val="17"/>
          <w:color w:val="auto"/>
        </w:rPr>
        <w:t>Other income was $773,000 in Nine Months 2020 compared to $999,000 in Nine Months 2019. The decrease of $226,000, or 22.6%, was primarily due to a reduction in fees from our commercial lines business as a result of our decision in July 2019 to no longer write this line of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216"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Net loss and LAE was $49,317,000 in Nine Months 2020 compared to $71,588,000 in Nine Months 2019. The net loss ratio was 60.8% in Nine Months 2020 compared to 75.3% in Nine Months 2019, an improvement of 14.5 percentage points.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122555</wp:posOffset>
            </wp:positionV>
            <wp:extent cx="5156835" cy="3856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56835" cy="385699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16" w:lineRule="exact"/>
        <w:rPr>
          <w:sz w:val="20"/>
          <w:szCs w:val="20"/>
          <w:color w:val="auto"/>
        </w:rPr>
      </w:pPr>
    </w:p>
    <w:p>
      <w:pPr>
        <w:jc w:val="both"/>
        <w:ind w:firstLine="634"/>
        <w:spacing w:after="0" w:line="317" w:lineRule="auto"/>
        <w:rPr>
          <w:sz w:val="20"/>
          <w:szCs w:val="20"/>
          <w:color w:val="auto"/>
        </w:rPr>
      </w:pPr>
      <w:r>
        <w:rPr>
          <w:rFonts w:ascii="Arial" w:cs="Arial" w:eastAsia="Arial" w:hAnsi="Arial"/>
          <w:sz w:val="15"/>
          <w:szCs w:val="15"/>
          <w:color w:val="auto"/>
        </w:rPr>
        <w:t>During Nine Months 2020, the loss ratio improved 14.5 points, from 75.3% in Nine Months 2019 to 60.8% in Nine Months 2020. The loss ratio improved due to several factors, including a reduced impact from prior year loss development and an improvement in the core loss ratio driven by reductions in claim frequency affecting both personal lines and livery physical damage. These improvements have offset a higher impact from catastrophe losses in the Nine Months 2020 compared to the prior period, which is mostly related to the impact of Tropical Storm Isaias on August 4, 2020.</w:t>
      </w:r>
    </w:p>
    <w:p>
      <w:pPr>
        <w:spacing w:after="0" w:line="145"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Prior year development has been slightly favorable for the Nine Months 2020, with 0.3 points of favorable impact on the overall loss ratio. The favorable loss development for the Nine Months 2020 compares to 11.7 points of unfavorable impact in the Nine Months 2019, which was primarily related to adverse loss development from commercial lines business, now in runoff. The impact of prior year development was 12.0 points more favorable in Nine Months 2020 compared to the prior year period.</w:t>
      </w:r>
    </w:p>
    <w:p>
      <w:pPr>
        <w:spacing w:after="0" w:line="190" w:lineRule="exact"/>
        <w:rPr>
          <w:sz w:val="20"/>
          <w:szCs w:val="20"/>
          <w:color w:val="auto"/>
        </w:rPr>
      </w:pPr>
    </w:p>
    <w:p>
      <w:pPr>
        <w:jc w:val="both"/>
        <w:ind w:firstLine="634"/>
        <w:spacing w:after="0" w:line="311" w:lineRule="auto"/>
        <w:rPr>
          <w:sz w:val="20"/>
          <w:szCs w:val="20"/>
          <w:color w:val="auto"/>
        </w:rPr>
      </w:pPr>
      <w:r>
        <w:rPr>
          <w:rFonts w:ascii="Arial" w:cs="Arial" w:eastAsia="Arial" w:hAnsi="Arial"/>
          <w:sz w:val="15"/>
          <w:szCs w:val="15"/>
          <w:color w:val="auto"/>
        </w:rPr>
        <w:t>The impact of catastrophe losses was greater in Nine Months 2020 when compared to the prior period. In the Nine Months 2020 there was a smaller impact from winter catastrophes events than in 2019; however the impact of Tropical Storm Isaias more than offset the favorable variance from winter catastrophe events. Tropical Storm Isaias resulted in net losses of $8,125,000, or 10.0 points on the 2020 loss ratio, through Nine Months 2020. Ten catastrophe events through Nine Months 2020 had a 12.8 point impact on the loss ratio, as compared to seven catastrophe events with a 7.3 point impact on the loss ratio through Nine Months 2019, or an increase in the impact from catastrophe events of 5.5 points compared to the prior period.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The underlying loss ratio (loss ratio excluding the impact of catastrophes and prior year development) was 48.4% for the Nine Months 2020, a decrease of 7.9 points from the 56.3% underlying loss ratio recorded for Nine Months 2019. The improvement was primarily due to reduced core claim frequency in personal lines and reduced claim frequency in the livery physical damage line. Excluding commercial lines, the underlying loss ratio improved 5.4 points, from 52.5% for Nine Months 2019 to 47.1% for the Nine Months 2020.</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table below under “Additional Financial Information” summarizing net loss ratios by line of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 Expense</w:t>
      </w:r>
    </w:p>
    <w:p>
      <w:pPr>
        <w:spacing w:after="0" w:line="216"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Commission expense was $23,653,000 in Nine Months 2020 or 18.6% of direct earned premiums. Commission expense was $21,866,000 in Nine Months 2019 or 18.6% of direct earned premiums. The increase of $1,787,000 is primarily due to the increase in direct earned premiums for Nine Months 2020 as compared to Nine Months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Underwriting Expenses</w:t>
      </w:r>
    </w:p>
    <w:p>
      <w:pPr>
        <w:spacing w:after="0" w:line="216" w:lineRule="exact"/>
        <w:rPr>
          <w:sz w:val="20"/>
          <w:szCs w:val="20"/>
          <w:color w:val="auto"/>
        </w:rPr>
      </w:pPr>
    </w:p>
    <w:p>
      <w:pPr>
        <w:jc w:val="both"/>
        <w:ind w:firstLine="634"/>
        <w:spacing w:after="0" w:line="317" w:lineRule="auto"/>
        <w:rPr>
          <w:sz w:val="20"/>
          <w:szCs w:val="20"/>
          <w:color w:val="auto"/>
        </w:rPr>
      </w:pPr>
      <w:r>
        <w:rPr>
          <w:rFonts w:ascii="Arial" w:cs="Arial" w:eastAsia="Arial" w:hAnsi="Arial"/>
          <w:sz w:val="15"/>
          <w:szCs w:val="15"/>
          <w:color w:val="auto"/>
        </w:rPr>
        <w:t>Other underwriting expenses were $19,434,000 in Nine Months 2020 compared to $17,983,000 in Nine Months 2019. The increase of $1,451,000, or 8.1%, was primarily due to expenses related to growth in personal lines direct written premiums and salaries. Expenses directly related to the increase in personal lines direct written premiums primarily consist of underwriting expenses, software usage fees, and state premium taxes. Expenses indirectly related to the increase in personal lines direct written premiums primarily consist of salaries along with related other employment costs.</w:t>
      </w:r>
    </w:p>
    <w:p>
      <w:pPr>
        <w:spacing w:after="0" w:line="145"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Our largest single component of other underwriting expenses is salaries and employment costs, with costs of $8,177,000 in Nine Months 2020 compared to $7,637,000 in Nine Months 2019. The increase of $540,000, or 7.1%, was less than the 9.6% increase in personal lines direct written premiums. The increase in employment costs was attributable to the hiring of additional highly experienced management and separation payments to terminated employees, offset by staff reductions.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Our net underwriting expense ratio in Nine Months 2020 was 38.9% compared to 37.8% in Nine Months 2019. The following table shows the individual components of our net underwriting expense ratio for the periods indicated:</w:t>
      </w:r>
    </w:p>
    <w:p>
      <w:pPr>
        <w:spacing w:after="0" w:line="174" w:lineRule="exact"/>
        <w:rPr>
          <w:sz w:val="20"/>
          <w:szCs w:val="20"/>
          <w:color w:val="auto"/>
        </w:rPr>
      </w:pPr>
    </w:p>
    <w:tbl>
      <w:tblPr>
        <w:tblLayout w:type="fixed"/>
        <w:tblInd w:w="8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40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40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Percentage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940" w:type="dxa"/>
            <w:vAlign w:val="bottom"/>
            <w:tcBorders>
              <w:top w:val="single" w:sz="8" w:color="auto"/>
            </w:tcBorders>
            <w:vMerge w:val="restart"/>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vMerge w:val="restart"/>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6"/>
                <w:szCs w:val="16"/>
                <w:color w:val="auto"/>
              </w:rPr>
            </w:pPr>
          </w:p>
        </w:tc>
        <w:tc>
          <w:tcPr>
            <w:tcW w:w="1040" w:type="dxa"/>
            <w:vAlign w:val="bottom"/>
            <w:gridSpan w:val="2"/>
          </w:tcPr>
          <w:p>
            <w:pPr>
              <w:jc w:val="center"/>
              <w:ind w:right="40"/>
              <w:spacing w:after="0" w:line="186" w:lineRule="exact"/>
              <w:rPr>
                <w:sz w:val="20"/>
                <w:szCs w:val="20"/>
                <w:color w:val="auto"/>
              </w:rPr>
            </w:pPr>
            <w:r>
              <w:rPr>
                <w:rFonts w:ascii="Arial" w:cs="Arial" w:eastAsia="Arial" w:hAnsi="Arial"/>
                <w:sz w:val="18"/>
                <w:szCs w:val="18"/>
                <w:b w:val="1"/>
                <w:bCs w:val="1"/>
                <w:color w:val="auto"/>
                <w:w w:val="88"/>
              </w:rPr>
              <w:t>Point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415"/>
        </w:trPr>
        <w:tc>
          <w:tcPr>
            <w:tcW w:w="6100" w:type="dxa"/>
            <w:vAlign w:val="bottom"/>
            <w:gridSpan w:val="2"/>
          </w:tcPr>
          <w:p>
            <w:pPr>
              <w:spacing w:after="0"/>
              <w:rPr>
                <w:sz w:val="20"/>
                <w:szCs w:val="20"/>
                <w:color w:val="auto"/>
              </w:rPr>
            </w:pPr>
            <w:r>
              <w:rPr>
                <w:rFonts w:ascii="Arial" w:cs="Arial" w:eastAsia="Arial" w:hAnsi="Arial"/>
                <w:sz w:val="18"/>
                <w:szCs w:val="18"/>
                <w:color w:val="auto"/>
              </w:rPr>
              <w:t>Other underwriting expenses</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Employment costs</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80" w:type="dxa"/>
            <w:vAlign w:val="bottom"/>
          </w:tcPr>
          <w:p>
            <w:pPr>
              <w:ind w:left="280"/>
              <w:spacing w:after="0"/>
              <w:rPr>
                <w:sz w:val="20"/>
                <w:szCs w:val="20"/>
                <w:color w:val="auto"/>
              </w:rPr>
            </w:pPr>
            <w:r>
              <w:rPr>
                <w:rFonts w:ascii="Arial" w:cs="Arial" w:eastAsia="Arial" w:hAnsi="Arial"/>
                <w:sz w:val="18"/>
                <w:szCs w:val="18"/>
                <w:color w:val="auto"/>
              </w:rPr>
              <w:t>Underwriting fees (inspections/data services)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IT expenses</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80" w:type="dxa"/>
            <w:vAlign w:val="bottom"/>
          </w:tcPr>
          <w:p>
            <w:pPr>
              <w:ind w:left="280"/>
              <w:spacing w:after="0"/>
              <w:rPr>
                <w:sz w:val="20"/>
                <w:szCs w:val="20"/>
                <w:color w:val="auto"/>
              </w:rPr>
            </w:pPr>
            <w:r>
              <w:rPr>
                <w:rFonts w:ascii="Arial" w:cs="Arial" w:eastAsia="Arial" w:hAnsi="Arial"/>
                <w:sz w:val="18"/>
                <w:szCs w:val="18"/>
                <w:color w:val="auto"/>
              </w:rPr>
              <w:t>Other expenses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8.4</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080" w:type="dxa"/>
            <w:vAlign w:val="bottom"/>
            <w:shd w:val="clear" w:color="auto" w:fill="CCEEFF"/>
          </w:tcPr>
          <w:p>
            <w:pPr>
              <w:ind w:left="120"/>
              <w:spacing w:after="0" w:line="205" w:lineRule="exact"/>
              <w:rPr>
                <w:sz w:val="20"/>
                <w:szCs w:val="20"/>
                <w:color w:val="auto"/>
              </w:rPr>
            </w:pPr>
            <w:r>
              <w:rPr>
                <w:rFonts w:ascii="Arial" w:cs="Arial" w:eastAsia="Arial" w:hAnsi="Arial"/>
                <w:sz w:val="18"/>
                <w:szCs w:val="18"/>
                <w:color w:val="auto"/>
              </w:rPr>
              <w:t>Total other underwriting expenses</w:t>
            </w:r>
          </w:p>
        </w:tc>
        <w:tc>
          <w:tcPr>
            <w:tcW w:w="1200" w:type="dxa"/>
            <w:vAlign w:val="bottom"/>
            <w:gridSpan w:val="2"/>
            <w:shd w:val="clear" w:color="auto" w:fill="CCEEFF"/>
          </w:tcPr>
          <w:p>
            <w:pPr>
              <w:jc w:val="right"/>
              <w:ind w:right="260"/>
              <w:spacing w:after="0" w:line="205" w:lineRule="exact"/>
              <w:rPr>
                <w:sz w:val="20"/>
                <w:szCs w:val="20"/>
                <w:color w:val="auto"/>
              </w:rPr>
            </w:pPr>
            <w:r>
              <w:rPr>
                <w:rFonts w:ascii="Arial" w:cs="Arial" w:eastAsia="Arial" w:hAnsi="Arial"/>
                <w:sz w:val="18"/>
                <w:szCs w:val="18"/>
                <w:color w:val="auto"/>
              </w:rPr>
              <w:t>23.9</w:t>
            </w:r>
          </w:p>
        </w:tc>
        <w:tc>
          <w:tcPr>
            <w:tcW w:w="1200" w:type="dxa"/>
            <w:vAlign w:val="bottom"/>
            <w:gridSpan w:val="2"/>
            <w:shd w:val="clear" w:color="auto" w:fill="CCEEFF"/>
          </w:tcPr>
          <w:p>
            <w:pPr>
              <w:jc w:val="right"/>
              <w:ind w:right="260"/>
              <w:spacing w:after="0" w:line="205" w:lineRule="exact"/>
              <w:rPr>
                <w:sz w:val="20"/>
                <w:szCs w:val="20"/>
                <w:color w:val="auto"/>
              </w:rPr>
            </w:pPr>
            <w:r>
              <w:rPr>
                <w:rFonts w:ascii="Arial" w:cs="Arial" w:eastAsia="Arial" w:hAnsi="Arial"/>
                <w:sz w:val="18"/>
                <w:szCs w:val="18"/>
                <w:color w:val="auto"/>
              </w:rPr>
              <w:t>18.9</w:t>
            </w:r>
          </w:p>
        </w:tc>
        <w:tc>
          <w:tcPr>
            <w:tcW w:w="104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Ceding commission revenue</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80" w:type="dxa"/>
            <w:vAlign w:val="bottom"/>
          </w:tcPr>
          <w:p>
            <w:pPr>
              <w:ind w:left="280"/>
              <w:spacing w:after="0"/>
              <w:rPr>
                <w:sz w:val="20"/>
                <w:szCs w:val="20"/>
                <w:color w:val="auto"/>
              </w:rPr>
            </w:pPr>
            <w:r>
              <w:rPr>
                <w:rFonts w:ascii="Arial" w:cs="Arial" w:eastAsia="Arial" w:hAnsi="Arial"/>
                <w:sz w:val="18"/>
                <w:szCs w:val="18"/>
                <w:color w:val="auto"/>
              </w:rPr>
              <w:t>Provisional</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Contingent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080" w:type="dxa"/>
            <w:vAlign w:val="bottom"/>
          </w:tcPr>
          <w:p>
            <w:pPr>
              <w:ind w:left="120"/>
              <w:spacing w:after="0" w:line="205" w:lineRule="exact"/>
              <w:rPr>
                <w:sz w:val="20"/>
                <w:szCs w:val="20"/>
                <w:color w:val="auto"/>
              </w:rPr>
            </w:pPr>
            <w:r>
              <w:rPr>
                <w:rFonts w:ascii="Arial" w:cs="Arial" w:eastAsia="Arial" w:hAnsi="Arial"/>
                <w:sz w:val="18"/>
                <w:szCs w:val="18"/>
                <w:color w:val="auto"/>
              </w:rPr>
              <w:t>Total ceding commission revenue</w:t>
            </w:r>
          </w:p>
        </w:tc>
        <w:tc>
          <w:tcPr>
            <w:tcW w:w="120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(13.3)</w:t>
            </w:r>
          </w:p>
        </w:tc>
        <w:tc>
          <w:tcPr>
            <w:tcW w:w="120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(3.1)</w:t>
            </w:r>
          </w:p>
        </w:tc>
        <w:tc>
          <w:tcPr>
            <w:tcW w:w="104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Other income</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Commission expense</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vMerge w:val="continue"/>
          </w:tcPr>
          <w:p>
            <w:pPr>
              <w:spacing w:after="0"/>
              <w:rPr>
                <w:sz w:val="20"/>
                <w:szCs w:val="20"/>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 ratio</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7" w:right="339" w:bottom="0" w:gutter="0" w:footer="0" w:header="0"/>
        </w:sectPr>
      </w:pPr>
    </w:p>
    <w:bookmarkStart w:id="31" w:name="page32"/>
    <w:bookmarkEnd w:id="31"/>
    <w:p>
      <w:pPr>
        <w:spacing w:after="0" w:line="62" w:lineRule="exact"/>
        <w:rPr>
          <w:sz w:val="20"/>
          <w:szCs w:val="20"/>
          <w:color w:val="auto"/>
        </w:rPr>
      </w:pPr>
    </w:p>
    <w:p>
      <w:pPr>
        <w:jc w:val="both"/>
        <w:ind w:firstLine="634"/>
        <w:spacing w:after="0" w:line="267" w:lineRule="auto"/>
        <w:rPr>
          <w:sz w:val="20"/>
          <w:szCs w:val="20"/>
          <w:color w:val="auto"/>
        </w:rPr>
      </w:pPr>
      <w:r>
        <w:rPr>
          <w:rFonts w:ascii="Arial" w:cs="Arial" w:eastAsia="Arial" w:hAnsi="Arial"/>
          <w:sz w:val="17"/>
          <w:szCs w:val="17"/>
          <w:color w:val="auto"/>
        </w:rPr>
        <w:t>The overall 10.2 percentage point increase in the benefit from provisional ceding commissions was driven entirely by the change in our quota share ceding rates and its impact on provisional ceding commission revenue due to less retention beginning with the inception of the 2019/2020 Treaty on December 15, 2019, resulting in an increase in provisional ceding commissions. The components of our net underwriting expense ratio related to other underwriting expenses, other income and commissions increased in all categories due to less retention beginning with the inception of 2019/2020 Treaty on December 15, 2019, resulting in an overall 1.1 percentage point increase in the net underwriting expense ratio.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216" w:lineRule="exact"/>
        <w:rPr>
          <w:sz w:val="20"/>
          <w:szCs w:val="20"/>
          <w:color w:val="auto"/>
        </w:rPr>
      </w:pPr>
    </w:p>
    <w:p>
      <w:pPr>
        <w:jc w:val="both"/>
        <w:ind w:firstLine="634"/>
        <w:spacing w:after="0" w:line="264" w:lineRule="auto"/>
        <w:rPr>
          <w:sz w:val="20"/>
          <w:szCs w:val="20"/>
          <w:color w:val="auto"/>
        </w:rPr>
      </w:pPr>
      <w:r>
        <w:rPr>
          <w:rFonts w:ascii="Arial" w:cs="Arial" w:eastAsia="Arial" w:hAnsi="Arial"/>
          <w:sz w:val="17"/>
          <w:szCs w:val="17"/>
          <w:color w:val="auto"/>
        </w:rPr>
        <w:t>Other operating expenses, related to the expenses of our holding company and Cosi, were $3,364,000 for Nine Months 2020 compared to $2,647,000 for Nine Months 2019. The increase in Nine Months 2020 of $717,000, or 27.1%, as compared to Nine Months 2019 was primarily due to increases in equity compensation and executive bonus compensation. The increase in equity compensation was due to an annual restricted stock award pursuant to the employment agreement with Barry B. Goldstein, our Chief Executive Officer. In Nine Months 2019, executive bonus compensation was accrued pursuant to the employment agreement effective January 1, 2017 with Mr. Goldstein. The bonus is a one-time payment computed at the end of the three-year period ended December 31, 2019, and as of September 30, 2019 the three-year computation did not meet the required terms of profitability, resulting in the reversal of $698,000 previously accrued. There was no accrual for bonus in Nine Months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16"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Depreciation and amortization was $2,070,000 in Nine Months 2020 compared to $1,876,000 in Nine Months 2019. The increase of $194,000, or 10.3%, in depreciation and amortization was primarily due to depreciation of our new systems platform for handling business being written in Expansion states, newly purchased assets used to upgrade our systems infrastructure and improvements to the Kingston, New York home office building from which we operate.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16"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Interest expense was $1,370,000 for both Nine Months 2020 and Nine Months 2019. We incurred interest expense in connection with our $30.0 million issuance of long-term debt in December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w:t>
      </w:r>
    </w:p>
    <w:p>
      <w:pPr>
        <w:spacing w:after="0" w:line="216" w:lineRule="exact"/>
        <w:rPr>
          <w:sz w:val="20"/>
          <w:szCs w:val="20"/>
          <w:color w:val="auto"/>
        </w:rPr>
      </w:pPr>
    </w:p>
    <w:p>
      <w:pPr>
        <w:jc w:val="both"/>
        <w:ind w:firstLine="634"/>
        <w:spacing w:after="0" w:line="311" w:lineRule="auto"/>
        <w:rPr>
          <w:sz w:val="20"/>
          <w:szCs w:val="20"/>
          <w:color w:val="auto"/>
        </w:rPr>
      </w:pPr>
      <w:r>
        <w:rPr>
          <w:rFonts w:ascii="Arial" w:cs="Arial" w:eastAsia="Arial" w:hAnsi="Arial"/>
          <w:sz w:val="15"/>
          <w:szCs w:val="15"/>
          <w:color w:val="auto"/>
        </w:rPr>
        <w:t>Income tax benefit in Nine Months 2020 was $1,379,000, which resulted in an effective tax benefit rate of 40.1%. Income tax benefit in Nine Months 2019 was $1,998,000, which resulted in an effective tax benefit rate of 21.2%. Loss before taxes was $3,443,000 in Nine Months 2020 compared to loss before taxes of $9,419,000 in Nine Months 2019. On March 27, 2020, the Coronavirus Aid, Relief, and Economic Security (CARES) Act was signed into law, allowing for a five year carryback of 2019 NOL’s. We elected on our 2019 federal income tax return to carry back the 2019 NOL of $7,222,000 to tax years 2014 and 2015. The corporate tax rate in 2014 and 2015 was 34%, compared to the corporate tax rate of 21% in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16"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Net loss was $2,064,000 in Nine Months 2020 compared to net loss of $7,421,000 in Nine Months 2019. The decrease in net loss of $5,357,000 was due to the circumstances described above, which caused the decrease in our net loss ratio, increase in ceding commission revenue and other income, partially offset by the decrease in our net premiums earned, and increases in net losses on investments, other underwriting and operating expenses, and depreciation and amortization.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2020 Compared to Three Months Ended September 30, 2019</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changes in the results of our operations (in thousands)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8"/>
                <w:szCs w:val="18"/>
                <w:b w:val="1"/>
                <w:bCs w:val="1"/>
                <w:color w:val="auto"/>
                <w:w w:val="87"/>
              </w:rPr>
              <w:t>Three months ended September 30,</w:t>
            </w:r>
          </w:p>
        </w:tc>
        <w:tc>
          <w:tcPr>
            <w:tcW w:w="11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96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72"/>
              <w:spacing w:after="0" w:line="206" w:lineRule="exact"/>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92"/>
              <w:spacing w:after="0" w:line="206" w:lineRule="exact"/>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480"/>
              <w:spacing w:after="0" w:line="206" w:lineRule="exact"/>
              <w:rPr>
                <w:sz w:val="20"/>
                <w:szCs w:val="20"/>
                <w:color w:val="auto"/>
              </w:rPr>
            </w:pPr>
            <w:r>
              <w:rPr>
                <w:rFonts w:ascii="Arial" w:cs="Arial" w:eastAsia="Arial" w:hAnsi="Arial"/>
                <w:sz w:val="18"/>
                <w:szCs w:val="18"/>
                <w:b w:val="1"/>
                <w:bCs w:val="1"/>
                <w:color w:val="auto"/>
                <w:w w:val="96"/>
              </w:rPr>
              <w:t>Change</w:t>
            </w:r>
          </w:p>
        </w:tc>
        <w:tc>
          <w:tcPr>
            <w:tcW w:w="1120" w:type="dxa"/>
            <w:vAlign w:val="bottom"/>
          </w:tcPr>
          <w:p>
            <w:pPr>
              <w:ind w:left="300"/>
              <w:spacing w:after="0" w:line="206" w:lineRule="exact"/>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40" w:type="dxa"/>
            <w:vAlign w:val="bottom"/>
            <w:tcBorders>
              <w:top w:val="single" w:sz="8" w:color="auto"/>
            </w:tcBorders>
          </w:tcPr>
          <w:p>
            <w:pPr>
              <w:spacing w:after="0" w:line="205" w:lineRule="exact"/>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Direct written premiums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45,743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46,023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2"/>
          </w:tcPr>
          <w:p>
            <w:pPr>
              <w:ind w:left="140"/>
              <w:spacing w:after="0"/>
              <w:rPr>
                <w:sz w:val="20"/>
                <w:szCs w:val="20"/>
                <w:color w:val="auto"/>
              </w:rPr>
            </w:pPr>
            <w:r>
              <w:rPr>
                <w:rFonts w:ascii="Arial" w:cs="Arial" w:eastAsia="Arial" w:hAnsi="Arial"/>
                <w:sz w:val="18"/>
                <w:szCs w:val="18"/>
                <w:color w:val="auto"/>
              </w:rPr>
              <w:t>Assumed written premiums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n/a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45,743</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46,024</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line="205" w:lineRule="exact"/>
              <w:rPr>
                <w:sz w:val="20"/>
                <w:szCs w:val="20"/>
                <w:color w:val="auto"/>
              </w:rPr>
            </w:pPr>
            <w:r>
              <w:rPr>
                <w:rFonts w:ascii="Arial" w:cs="Arial" w:eastAsia="Arial" w:hAnsi="Arial"/>
                <w:sz w:val="18"/>
                <w:szCs w:val="18"/>
                <w:color w:val="auto"/>
              </w:rPr>
              <w:t>(281)</w:t>
            </w:r>
          </w:p>
        </w:tc>
        <w:tc>
          <w:tcPr>
            <w:tcW w:w="132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tcBorders>
              <w:top w:val="single" w:sz="8" w:color="CCEEFF"/>
            </w:tcBorders>
            <w:gridSpan w:val="2"/>
          </w:tcPr>
          <w:p>
            <w:pPr>
              <w:ind w:left="140"/>
              <w:spacing w:after="0" w:line="205" w:lineRule="exact"/>
              <w:rPr>
                <w:sz w:val="20"/>
                <w:szCs w:val="20"/>
                <w:color w:val="auto"/>
              </w:rPr>
            </w:pPr>
            <w:r>
              <w:rPr>
                <w:rFonts w:ascii="Arial" w:cs="Arial" w:eastAsia="Arial" w:hAnsi="Arial"/>
                <w:sz w:val="18"/>
                <w:szCs w:val="18"/>
                <w:color w:val="auto"/>
              </w:rPr>
              <w:t>Ceded written premiums</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Ceded to quota share treaties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8,962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8,815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5,996.6%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color w:val="auto"/>
              </w:rPr>
              <w:t>Ceded to excess of loss treaties</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Ceded to catastrophe treaties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gridSpan w:val="2"/>
          </w:tcPr>
          <w:p>
            <w:pPr>
              <w:ind w:left="140"/>
              <w:spacing w:after="0" w:line="205" w:lineRule="exact"/>
              <w:rPr>
                <w:sz w:val="20"/>
                <w:szCs w:val="20"/>
                <w:color w:val="auto"/>
              </w:rPr>
            </w:pPr>
            <w:r>
              <w:rPr>
                <w:rFonts w:ascii="Arial" w:cs="Arial" w:eastAsia="Arial" w:hAnsi="Arial"/>
                <w:sz w:val="18"/>
                <w:szCs w:val="18"/>
                <w:color w:val="auto"/>
              </w:rPr>
              <w:t>Total ceded written premiums</w:t>
            </w:r>
          </w:p>
        </w:tc>
        <w:tc>
          <w:tcPr>
            <w:tcW w:w="240" w:type="dxa"/>
            <w:vAlign w:val="bottom"/>
          </w:tcPr>
          <w:p>
            <w:pPr>
              <w:spacing w:after="0"/>
              <w:rPr>
                <w:sz w:val="17"/>
                <w:szCs w:val="17"/>
                <w:color w:val="auto"/>
              </w:rPr>
            </w:pPr>
          </w:p>
        </w:tc>
        <w:tc>
          <w:tcPr>
            <w:tcW w:w="940" w:type="dxa"/>
            <w:vAlign w:val="bottom"/>
            <w:gridSpan w:val="2"/>
          </w:tcPr>
          <w:p>
            <w:pPr>
              <w:jc w:val="right"/>
              <w:ind w:right="60"/>
              <w:spacing w:after="0" w:line="205" w:lineRule="exact"/>
              <w:rPr>
                <w:sz w:val="20"/>
                <w:szCs w:val="20"/>
                <w:color w:val="auto"/>
              </w:rPr>
            </w:pPr>
            <w:r>
              <w:rPr>
                <w:rFonts w:ascii="Arial" w:cs="Arial" w:eastAsia="Arial" w:hAnsi="Arial"/>
                <w:sz w:val="18"/>
                <w:szCs w:val="18"/>
                <w:color w:val="auto"/>
              </w:rPr>
              <w:t>15,748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5,586</w:t>
            </w:r>
          </w:p>
        </w:tc>
        <w:tc>
          <w:tcPr>
            <w:tcW w:w="180" w:type="dxa"/>
            <w:vAlign w:val="bottom"/>
          </w:tcPr>
          <w:p>
            <w:pPr>
              <w:spacing w:after="0"/>
              <w:rPr>
                <w:sz w:val="17"/>
                <w:szCs w:val="17"/>
                <w:color w:val="auto"/>
              </w:rPr>
            </w:pPr>
          </w:p>
        </w:tc>
        <w:tc>
          <w:tcPr>
            <w:tcW w:w="114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10,162</w:t>
            </w:r>
          </w:p>
        </w:tc>
        <w:tc>
          <w:tcPr>
            <w:tcW w:w="1320" w:type="dxa"/>
            <w:vAlign w:val="bottom"/>
            <w:gridSpan w:val="2"/>
          </w:tcPr>
          <w:p>
            <w:pPr>
              <w:jc w:val="right"/>
              <w:ind w:right="60"/>
              <w:spacing w:after="0" w:line="205" w:lineRule="exact"/>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2"/>
          </w:tcPr>
          <w:p>
            <w:pPr>
              <w:ind w:left="140"/>
              <w:spacing w:after="0"/>
              <w:rPr>
                <w:sz w:val="20"/>
                <w:szCs w:val="20"/>
                <w:color w:val="auto"/>
              </w:rPr>
            </w:pPr>
            <w:r>
              <w:rPr>
                <w:rFonts w:ascii="Arial" w:cs="Arial" w:eastAsia="Arial" w:hAnsi="Arial"/>
                <w:sz w:val="18"/>
                <w:szCs w:val="18"/>
                <w:color w:val="auto"/>
              </w:rPr>
              <w:t>Net written premiums</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29,995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40,438</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(10,443)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2"/>
          </w:tcPr>
          <w:p>
            <w:pPr>
              <w:ind w:left="140"/>
              <w:spacing w:after="0"/>
              <w:rPr>
                <w:sz w:val="20"/>
                <w:szCs w:val="20"/>
                <w:color w:val="auto"/>
              </w:rPr>
            </w:pPr>
            <w:r>
              <w:rPr>
                <w:rFonts w:ascii="Arial" w:cs="Arial" w:eastAsia="Arial" w:hAnsi="Arial"/>
                <w:sz w:val="18"/>
                <w:szCs w:val="18"/>
                <w:color w:val="auto"/>
              </w:rPr>
              <w:t>Change in unearned premiums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Direct and assumed</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color w:val="auto"/>
              </w:rPr>
              <w:t>Ceded to quota share treaties</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688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(1,637)</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2,325</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n/a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gridSpan w:val="2"/>
            <w:shd w:val="clear" w:color="auto" w:fill="CCEEFF"/>
          </w:tcPr>
          <w:p>
            <w:pPr>
              <w:ind w:left="140"/>
              <w:spacing w:after="0" w:line="205" w:lineRule="exact"/>
              <w:rPr>
                <w:sz w:val="20"/>
                <w:szCs w:val="20"/>
                <w:color w:val="auto"/>
              </w:rPr>
            </w:pPr>
            <w:r>
              <w:rPr>
                <w:rFonts w:ascii="Arial" w:cs="Arial" w:eastAsia="Arial" w:hAnsi="Arial"/>
                <w:sz w:val="18"/>
                <w:szCs w:val="18"/>
                <w:color w:val="auto"/>
              </w:rPr>
              <w:t>Change in net unearned premiums</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(2,473)</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5" w:lineRule="exact"/>
              <w:rPr>
                <w:sz w:val="20"/>
                <w:szCs w:val="20"/>
                <w:color w:val="auto"/>
              </w:rPr>
            </w:pPr>
            <w:r>
              <w:rPr>
                <w:rFonts w:ascii="Arial" w:cs="Arial" w:eastAsia="Arial" w:hAnsi="Arial"/>
                <w:sz w:val="18"/>
                <w:szCs w:val="18"/>
                <w:color w:val="auto"/>
              </w:rPr>
              <w:t>(6,218)</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3,745</w:t>
            </w:r>
          </w:p>
        </w:tc>
        <w:tc>
          <w:tcPr>
            <w:tcW w:w="132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338" w:right="339" w:bottom="0" w:gutter="0" w:footer="0" w:header="0"/>
        </w:sectPr>
      </w:pPr>
    </w:p>
    <w:bookmarkStart w:id="32" w:name="page33"/>
    <w:bookmarkEnd w:id="32"/>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Premiums earned</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8"/>
                <w:szCs w:val="18"/>
                <w:color w:val="auto"/>
              </w:rPr>
              <w:t>Direct and assumed</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42,581</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41,443</w:t>
            </w:r>
          </w:p>
        </w:tc>
        <w:tc>
          <w:tcPr>
            <w:tcW w:w="32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1,138</w:t>
            </w: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Ceded to reinsurance treaties</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(15,060)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(7,223)</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(7,837)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tcPr>
          <w:p>
            <w:pPr>
              <w:ind w:left="140"/>
              <w:spacing w:after="0" w:line="205" w:lineRule="exact"/>
              <w:rPr>
                <w:sz w:val="20"/>
                <w:szCs w:val="20"/>
                <w:color w:val="auto"/>
              </w:rPr>
            </w:pPr>
            <w:r>
              <w:rPr>
                <w:rFonts w:ascii="Arial" w:cs="Arial" w:eastAsia="Arial" w:hAnsi="Arial"/>
                <w:sz w:val="18"/>
                <w:szCs w:val="18"/>
                <w:color w:val="auto"/>
              </w:rPr>
              <w:t>Net premiums earned</w:t>
            </w:r>
          </w:p>
        </w:tc>
        <w:tc>
          <w:tcPr>
            <w:tcW w:w="320" w:type="dxa"/>
            <w:vAlign w:val="bottom"/>
          </w:tcPr>
          <w:p>
            <w:pPr>
              <w:spacing w:after="0"/>
              <w:rPr>
                <w:sz w:val="17"/>
                <w:szCs w:val="17"/>
                <w:color w:val="auto"/>
              </w:rPr>
            </w:pPr>
          </w:p>
        </w:tc>
        <w:tc>
          <w:tcPr>
            <w:tcW w:w="100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27,521</w:t>
            </w:r>
          </w:p>
        </w:tc>
        <w:tc>
          <w:tcPr>
            <w:tcW w:w="360" w:type="dxa"/>
            <w:vAlign w:val="bottom"/>
          </w:tcPr>
          <w:p>
            <w:pPr>
              <w:spacing w:after="0"/>
              <w:rPr>
                <w:sz w:val="17"/>
                <w:szCs w:val="17"/>
                <w:color w:val="auto"/>
              </w:rPr>
            </w:pPr>
          </w:p>
        </w:tc>
        <w:tc>
          <w:tcPr>
            <w:tcW w:w="96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34,220</w:t>
            </w:r>
          </w:p>
        </w:tc>
        <w:tc>
          <w:tcPr>
            <w:tcW w:w="320" w:type="dxa"/>
            <w:vAlign w:val="bottom"/>
          </w:tcPr>
          <w:p>
            <w:pPr>
              <w:spacing w:after="0"/>
              <w:rPr>
                <w:sz w:val="17"/>
                <w:szCs w:val="17"/>
                <w:color w:val="auto"/>
              </w:rPr>
            </w:pPr>
          </w:p>
        </w:tc>
        <w:tc>
          <w:tcPr>
            <w:tcW w:w="1360" w:type="dxa"/>
            <w:vAlign w:val="bottom"/>
            <w:gridSpan w:val="2"/>
          </w:tcPr>
          <w:p>
            <w:pPr>
              <w:jc w:val="right"/>
              <w:ind w:right="520"/>
              <w:spacing w:after="0" w:line="205" w:lineRule="exact"/>
              <w:rPr>
                <w:sz w:val="20"/>
                <w:szCs w:val="20"/>
                <w:color w:val="auto"/>
              </w:rPr>
            </w:pPr>
            <w:r>
              <w:rPr>
                <w:rFonts w:ascii="Arial" w:cs="Arial" w:eastAsia="Arial" w:hAnsi="Arial"/>
                <w:sz w:val="18"/>
                <w:szCs w:val="18"/>
                <w:color w:val="auto"/>
              </w:rPr>
              <w:t>(6,699)</w:t>
            </w:r>
          </w:p>
        </w:tc>
        <w:tc>
          <w:tcPr>
            <w:tcW w:w="960" w:type="dxa"/>
            <w:vAlign w:val="bottom"/>
          </w:tcPr>
          <w:p>
            <w:pPr>
              <w:jc w:val="right"/>
              <w:spacing w:after="0" w:line="205"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tcPr>
          <w:p>
            <w:pPr>
              <w:ind w:left="140"/>
              <w:spacing w:after="0"/>
              <w:rPr>
                <w:sz w:val="20"/>
                <w:szCs w:val="20"/>
                <w:color w:val="auto"/>
              </w:rPr>
            </w:pPr>
            <w:r>
              <w:rPr>
                <w:rFonts w:ascii="Arial" w:cs="Arial" w:eastAsia="Arial" w:hAnsi="Arial"/>
                <w:sz w:val="18"/>
                <w:szCs w:val="18"/>
                <w:color w:val="auto"/>
              </w:rPr>
              <w:t>Ceding commission revenue</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3,449</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1,030</w:t>
            </w:r>
          </w:p>
        </w:tc>
        <w:tc>
          <w:tcPr>
            <w:tcW w:w="32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2,419</w:t>
            </w:r>
          </w:p>
        </w:tc>
        <w:tc>
          <w:tcPr>
            <w:tcW w:w="960" w:type="dxa"/>
            <w:vAlign w:val="bottom"/>
          </w:tcPr>
          <w:p>
            <w:pPr>
              <w:jc w:val="right"/>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1,494</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1,857</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tcPr>
          <w:p>
            <w:pPr>
              <w:ind w:left="140"/>
              <w:spacing w:after="0"/>
              <w:rPr>
                <w:sz w:val="20"/>
                <w:szCs w:val="20"/>
                <w:color w:val="auto"/>
              </w:rPr>
            </w:pPr>
            <w:r>
              <w:rPr>
                <w:rFonts w:ascii="Arial" w:cs="Arial" w:eastAsia="Arial" w:hAnsi="Arial"/>
                <w:sz w:val="18"/>
                <w:szCs w:val="18"/>
                <w:color w:val="auto"/>
              </w:rPr>
              <w:t>Net gains on investments</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2,107</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998</w:t>
            </w:r>
          </w:p>
        </w:tc>
        <w:tc>
          <w:tcPr>
            <w:tcW w:w="32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1,109</w:t>
            </w:r>
          </w:p>
        </w:tc>
        <w:tc>
          <w:tcPr>
            <w:tcW w:w="960" w:type="dxa"/>
            <w:vAlign w:val="bottom"/>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tcPr>
          <w:p>
            <w:pPr>
              <w:ind w:left="300"/>
              <w:spacing w:after="0" w:line="205" w:lineRule="exact"/>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7"/>
                <w:szCs w:val="17"/>
                <w:color w:val="auto"/>
              </w:rPr>
            </w:pPr>
          </w:p>
        </w:tc>
        <w:tc>
          <w:tcPr>
            <w:tcW w:w="100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34,822</w:t>
            </w:r>
          </w:p>
        </w:tc>
        <w:tc>
          <w:tcPr>
            <w:tcW w:w="360" w:type="dxa"/>
            <w:vAlign w:val="bottom"/>
          </w:tcPr>
          <w:p>
            <w:pPr>
              <w:spacing w:after="0"/>
              <w:rPr>
                <w:sz w:val="17"/>
                <w:szCs w:val="17"/>
                <w:color w:val="auto"/>
              </w:rPr>
            </w:pPr>
          </w:p>
        </w:tc>
        <w:tc>
          <w:tcPr>
            <w:tcW w:w="96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38,448</w:t>
            </w:r>
          </w:p>
        </w:tc>
        <w:tc>
          <w:tcPr>
            <w:tcW w:w="320" w:type="dxa"/>
            <w:vAlign w:val="bottom"/>
          </w:tcPr>
          <w:p>
            <w:pPr>
              <w:spacing w:after="0"/>
              <w:rPr>
                <w:sz w:val="17"/>
                <w:szCs w:val="17"/>
                <w:color w:val="auto"/>
              </w:rPr>
            </w:pPr>
          </w:p>
        </w:tc>
        <w:tc>
          <w:tcPr>
            <w:tcW w:w="1360" w:type="dxa"/>
            <w:vAlign w:val="bottom"/>
            <w:gridSpan w:val="2"/>
          </w:tcPr>
          <w:p>
            <w:pPr>
              <w:jc w:val="right"/>
              <w:ind w:right="520"/>
              <w:spacing w:after="0" w:line="205" w:lineRule="exact"/>
              <w:rPr>
                <w:sz w:val="20"/>
                <w:szCs w:val="20"/>
                <w:color w:val="auto"/>
              </w:rPr>
            </w:pPr>
            <w:r>
              <w:rPr>
                <w:rFonts w:ascii="Arial" w:cs="Arial" w:eastAsia="Arial" w:hAnsi="Arial"/>
                <w:sz w:val="18"/>
                <w:szCs w:val="18"/>
                <w:color w:val="auto"/>
              </w:rPr>
              <w:t>(3,626)</w:t>
            </w:r>
          </w:p>
        </w:tc>
        <w:tc>
          <w:tcPr>
            <w:tcW w:w="960" w:type="dxa"/>
            <w:vAlign w:val="bottom"/>
          </w:tcPr>
          <w:p>
            <w:pPr>
              <w:jc w:val="right"/>
              <w:spacing w:after="0" w:line="205"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Expenses</w:t>
            </w: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tcPr>
          <w:p>
            <w:pPr>
              <w:ind w:left="140"/>
              <w:spacing w:after="0"/>
              <w:rPr>
                <w:sz w:val="20"/>
                <w:szCs w:val="20"/>
                <w:color w:val="auto"/>
              </w:rPr>
            </w:pPr>
            <w:r>
              <w:rPr>
                <w:rFonts w:ascii="Arial" w:cs="Arial" w:eastAsia="Arial" w:hAnsi="Arial"/>
                <w:sz w:val="18"/>
                <w:szCs w:val="18"/>
                <w:color w:val="auto"/>
              </w:rPr>
              <w:t>Loss and loss adjustment expenses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Direct and assumed:</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8"/>
                <w:szCs w:val="18"/>
                <w:color w:val="auto"/>
                <w:w w:val="98"/>
              </w:rPr>
              <w:t>Loss and loss adjustment expenses excluding the effect of catastrophes</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15,656</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26,518</w:t>
            </w:r>
          </w:p>
        </w:tc>
        <w:tc>
          <w:tcPr>
            <w:tcW w:w="3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(10,862)</w:t>
            </w:r>
          </w:p>
        </w:tc>
        <w:tc>
          <w:tcPr>
            <w:tcW w:w="96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Losses from catastrophes, tropical storm Isaias (1)(2)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17,358</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17,358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8"/>
                <w:szCs w:val="18"/>
                <w:color w:val="auto"/>
              </w:rPr>
              <w:t>Losses from catastrophes, all others (1)</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711</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491</w:t>
            </w:r>
          </w:p>
        </w:tc>
        <w:tc>
          <w:tcPr>
            <w:tcW w:w="32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220</w:t>
            </w:r>
          </w:p>
        </w:tc>
        <w:tc>
          <w:tcPr>
            <w:tcW w:w="96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shd w:val="clear" w:color="auto" w:fill="CCEEFF"/>
          </w:tcPr>
          <w:p>
            <w:pPr>
              <w:ind w:left="300"/>
              <w:spacing w:after="0" w:line="205" w:lineRule="exact"/>
              <w:rPr>
                <w:sz w:val="20"/>
                <w:szCs w:val="20"/>
                <w:color w:val="auto"/>
              </w:rPr>
            </w:pPr>
            <w:r>
              <w:rPr>
                <w:rFonts w:ascii="Arial" w:cs="Arial" w:eastAsia="Arial" w:hAnsi="Arial"/>
                <w:sz w:val="18"/>
                <w:szCs w:val="18"/>
                <w:color w:val="auto"/>
              </w:rPr>
              <w:t>Total direct and assumed loss and loss adjustment expenses</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33,725</w:t>
            </w: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27,009</w:t>
            </w: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5" w:lineRule="exact"/>
              <w:rPr>
                <w:sz w:val="20"/>
                <w:szCs w:val="20"/>
                <w:color w:val="auto"/>
              </w:rPr>
            </w:pPr>
            <w:r>
              <w:rPr>
                <w:rFonts w:ascii="Arial" w:cs="Arial" w:eastAsia="Arial" w:hAnsi="Arial"/>
                <w:sz w:val="18"/>
                <w:szCs w:val="18"/>
                <w:color w:val="auto"/>
              </w:rPr>
              <w:t>6,716</w:t>
            </w:r>
          </w:p>
        </w:tc>
        <w:tc>
          <w:tcPr>
            <w:tcW w:w="9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Ceded loss and loss adjustment expenses: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8"/>
                <w:szCs w:val="18"/>
                <w:color w:val="auto"/>
                <w:w w:val="98"/>
              </w:rPr>
              <w:t>Loss and loss adjustment expenses excluding the effect of catastrophes</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4,202</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2,182</w:t>
            </w:r>
          </w:p>
        </w:tc>
        <w:tc>
          <w:tcPr>
            <w:tcW w:w="32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2,020</w:t>
            </w:r>
          </w:p>
        </w:tc>
        <w:tc>
          <w:tcPr>
            <w:tcW w:w="960" w:type="dxa"/>
            <w:vAlign w:val="bottom"/>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Losses from catastrophes, tropical storm Isaias (1)(2)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9,233</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9,233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8"/>
                <w:szCs w:val="18"/>
                <w:color w:val="auto"/>
              </w:rPr>
              <w:t>Losses from catastrophes, all others (1)</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127</w:t>
            </w:r>
          </w:p>
        </w:tc>
        <w:tc>
          <w:tcPr>
            <w:tcW w:w="960" w:type="dxa"/>
            <w:vAlign w:val="bottom"/>
          </w:tcPr>
          <w:p>
            <w:pPr>
              <w:jc w:val="right"/>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shd w:val="clear" w:color="auto" w:fill="CCEEFF"/>
          </w:tcPr>
          <w:p>
            <w:pPr>
              <w:ind w:left="300"/>
              <w:spacing w:after="0" w:line="205" w:lineRule="exact"/>
              <w:rPr>
                <w:sz w:val="20"/>
                <w:szCs w:val="20"/>
                <w:color w:val="auto"/>
              </w:rPr>
            </w:pPr>
            <w:r>
              <w:rPr>
                <w:rFonts w:ascii="Arial" w:cs="Arial" w:eastAsia="Arial" w:hAnsi="Arial"/>
                <w:sz w:val="18"/>
                <w:szCs w:val="18"/>
                <w:color w:val="auto"/>
              </w:rPr>
              <w:t>Total ceded loss and loss adjustment expenses</w:t>
            </w: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13,607</w:t>
            </w: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2,227</w:t>
            </w: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5" w:lineRule="exact"/>
              <w:rPr>
                <w:sz w:val="20"/>
                <w:szCs w:val="20"/>
                <w:color w:val="auto"/>
              </w:rPr>
            </w:pPr>
            <w:r>
              <w:rPr>
                <w:rFonts w:ascii="Arial" w:cs="Arial" w:eastAsia="Arial" w:hAnsi="Arial"/>
                <w:sz w:val="18"/>
                <w:szCs w:val="18"/>
                <w:color w:val="auto"/>
              </w:rPr>
              <w:t>11,380</w:t>
            </w:r>
          </w:p>
        </w:tc>
        <w:tc>
          <w:tcPr>
            <w:tcW w:w="9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loss and loss adjustment expenses: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8"/>
                <w:szCs w:val="18"/>
                <w:color w:val="auto"/>
                <w:w w:val="98"/>
              </w:rPr>
              <w:t>Loss and loss adjustment expenses excluding the effect of catastrophes</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11,454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24,335</w:t>
            </w:r>
          </w:p>
        </w:tc>
        <w:tc>
          <w:tcPr>
            <w:tcW w:w="3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(12,881)</w:t>
            </w:r>
          </w:p>
        </w:tc>
        <w:tc>
          <w:tcPr>
            <w:tcW w:w="960" w:type="dxa"/>
            <w:vAlign w:val="bottom"/>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Losses from catastrophes, tropical storm Isaias (1)(2)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8,125</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8,125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tcPr>
          <w:p>
            <w:pPr>
              <w:ind w:left="300"/>
              <w:spacing w:after="0"/>
              <w:rPr>
                <w:sz w:val="20"/>
                <w:szCs w:val="20"/>
                <w:color w:val="auto"/>
              </w:rPr>
            </w:pPr>
            <w:r>
              <w:rPr>
                <w:rFonts w:ascii="Arial" w:cs="Arial" w:eastAsia="Arial" w:hAnsi="Arial"/>
                <w:sz w:val="18"/>
                <w:szCs w:val="18"/>
                <w:color w:val="auto"/>
              </w:rPr>
              <w:t>Losses from catastrophes, all others (1)</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539</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446</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shd w:val="clear" w:color="auto" w:fill="CCEEFF"/>
          </w:tcPr>
          <w:p>
            <w:pPr>
              <w:ind w:left="300"/>
              <w:spacing w:after="0" w:line="205" w:lineRule="exact"/>
              <w:rPr>
                <w:sz w:val="20"/>
                <w:szCs w:val="20"/>
                <w:color w:val="auto"/>
              </w:rPr>
            </w:pPr>
            <w:r>
              <w:rPr>
                <w:rFonts w:ascii="Arial" w:cs="Arial" w:eastAsia="Arial" w:hAnsi="Arial"/>
                <w:sz w:val="18"/>
                <w:szCs w:val="18"/>
                <w:color w:val="auto"/>
              </w:rPr>
              <w:t>Net loss and loss adjustment expenses</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20,118</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24,781</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20"/>
              <w:spacing w:after="0" w:line="205" w:lineRule="exact"/>
              <w:rPr>
                <w:sz w:val="20"/>
                <w:szCs w:val="20"/>
                <w:color w:val="auto"/>
              </w:rPr>
            </w:pPr>
            <w:r>
              <w:rPr>
                <w:rFonts w:ascii="Arial" w:cs="Arial" w:eastAsia="Arial" w:hAnsi="Arial"/>
                <w:sz w:val="18"/>
                <w:szCs w:val="18"/>
                <w:color w:val="auto"/>
              </w:rPr>
              <w:t>(4,663)</w:t>
            </w:r>
          </w:p>
        </w:tc>
        <w:tc>
          <w:tcPr>
            <w:tcW w:w="9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Commission expense</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8,036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7,723</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tcPr>
          <w:p>
            <w:pPr>
              <w:ind w:left="140"/>
              <w:spacing w:after="0"/>
              <w:rPr>
                <w:sz w:val="20"/>
                <w:szCs w:val="20"/>
                <w:color w:val="auto"/>
              </w:rPr>
            </w:pPr>
            <w:r>
              <w:rPr>
                <w:rFonts w:ascii="Arial" w:cs="Arial" w:eastAsia="Arial" w:hAnsi="Arial"/>
                <w:sz w:val="18"/>
                <w:szCs w:val="18"/>
                <w:color w:val="auto"/>
              </w:rPr>
              <w:t>Other underwriting expenses</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6,347</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6,431</w:t>
            </w:r>
          </w:p>
        </w:tc>
        <w:tc>
          <w:tcPr>
            <w:tcW w:w="3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(84)</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1,038</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710</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646</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tcPr>
          <w:p>
            <w:pPr>
              <w:ind w:left="300"/>
              <w:spacing w:after="0" w:line="205" w:lineRule="exact"/>
              <w:rPr>
                <w:sz w:val="20"/>
                <w:szCs w:val="20"/>
                <w:color w:val="auto"/>
              </w:rPr>
            </w:pPr>
            <w:r>
              <w:rPr>
                <w:rFonts w:ascii="Arial" w:cs="Arial" w:eastAsia="Arial" w:hAnsi="Arial"/>
                <w:sz w:val="18"/>
                <w:szCs w:val="18"/>
                <w:color w:val="auto"/>
              </w:rPr>
              <w:t>Total expenses</w:t>
            </w:r>
          </w:p>
        </w:tc>
        <w:tc>
          <w:tcPr>
            <w:tcW w:w="320" w:type="dxa"/>
            <w:vAlign w:val="bottom"/>
          </w:tcPr>
          <w:p>
            <w:pPr>
              <w:spacing w:after="0"/>
              <w:rPr>
                <w:sz w:val="17"/>
                <w:szCs w:val="17"/>
                <w:color w:val="auto"/>
              </w:rPr>
            </w:pPr>
          </w:p>
        </w:tc>
        <w:tc>
          <w:tcPr>
            <w:tcW w:w="100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36,706</w:t>
            </w:r>
          </w:p>
        </w:tc>
        <w:tc>
          <w:tcPr>
            <w:tcW w:w="360" w:type="dxa"/>
            <w:vAlign w:val="bottom"/>
          </w:tcPr>
          <w:p>
            <w:pPr>
              <w:spacing w:after="0"/>
              <w:rPr>
                <w:sz w:val="17"/>
                <w:szCs w:val="17"/>
                <w:color w:val="auto"/>
              </w:rPr>
            </w:pPr>
          </w:p>
        </w:tc>
        <w:tc>
          <w:tcPr>
            <w:tcW w:w="96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40,648</w:t>
            </w:r>
          </w:p>
        </w:tc>
        <w:tc>
          <w:tcPr>
            <w:tcW w:w="320" w:type="dxa"/>
            <w:vAlign w:val="bottom"/>
          </w:tcPr>
          <w:p>
            <w:pPr>
              <w:spacing w:after="0"/>
              <w:rPr>
                <w:sz w:val="17"/>
                <w:szCs w:val="17"/>
                <w:color w:val="auto"/>
              </w:rPr>
            </w:pPr>
          </w:p>
        </w:tc>
        <w:tc>
          <w:tcPr>
            <w:tcW w:w="1360" w:type="dxa"/>
            <w:vAlign w:val="bottom"/>
            <w:gridSpan w:val="2"/>
          </w:tcPr>
          <w:p>
            <w:pPr>
              <w:jc w:val="right"/>
              <w:ind w:right="520"/>
              <w:spacing w:after="0" w:line="205" w:lineRule="exact"/>
              <w:rPr>
                <w:sz w:val="20"/>
                <w:szCs w:val="20"/>
                <w:color w:val="auto"/>
              </w:rPr>
            </w:pPr>
            <w:r>
              <w:rPr>
                <w:rFonts w:ascii="Arial" w:cs="Arial" w:eastAsia="Arial" w:hAnsi="Arial"/>
                <w:sz w:val="18"/>
                <w:szCs w:val="18"/>
                <w:color w:val="auto"/>
              </w:rPr>
              <w:t>(3,942)</w:t>
            </w:r>
          </w:p>
        </w:tc>
        <w:tc>
          <w:tcPr>
            <w:tcW w:w="960" w:type="dxa"/>
            <w:vAlign w:val="bottom"/>
          </w:tcPr>
          <w:p>
            <w:pPr>
              <w:jc w:val="right"/>
              <w:spacing w:after="0" w:line="205"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tcPr>
          <w:p>
            <w:pPr>
              <w:ind w:left="140"/>
              <w:spacing w:after="0"/>
              <w:rPr>
                <w:sz w:val="20"/>
                <w:szCs w:val="20"/>
                <w:color w:val="auto"/>
              </w:rPr>
            </w:pPr>
            <w:r>
              <w:rPr>
                <w:rFonts w:ascii="Arial" w:cs="Arial" w:eastAsia="Arial" w:hAnsi="Arial"/>
                <w:sz w:val="18"/>
                <w:szCs w:val="18"/>
                <w:color w:val="auto"/>
              </w:rPr>
              <w:t>Loss before taxes</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(1,884)</w:t>
            </w: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(2,200)</w:t>
            </w:r>
          </w:p>
        </w:tc>
        <w:tc>
          <w:tcPr>
            <w:tcW w:w="32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316</w:t>
            </w:r>
          </w:p>
        </w:tc>
        <w:tc>
          <w:tcPr>
            <w:tcW w:w="96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benefit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(655)</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5940" w:type="dxa"/>
            <w:vAlign w:val="bottom"/>
          </w:tcPr>
          <w:p>
            <w:pPr>
              <w:spacing w:after="0" w:line="205" w:lineRule="exact"/>
              <w:rPr>
                <w:sz w:val="20"/>
                <w:szCs w:val="20"/>
                <w:color w:val="auto"/>
              </w:rPr>
            </w:pPr>
            <w:r>
              <w:rPr>
                <w:rFonts w:ascii="Arial" w:cs="Arial" w:eastAsia="Arial" w:hAnsi="Arial"/>
                <w:sz w:val="18"/>
                <w:szCs w:val="18"/>
                <w:b w:val="1"/>
                <w:bCs w:val="1"/>
                <w:color w:val="auto"/>
              </w:rPr>
              <w:t>Net loss</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line="205" w:lineRule="exact"/>
              <w:rPr>
                <w:sz w:val="20"/>
                <w:szCs w:val="20"/>
                <w:color w:val="auto"/>
              </w:rPr>
            </w:pPr>
            <w:r>
              <w:rPr>
                <w:rFonts w:ascii="Arial" w:cs="Arial" w:eastAsia="Arial" w:hAnsi="Arial"/>
                <w:sz w:val="18"/>
                <w:szCs w:val="18"/>
                <w:color w:val="auto"/>
              </w:rPr>
              <w:t>(1,229)</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line="205" w:lineRule="exact"/>
              <w:rPr>
                <w:sz w:val="20"/>
                <w:szCs w:val="20"/>
                <w:color w:val="auto"/>
              </w:rPr>
            </w:pPr>
            <w:r>
              <w:rPr>
                <w:rFonts w:ascii="Arial" w:cs="Arial" w:eastAsia="Arial" w:hAnsi="Arial"/>
                <w:sz w:val="18"/>
                <w:szCs w:val="18"/>
                <w:color w:val="auto"/>
              </w:rPr>
              <w:t>(1,725)</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560"/>
              <w:spacing w:after="0" w:line="205" w:lineRule="exact"/>
              <w:rPr>
                <w:sz w:val="20"/>
                <w:szCs w:val="20"/>
                <w:color w:val="auto"/>
              </w:rPr>
            </w:pPr>
            <w:r>
              <w:rPr>
                <w:rFonts w:ascii="Arial" w:cs="Arial" w:eastAsia="Arial" w:hAnsi="Arial"/>
                <w:sz w:val="18"/>
                <w:szCs w:val="18"/>
                <w:color w:val="auto"/>
              </w:rPr>
              <w:t>496</w:t>
            </w:r>
          </w:p>
        </w:tc>
        <w:tc>
          <w:tcPr>
            <w:tcW w:w="960" w:type="dxa"/>
            <w:vAlign w:val="bottom"/>
          </w:tcPr>
          <w:p>
            <w:pPr>
              <w:jc w:val="right"/>
              <w:spacing w:after="0" w:line="205" w:lineRule="exact"/>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460" w:hanging="454"/>
        <w:spacing w:after="0" w:line="299"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three months ended September 30, 2020 and 2019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ind w:left="460" w:hanging="454"/>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three months ended September 30, 2020 includes catastrophe losses from tropical storm Isaias, which has been designated PCS Storm 2044.</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00" w:type="dxa"/>
            <w:vAlign w:val="bottom"/>
          </w:tcPr>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23"/>
        </w:trPr>
        <w:tc>
          <w:tcPr>
            <w:tcW w:w="59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8"/>
                <w:szCs w:val="18"/>
                <w:b w:val="1"/>
                <w:bCs w:val="1"/>
                <w:color w:val="auto"/>
                <w:w w:val="86"/>
              </w:rPr>
              <w:t>Three months ended September 30,</w:t>
            </w: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87"/>
        </w:trPr>
        <w:tc>
          <w:tcPr>
            <w:tcW w:w="5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right"/>
              <w:ind w:right="360"/>
              <w:spacing w:after="0" w:line="187" w:lineRule="exact"/>
              <w:rPr>
                <w:sz w:val="20"/>
                <w:szCs w:val="20"/>
                <w:color w:val="auto"/>
              </w:rPr>
            </w:pPr>
            <w:r>
              <w:rPr>
                <w:rFonts w:ascii="Arial" w:cs="Arial" w:eastAsia="Arial" w:hAnsi="Arial"/>
                <w:sz w:val="18"/>
                <w:szCs w:val="18"/>
                <w:b w:val="1"/>
                <w:bCs w:val="1"/>
                <w:color w:val="auto"/>
                <w:w w:val="96"/>
              </w:rPr>
              <w:t>Percentage</w:t>
            </w:r>
          </w:p>
        </w:tc>
        <w:tc>
          <w:tcPr>
            <w:tcW w:w="1100" w:type="dxa"/>
            <w:vAlign w:val="bottom"/>
          </w:tcPr>
          <w:p>
            <w:pPr>
              <w:jc w:val="right"/>
              <w:ind w:right="152"/>
              <w:spacing w:after="0" w:line="187"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6"/>
                <w:szCs w:val="16"/>
                <w:color w:val="auto"/>
              </w:rPr>
            </w:pPr>
          </w:p>
        </w:tc>
      </w:tr>
      <w:tr>
        <w:trPr>
          <w:trHeight w:val="229"/>
        </w:trPr>
        <w:tc>
          <w:tcPr>
            <w:tcW w:w="5900" w:type="dxa"/>
            <w:vAlign w:val="bottom"/>
          </w:tcPr>
          <w:p>
            <w:pPr>
              <w:spacing w:after="0"/>
              <w:rPr>
                <w:sz w:val="19"/>
                <w:szCs w:val="19"/>
                <w:color w:val="auto"/>
              </w:rPr>
            </w:pPr>
          </w:p>
        </w:tc>
        <w:tc>
          <w:tcPr>
            <w:tcW w:w="1120" w:type="dxa"/>
            <w:vAlign w:val="bottom"/>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Point Change</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Change</w:t>
            </w:r>
          </w:p>
        </w:tc>
      </w:tr>
      <w:tr>
        <w:trPr>
          <w:trHeight w:val="416"/>
        </w:trPr>
        <w:tc>
          <w:tcPr>
            <w:tcW w:w="5900" w:type="dxa"/>
            <w:vAlign w:val="bottom"/>
          </w:tcPr>
          <w:p>
            <w:pPr>
              <w:spacing w:after="0"/>
              <w:rPr>
                <w:sz w:val="20"/>
                <w:szCs w:val="20"/>
                <w:color w:val="auto"/>
              </w:rPr>
            </w:pPr>
            <w:r>
              <w:rPr>
                <w:rFonts w:ascii="Arial" w:cs="Arial" w:eastAsia="Arial" w:hAnsi="Arial"/>
                <w:sz w:val="18"/>
                <w:szCs w:val="18"/>
                <w:b w:val="1"/>
                <w:bCs w:val="1"/>
                <w:color w:val="auto"/>
              </w:rPr>
              <w:t>Key ratios:</w:t>
            </w:r>
          </w:p>
        </w:tc>
        <w:tc>
          <w:tcPr>
            <w:tcW w:w="1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2"/>
        </w:trPr>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ratio</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72.4%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1"/>
        </w:trPr>
        <w:tc>
          <w:tcPr>
            <w:tcW w:w="5900" w:type="dxa"/>
            <w:vAlign w:val="bottom"/>
          </w:tcPr>
          <w:p>
            <w:pPr>
              <w:ind w:left="160"/>
              <w:spacing w:after="0"/>
              <w:rPr>
                <w:sz w:val="20"/>
                <w:szCs w:val="20"/>
                <w:color w:val="auto"/>
              </w:rPr>
            </w:pPr>
            <w:r>
              <w:rPr>
                <w:rFonts w:ascii="Arial" w:cs="Arial" w:eastAsia="Arial" w:hAnsi="Arial"/>
                <w:sz w:val="18"/>
                <w:szCs w:val="18"/>
                <w:color w:val="auto"/>
              </w:rPr>
              <w:t>Net underwriting expense ratio</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37.4%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59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5900" w:type="dxa"/>
            <w:vAlign w:val="bottom"/>
            <w:shd w:val="clear" w:color="auto" w:fill="CCEEFF"/>
          </w:tcPr>
          <w:p>
            <w:pPr>
              <w:ind w:left="160"/>
              <w:spacing w:after="0" w:line="205" w:lineRule="exact"/>
              <w:rPr>
                <w:sz w:val="20"/>
                <w:szCs w:val="20"/>
                <w:color w:val="auto"/>
              </w:rPr>
            </w:pPr>
            <w:r>
              <w:rPr>
                <w:rFonts w:ascii="Arial" w:cs="Arial" w:eastAsia="Arial" w:hAnsi="Arial"/>
                <w:sz w:val="18"/>
                <w:szCs w:val="18"/>
                <w:color w:val="auto"/>
              </w:rPr>
              <w:t>Net combined ratio</w:t>
            </w:r>
          </w:p>
        </w:tc>
        <w:tc>
          <w:tcPr>
            <w:tcW w:w="126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111.9%</w:t>
            </w:r>
          </w:p>
        </w:tc>
        <w:tc>
          <w:tcPr>
            <w:tcW w:w="1500" w:type="dxa"/>
            <w:vAlign w:val="bottom"/>
            <w:gridSpan w:val="3"/>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109.8%</w:t>
            </w:r>
          </w:p>
        </w:tc>
        <w:tc>
          <w:tcPr>
            <w:tcW w:w="132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2.1</w:t>
            </w:r>
          </w:p>
        </w:tc>
        <w:tc>
          <w:tcPr>
            <w:tcW w:w="126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1.9%</w:t>
            </w: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 Written Premiums</w:t>
      </w:r>
    </w:p>
    <w:p>
      <w:pPr>
        <w:spacing w:after="0" w:line="216" w:lineRule="exact"/>
        <w:rPr>
          <w:sz w:val="20"/>
          <w:szCs w:val="20"/>
          <w:color w:val="auto"/>
        </w:rPr>
      </w:pPr>
    </w:p>
    <w:p>
      <w:pPr>
        <w:jc w:val="both"/>
        <w:ind w:firstLine="634"/>
        <w:spacing w:after="0" w:line="317" w:lineRule="auto"/>
        <w:rPr>
          <w:sz w:val="20"/>
          <w:szCs w:val="20"/>
          <w:color w:val="auto"/>
        </w:rPr>
      </w:pPr>
      <w:r>
        <w:rPr>
          <w:rFonts w:ascii="Arial" w:cs="Arial" w:eastAsia="Arial" w:hAnsi="Arial"/>
          <w:sz w:val="15"/>
          <w:szCs w:val="15"/>
          <w:color w:val="auto"/>
        </w:rPr>
        <w:t>Direct written premiums during the three months ended September 30, 2020 (“Three Months 2020”) were $45,743,000 compared to $46,023,000 during the three months ended September 30, 2019 (“Three Months 2019”). The decrease of $280,000, or 0.6%, was primarily due to the decrease in premiums from our commercial lines business as result of our decision in July 2019 to no longer underwrite this line of business. Direct written premiums from our personal lines business for Three Months 2020 were $43,641,000, an increase of $2,644,000, or 6.4%, from $40,996,000 in Three Months 2019.</w:t>
      </w:r>
    </w:p>
    <w:p>
      <w:pPr>
        <w:spacing w:after="0" w:line="145" w:lineRule="exact"/>
        <w:rPr>
          <w:sz w:val="20"/>
          <w:szCs w:val="20"/>
          <w:color w:val="auto"/>
        </w:rPr>
      </w:pPr>
    </w:p>
    <w:p>
      <w:pPr>
        <w:jc w:val="both"/>
        <w:ind w:firstLine="876"/>
        <w:spacing w:after="0" w:line="276" w:lineRule="auto"/>
        <w:rPr>
          <w:sz w:val="20"/>
          <w:szCs w:val="20"/>
          <w:color w:val="auto"/>
        </w:rPr>
      </w:pPr>
      <w:r>
        <w:rPr>
          <w:rFonts w:ascii="Arial" w:cs="Arial" w:eastAsia="Arial" w:hAnsi="Arial"/>
          <w:sz w:val="17"/>
          <w:szCs w:val="17"/>
          <w:color w:val="auto"/>
        </w:rPr>
        <w:t>Beginning in 2017 we started writing homeowners policies in New Jersey. Through 2019 we expanded to Rhode Island, Massachusetts and Connecticut. We refer to our New York business as our “Core” business and the business outside of New York as our “Expansion” business. Direct written premiums from our Expansion business were $9,197,000 in Three Months 2020 compared to $7,371,000 in Three Months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Written Premiums and Net Premiums Earned</w:t>
      </w:r>
    </w:p>
    <w:p>
      <w:pPr>
        <w:spacing w:after="0" w:line="216" w:lineRule="exact"/>
        <w:rPr>
          <w:sz w:val="20"/>
          <w:szCs w:val="20"/>
          <w:color w:val="auto"/>
        </w:rPr>
      </w:pPr>
    </w:p>
    <w:p>
      <w:pPr>
        <w:jc w:val="both"/>
        <w:ind w:firstLine="634"/>
        <w:spacing w:after="0" w:line="317" w:lineRule="auto"/>
        <w:rPr>
          <w:sz w:val="20"/>
          <w:szCs w:val="20"/>
          <w:color w:val="auto"/>
        </w:rPr>
      </w:pPr>
      <w:r>
        <w:rPr>
          <w:rFonts w:ascii="Arial" w:cs="Arial" w:eastAsia="Arial" w:hAnsi="Arial"/>
          <w:sz w:val="15"/>
          <w:szCs w:val="15"/>
          <w:color w:val="auto"/>
        </w:rPr>
        <w:t>Through June 30, 2019, our quota share reinsurance treaties were on a July 1 through June 30 fiscal year basis. Effective December 15, 2019, we entered into a quota share reinsurance treaty for our personal lines business covering the period from December 15, 2019 through December 31, 2020 (“2019/2020 Treaty”). Our personal lines quota share run-off reinsurance treaty in effect for Three Months 2019 was covered under a treaty covering a two-year period from July 1, 2017 through June 30, 2019 (“2017/2019 Treaty”). The run-off treaty in effect during Three Months 2019 was covered under the July</w:t>
      </w:r>
    </w:p>
    <w:p>
      <w:pPr>
        <w:sectPr>
          <w:pgSz w:w="11900" w:h="16952" w:orient="portrait"/>
          <w:cols w:equalWidth="0" w:num="1">
            <w:col w:w="11240"/>
          </w:cols>
          <w:pgMar w:left="320" w:top="140" w:right="339" w:bottom="0" w:gutter="0" w:footer="0" w:header="0"/>
        </w:sectPr>
      </w:pPr>
    </w:p>
    <w:bookmarkStart w:id="33" w:name="page34"/>
    <w:bookmarkEnd w:id="33"/>
    <w:p>
      <w:pPr>
        <w:jc w:val="both"/>
        <w:spacing w:after="0" w:line="251" w:lineRule="auto"/>
        <w:rPr>
          <w:sz w:val="20"/>
          <w:szCs w:val="20"/>
          <w:color w:val="auto"/>
        </w:rPr>
      </w:pPr>
      <w:r>
        <w:rPr>
          <w:rFonts w:ascii="Arial" w:cs="Arial" w:eastAsia="Arial" w:hAnsi="Arial"/>
          <w:sz w:val="18"/>
          <w:szCs w:val="18"/>
          <w:color w:val="auto"/>
        </w:rPr>
        <w:t>1, 2018 through June 30, 2019 treaty year (“2018/2019 Treaty Year”). The following table describes the quota share reinsurance ceding rates in effect for each treaty year during Three Months 2020 and Three Months 2019 under the 2019/2020 Treaty and the 2017/2019 Treaty, respectively. This table should be referred to in conjunction with the discussions for net written premiums, net premiums earned, ceding commission revenue and net loss and loss adjustment expenses that follow.</w:t>
      </w:r>
    </w:p>
    <w:p>
      <w:pPr>
        <w:spacing w:after="0" w:line="184" w:lineRule="exact"/>
        <w:rPr>
          <w:sz w:val="20"/>
          <w:szCs w:val="20"/>
          <w:color w:val="auto"/>
        </w:rPr>
      </w:pPr>
    </w:p>
    <w:tbl>
      <w:tblPr>
        <w:tblLayout w:type="fixed"/>
        <w:tblInd w:w="860" w:type="dxa"/>
        <w:tblCellMar>
          <w:top w:w="0" w:type="dxa"/>
          <w:left w:w="0" w:type="dxa"/>
          <w:bottom w:w="0" w:type="dxa"/>
          <w:right w:w="0" w:type="dxa"/>
        </w:tblCellMar>
      </w:tblPr>
      <w:tr>
        <w:trPr>
          <w:trHeight w:val="229"/>
        </w:trPr>
        <w:tc>
          <w:tcPr>
            <w:tcW w:w="5640" w:type="dxa"/>
            <w:vAlign w:val="bottom"/>
          </w:tcPr>
          <w:p>
            <w:pPr>
              <w:spacing w:after="0"/>
              <w:rPr>
                <w:sz w:val="19"/>
                <w:szCs w:val="19"/>
                <w:color w:val="auto"/>
              </w:rPr>
            </w:pPr>
          </w:p>
        </w:tc>
        <w:tc>
          <w:tcPr>
            <w:tcW w:w="390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Three months ended September 30,</w:t>
            </w:r>
          </w:p>
        </w:tc>
      </w:tr>
      <w:tr>
        <w:trPr>
          <w:trHeight w:val="205"/>
        </w:trPr>
        <w:tc>
          <w:tcPr>
            <w:tcW w:w="5640" w:type="dxa"/>
            <w:vAlign w:val="bottom"/>
          </w:tcPr>
          <w:p>
            <w:pPr>
              <w:spacing w:after="0"/>
              <w:rPr>
                <w:sz w:val="17"/>
                <w:szCs w:val="17"/>
                <w:color w:val="auto"/>
              </w:rPr>
            </w:pPr>
          </w:p>
        </w:tc>
        <w:tc>
          <w:tcPr>
            <w:tcW w:w="19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4"/>
              </w:rPr>
              <w:t>2020</w:t>
            </w:r>
          </w:p>
        </w:tc>
        <w:tc>
          <w:tcPr>
            <w:tcW w:w="2000" w:type="dxa"/>
            <w:vAlign w:val="bottom"/>
            <w:gridSpan w:val="2"/>
          </w:tcPr>
          <w:p>
            <w:pPr>
              <w:jc w:val="center"/>
              <w:ind w:left="12"/>
              <w:spacing w:after="0" w:line="205" w:lineRule="exact"/>
              <w:rPr>
                <w:sz w:val="20"/>
                <w:szCs w:val="20"/>
                <w:color w:val="auto"/>
              </w:rPr>
            </w:pPr>
            <w:r>
              <w:rPr>
                <w:rFonts w:ascii="Arial" w:cs="Arial" w:eastAsia="Arial" w:hAnsi="Arial"/>
                <w:sz w:val="18"/>
                <w:szCs w:val="18"/>
                <w:b w:val="1"/>
                <w:bCs w:val="1"/>
                <w:color w:val="auto"/>
                <w:w w:val="84"/>
              </w:rPr>
              <w:t>2019</w:t>
            </w:r>
          </w:p>
        </w:tc>
      </w:tr>
      <w:tr>
        <w:trPr>
          <w:trHeight w:val="186"/>
        </w:trPr>
        <w:tc>
          <w:tcPr>
            <w:tcW w:w="5640" w:type="dxa"/>
            <w:vAlign w:val="bottom"/>
          </w:tcPr>
          <w:p>
            <w:pPr>
              <w:spacing w:after="0"/>
              <w:rPr>
                <w:sz w:val="16"/>
                <w:szCs w:val="16"/>
                <w:color w:val="auto"/>
              </w:rPr>
            </w:pPr>
          </w:p>
        </w:tc>
        <w:tc>
          <w:tcPr>
            <w:tcW w:w="1900" w:type="dxa"/>
            <w:vAlign w:val="bottom"/>
            <w:tcBorders>
              <w:top w:val="single" w:sz="8" w:color="auto"/>
            </w:tcBorders>
          </w:tcPr>
          <w:p>
            <w:pPr>
              <w:jc w:val="center"/>
              <w:spacing w:after="0" w:line="186" w:lineRule="exact"/>
              <w:rPr>
                <w:sz w:val="20"/>
                <w:szCs w:val="20"/>
                <w:color w:val="auto"/>
              </w:rPr>
            </w:pPr>
            <w:r>
              <w:rPr>
                <w:rFonts w:ascii="Arial" w:cs="Arial" w:eastAsia="Arial" w:hAnsi="Arial"/>
                <w:sz w:val="18"/>
                <w:szCs w:val="18"/>
                <w:b w:val="1"/>
                <w:bCs w:val="1"/>
                <w:color w:val="auto"/>
                <w:w w:val="90"/>
              </w:rPr>
              <w:t>("2019/2020</w:t>
            </w:r>
          </w:p>
        </w:tc>
        <w:tc>
          <w:tcPr>
            <w:tcW w:w="100" w:type="dxa"/>
            <w:vAlign w:val="bottom"/>
          </w:tcPr>
          <w:p>
            <w:pPr>
              <w:spacing w:after="0"/>
              <w:rPr>
                <w:sz w:val="16"/>
                <w:szCs w:val="16"/>
                <w:color w:val="auto"/>
              </w:rPr>
            </w:pPr>
          </w:p>
        </w:tc>
        <w:tc>
          <w:tcPr>
            <w:tcW w:w="1900" w:type="dxa"/>
            <w:vAlign w:val="bottom"/>
            <w:tcBorders>
              <w:top w:val="single" w:sz="8" w:color="auto"/>
            </w:tcBorders>
          </w:tcPr>
          <w:p>
            <w:pPr>
              <w:jc w:val="center"/>
              <w:spacing w:after="0" w:line="186" w:lineRule="exact"/>
              <w:rPr>
                <w:sz w:val="20"/>
                <w:szCs w:val="20"/>
                <w:color w:val="auto"/>
              </w:rPr>
            </w:pPr>
            <w:r>
              <w:rPr>
                <w:rFonts w:ascii="Arial" w:cs="Arial" w:eastAsia="Arial" w:hAnsi="Arial"/>
                <w:sz w:val="18"/>
                <w:szCs w:val="18"/>
                <w:b w:val="1"/>
                <w:bCs w:val="1"/>
                <w:color w:val="auto"/>
                <w:w w:val="90"/>
              </w:rPr>
              <w:t>("2018/2019</w:t>
            </w:r>
          </w:p>
        </w:tc>
      </w:tr>
      <w:tr>
        <w:trPr>
          <w:trHeight w:val="229"/>
        </w:trPr>
        <w:tc>
          <w:tcPr>
            <w:tcW w:w="5640" w:type="dxa"/>
            <w:vAlign w:val="bottom"/>
          </w:tcPr>
          <w:p>
            <w:pPr>
              <w:spacing w:after="0"/>
              <w:rPr>
                <w:sz w:val="19"/>
                <w:szCs w:val="19"/>
                <w:color w:val="auto"/>
              </w:rPr>
            </w:pPr>
          </w:p>
        </w:tc>
        <w:tc>
          <w:tcPr>
            <w:tcW w:w="1900" w:type="dxa"/>
            <w:vAlign w:val="bottom"/>
          </w:tcPr>
          <w:p>
            <w:pPr>
              <w:ind w:left="620"/>
              <w:spacing w:after="0"/>
              <w:rPr>
                <w:sz w:val="20"/>
                <w:szCs w:val="20"/>
                <w:color w:val="auto"/>
              </w:rPr>
            </w:pPr>
            <w:r>
              <w:rPr>
                <w:rFonts w:ascii="Arial" w:cs="Arial" w:eastAsia="Arial" w:hAnsi="Arial"/>
                <w:sz w:val="18"/>
                <w:szCs w:val="18"/>
                <w:b w:val="1"/>
                <w:bCs w:val="1"/>
                <w:color w:val="auto"/>
              </w:rPr>
              <w:t>Treaty")</w:t>
            </w:r>
          </w:p>
        </w:tc>
        <w:tc>
          <w:tcPr>
            <w:tcW w:w="100" w:type="dxa"/>
            <w:vAlign w:val="bottom"/>
          </w:tcPr>
          <w:p>
            <w:pPr>
              <w:spacing w:after="0"/>
              <w:rPr>
                <w:sz w:val="19"/>
                <w:szCs w:val="19"/>
                <w:color w:val="auto"/>
              </w:rPr>
            </w:pPr>
          </w:p>
        </w:tc>
        <w:tc>
          <w:tcPr>
            <w:tcW w:w="1900" w:type="dxa"/>
            <w:vAlign w:val="bottom"/>
          </w:tcPr>
          <w:p>
            <w:pPr>
              <w:ind w:left="420"/>
              <w:spacing w:after="0"/>
              <w:rPr>
                <w:sz w:val="20"/>
                <w:szCs w:val="20"/>
                <w:color w:val="auto"/>
              </w:rPr>
            </w:pPr>
            <w:r>
              <w:rPr>
                <w:rFonts w:ascii="Arial" w:cs="Arial" w:eastAsia="Arial" w:hAnsi="Arial"/>
                <w:sz w:val="18"/>
                <w:szCs w:val="18"/>
                <w:b w:val="1"/>
                <w:bCs w:val="1"/>
                <w:color w:val="auto"/>
              </w:rPr>
              <w:t>Treaty Year")</w:t>
            </w:r>
          </w:p>
        </w:tc>
      </w:tr>
      <w:tr>
        <w:trPr>
          <w:trHeight w:val="423"/>
        </w:trPr>
        <w:tc>
          <w:tcPr>
            <w:tcW w:w="5640" w:type="dxa"/>
            <w:vAlign w:val="bottom"/>
          </w:tcPr>
          <w:p>
            <w:pPr>
              <w:spacing w:after="0"/>
              <w:rPr>
                <w:sz w:val="20"/>
                <w:szCs w:val="20"/>
                <w:color w:val="auto"/>
              </w:rPr>
            </w:pPr>
            <w:r>
              <w:rPr>
                <w:rFonts w:ascii="Arial" w:cs="Arial" w:eastAsia="Arial" w:hAnsi="Arial"/>
                <w:sz w:val="18"/>
                <w:szCs w:val="18"/>
                <w:b w:val="1"/>
                <w:bCs w:val="1"/>
                <w:color w:val="auto"/>
              </w:rPr>
              <w:t>Quota share reinsurance rates</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2"/>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Personal lines</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 (2)</w:t>
            </w:r>
          </w:p>
        </w:tc>
        <w:tc>
          <w:tcPr>
            <w:tcW w:w="20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1"/>
              </w:rPr>
              <w:t>10% (1)</w:t>
            </w:r>
          </w:p>
        </w:tc>
      </w:tr>
    </w:tbl>
    <w:p>
      <w:pPr>
        <w:spacing w:after="0" w:line="199" w:lineRule="exact"/>
        <w:rPr>
          <w:sz w:val="20"/>
          <w:szCs w:val="20"/>
          <w:color w:val="auto"/>
        </w:rPr>
      </w:pPr>
    </w:p>
    <w:p>
      <w:pPr>
        <w:ind w:left="460" w:right="360" w:hanging="454"/>
        <w:spacing w:after="0" w:line="263"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2018/2019 Treaty Year, covered under the 2017/2019 Treaty, expired on a run-off basis effective July 1, 2019 through June 30, 2020 (the “2019 Run-off”).</w:t>
      </w:r>
    </w:p>
    <w:p>
      <w:pPr>
        <w:spacing w:after="0" w:line="180" w:lineRule="exact"/>
        <w:rPr>
          <w:rFonts w:ascii="Arial" w:cs="Arial" w:eastAsia="Arial" w:hAnsi="Arial"/>
          <w:sz w:val="18"/>
          <w:szCs w:val="18"/>
          <w:color w:val="auto"/>
        </w:rPr>
      </w:pPr>
    </w:p>
    <w:p>
      <w:pPr>
        <w:ind w:left="460" w:hanging="454"/>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2019/2020 Treaty was effective December 15, 2019 with a quota share reinsurance rate of 25%.</w:t>
      </w:r>
    </w:p>
    <w:p>
      <w:pPr>
        <w:spacing w:after="0" w:line="1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See “Reinsurance” below for changes to our personal lines quota share treaty effective December 15, 2019, and July 1, 2019 and 2018.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jc w:val="both"/>
        <w:ind w:firstLine="634"/>
        <w:spacing w:after="0" w:line="303" w:lineRule="auto"/>
        <w:rPr>
          <w:sz w:val="20"/>
          <w:szCs w:val="20"/>
          <w:color w:val="auto"/>
        </w:rPr>
      </w:pPr>
      <w:r>
        <w:rPr>
          <w:rFonts w:ascii="Arial" w:cs="Arial" w:eastAsia="Arial" w:hAnsi="Arial"/>
          <w:sz w:val="15"/>
          <w:szCs w:val="15"/>
          <w:color w:val="auto"/>
        </w:rPr>
        <w:t>Net written premiums decreased $10,443,000, or 25.8%, to $29,995,000 in Three Months 2020 from $40,438,000 in Three Months 2019. Net written premiums include direct and assumed premiums, less the amount of written premiums ceded under our reinsurance treaties (quota share, excess of loss, and catastrophe). The decrease in net written premiums in Three Months 2020 was attributable to the inception of the 2019/2020 Treaty on December 15, 2019 and the decrease in commercial lines premiums, which are not subject to a quota share treaty. In Three Months 2020, our premiums ceded under quota share treaties increased by $8,815,000 over the comparable ceded premiums in Three Months 2019. Our personal lines business was subject to the 2017/2019 Treaty under the 2018/2019 Treaty Year through June 30, 2019. Following June 30, 2019, any earned premium and associated claims for policies still in force will continue to be ceded under the 10% quota share rate until such policies expire (run-off) over the next year. The 2019 Run-off period is from July 1, 2019 through June 30, 2020 and there was no return of unearned premiums under this arrangement.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Excess of loss reinsurance treaties</w:t>
      </w:r>
    </w:p>
    <w:p>
      <w:pPr>
        <w:spacing w:after="0" w:line="216"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An increase in written premiums will increase the premiums ceded under our excess of loss treaties. In Three Months 2020, our ceded excess of loss reinsurance premiums increased by $149,000 over the comparable ceded premiums for Three Months 2019. The increase was due to an increase in premiums subject to excess of loss reinsurance.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Catastrophe reinsurance treaties</w:t>
      </w:r>
    </w:p>
    <w:p>
      <w:pPr>
        <w:spacing w:after="0" w:line="216" w:lineRule="exact"/>
        <w:rPr>
          <w:sz w:val="20"/>
          <w:szCs w:val="20"/>
          <w:color w:val="auto"/>
        </w:rPr>
      </w:pPr>
    </w:p>
    <w:p>
      <w:pPr>
        <w:jc w:val="both"/>
        <w:ind w:firstLine="634"/>
        <w:spacing w:after="0" w:line="305" w:lineRule="auto"/>
        <w:rPr>
          <w:sz w:val="20"/>
          <w:szCs w:val="20"/>
          <w:color w:val="auto"/>
        </w:rPr>
      </w:pPr>
      <w:r>
        <w:rPr>
          <w:rFonts w:ascii="Arial" w:cs="Arial" w:eastAsia="Arial" w:hAnsi="Arial"/>
          <w:sz w:val="15"/>
          <w:szCs w:val="15"/>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 Three Months 2020, our premiums ceded under catastrophe treaties increased by $1,198,000 over the comparable ceded premiums in Three Months 2019. The change was due to an increase in reinsurance rates effective July 1, 2019, offset by a decrease in our catastrophe limit purchased Through June 30, 2020, our ceded catastrophe premiums are paid based on the total direct written premiums subject to the catastrophe reinsurance treaty. Effective July 1, 2020, and continuing through June 30, 2021, our ceded catastrophe premiums will be paid based on the total insured value of our risks calculated as of August 31, 2021.</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Net premiums earned</w:t>
      </w:r>
    </w:p>
    <w:p>
      <w:pPr>
        <w:spacing w:after="0" w:line="216"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Net premiums earned decreased $6,699,000, or 19.6%, to $27,521,000 in Three Months 2020 from $34,220,000 in Three Months 2019. The decrease was due to the inception of the 2019/2020 Treaty on December 15, 2019 and the decrease in commercial lines premiums, which are not subject to a quota share treaty.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Ceding Commission Revenue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8"/>
                <w:szCs w:val="18"/>
                <w:b w:val="1"/>
                <w:bCs w:val="1"/>
                <w:color w:val="auto"/>
                <w:w w:val="87"/>
              </w:rPr>
              <w:t>Three months ended September 30,</w:t>
            </w: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92"/>
              <w:spacing w:after="0" w:line="206" w:lineRule="exact"/>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92"/>
              <w:spacing w:after="0" w:line="206" w:lineRule="exact"/>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480"/>
              <w:spacing w:after="0" w:line="206" w:lineRule="exact"/>
              <w:rPr>
                <w:sz w:val="20"/>
                <w:szCs w:val="20"/>
                <w:color w:val="auto"/>
              </w:rPr>
            </w:pPr>
            <w:r>
              <w:rPr>
                <w:rFonts w:ascii="Arial" w:cs="Arial" w:eastAsia="Arial" w:hAnsi="Arial"/>
                <w:sz w:val="18"/>
                <w:szCs w:val="18"/>
                <w:b w:val="1"/>
                <w:bCs w:val="1"/>
                <w:color w:val="auto"/>
                <w:w w:val="96"/>
              </w:rPr>
              <w:t>Change</w:t>
            </w:r>
          </w:p>
        </w:tc>
        <w:tc>
          <w:tcPr>
            <w:tcW w:w="1100" w:type="dxa"/>
            <w:vAlign w:val="bottom"/>
          </w:tcPr>
          <w:p>
            <w:pPr>
              <w:ind w:left="280"/>
              <w:spacing w:after="0" w:line="206"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Provisional ceding commissions earned</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2,141</w:t>
            </w:r>
          </w:p>
        </w:tc>
        <w:tc>
          <w:tcPr>
            <w:tcW w:w="1260" w:type="dxa"/>
            <w:vAlign w:val="bottom"/>
            <w:gridSpan w:val="2"/>
            <w:shd w:val="clear" w:color="auto" w:fill="CCEEFF"/>
          </w:tcPr>
          <w:p>
            <w:pPr>
              <w:jc w:val="center"/>
              <w:ind w:left="612"/>
              <w:spacing w:after="0"/>
              <w:rPr>
                <w:sz w:val="20"/>
                <w:szCs w:val="20"/>
                <w:color w:val="auto"/>
              </w:rPr>
            </w:pPr>
            <w:r>
              <w:rPr>
                <w:rFonts w:ascii="Arial" w:cs="Arial" w:eastAsia="Arial" w:hAnsi="Arial"/>
                <w:sz w:val="18"/>
                <w:szCs w:val="18"/>
                <w:color w:val="auto"/>
                <w:w w:val="91"/>
              </w:rPr>
              <w:t>162.2%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Contingent ceding commissions earned</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Contingent ceding commissions earned excluding</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the effect of catastrophes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w:t>
            </w:r>
          </w:p>
        </w:tc>
        <w:tc>
          <w:tcPr>
            <w:tcW w:w="126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80" w:type="dxa"/>
            <w:vAlign w:val="bottom"/>
          </w:tcPr>
          <w:p>
            <w:pPr>
              <w:ind w:left="140"/>
              <w:spacing w:after="0"/>
              <w:rPr>
                <w:sz w:val="20"/>
                <w:szCs w:val="20"/>
                <w:color w:val="auto"/>
              </w:rPr>
            </w:pPr>
            <w:r>
              <w:rPr>
                <w:rFonts w:ascii="Arial" w:cs="Arial" w:eastAsia="Arial" w:hAnsi="Arial"/>
                <w:sz w:val="18"/>
                <w:szCs w:val="18"/>
                <w:color w:val="auto"/>
              </w:rPr>
              <w:t>Effect of catastrophes on ceding commissions earned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center"/>
              <w:ind w:left="632"/>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880" w:type="dxa"/>
            <w:vAlign w:val="bottom"/>
            <w:shd w:val="clear" w:color="auto" w:fill="CCEEFF"/>
          </w:tcPr>
          <w:p>
            <w:pPr>
              <w:ind w:left="140"/>
              <w:spacing w:after="0" w:line="205" w:lineRule="exact"/>
              <w:rPr>
                <w:sz w:val="20"/>
                <w:szCs w:val="20"/>
                <w:color w:val="auto"/>
              </w:rPr>
            </w:pPr>
            <w:r>
              <w:rPr>
                <w:rFonts w:ascii="Arial" w:cs="Arial" w:eastAsia="Arial" w:hAnsi="Arial"/>
                <w:sz w:val="18"/>
                <w:szCs w:val="18"/>
                <w:color w:val="auto"/>
              </w:rPr>
              <w:t>Contingent ceding commissions earned</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205" w:lineRule="exact"/>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278</w:t>
            </w:r>
          </w:p>
        </w:tc>
        <w:tc>
          <w:tcPr>
            <w:tcW w:w="126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vMerge w:val="continue"/>
          </w:tcPr>
          <w:p>
            <w:pPr>
              <w:spacing w:after="0"/>
              <w:rPr>
                <w:sz w:val="20"/>
                <w:szCs w:val="20"/>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ceding commission revenue</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2,419</w:t>
            </w:r>
          </w:p>
        </w:tc>
        <w:tc>
          <w:tcPr>
            <w:tcW w:w="1260" w:type="dxa"/>
            <w:vAlign w:val="bottom"/>
            <w:gridSpan w:val="2"/>
            <w:shd w:val="clear" w:color="auto" w:fill="CCEEFF"/>
          </w:tcPr>
          <w:p>
            <w:pPr>
              <w:jc w:val="center"/>
              <w:ind w:left="612"/>
              <w:spacing w:after="0"/>
              <w:rPr>
                <w:sz w:val="20"/>
                <w:szCs w:val="20"/>
                <w:color w:val="auto"/>
              </w:rPr>
            </w:pPr>
            <w:r>
              <w:rPr>
                <w:rFonts w:ascii="Arial" w:cs="Arial" w:eastAsia="Arial" w:hAnsi="Arial"/>
                <w:sz w:val="18"/>
                <w:szCs w:val="18"/>
                <w:color w:val="auto"/>
                <w:w w:val="91"/>
              </w:rPr>
              <w:t>234.9%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7" w:right="339" w:bottom="0" w:gutter="0" w:footer="0" w:header="0"/>
        </w:sectPr>
      </w:pPr>
    </w:p>
    <w:bookmarkStart w:id="34" w:name="page35"/>
    <w:bookmarkEnd w:id="34"/>
    <w:p>
      <w:pPr>
        <w:jc w:val="both"/>
        <w:ind w:firstLine="634"/>
        <w:spacing w:after="0" w:line="251" w:lineRule="auto"/>
        <w:rPr>
          <w:sz w:val="20"/>
          <w:szCs w:val="20"/>
          <w:color w:val="auto"/>
        </w:rPr>
      </w:pPr>
      <w:r>
        <w:rPr>
          <w:rFonts w:ascii="Arial" w:cs="Arial" w:eastAsia="Arial" w:hAnsi="Arial"/>
          <w:sz w:val="18"/>
          <w:szCs w:val="18"/>
          <w:color w:val="auto"/>
        </w:rPr>
        <w:t>Ceding commission revenue was $3,449,000 in Three Months 2020 compared to $1,030,000 in Three Months 2019. The increase of $2,419,000, or 234.9%, was due to an increase in both provisional ceding commissions earned and contingent ceding commissions earned. The increase in provisional ceding commissions occurred due to the increase in quota share reinsurance rates effective December 15, 2019 (see below for discussion of provisional ceding commissions earned and contingent ceding commissions earned).</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Provisional Ceding Commissions Earned</w:t>
      </w:r>
    </w:p>
    <w:p>
      <w:pPr>
        <w:spacing w:after="0" w:line="216"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We receive a provisional ceding commission based on ceded written premiums. The $2,141,000 increase in provisional ceding commissions earned is primarily due to the increase in the quota share ceding rate effective December 15, 2019 to 25%, from the 10% rate in effect in Three Months 2019. There was an increase in ceded premiums in Three Months 2020 available from which to earn ceding commissions compared to Three Months 2019 due to the changes in quota share ceding rates, the elimination of the 10% quota share treaty effective July 1, 2019, and an increase in personal lines direct written premiums subject to the quota share.</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Contingent Ceding Commissions Earned</w:t>
      </w:r>
    </w:p>
    <w:p>
      <w:pPr>
        <w:spacing w:after="0" w:line="216"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The 2019/2020 Treaty and 2017/2019 Treaty structure calls for a higher upfront provisional ceding commission and there is not an opportunity to earn additional contingent ceding commissions under these treaties. The amount of contingent ceding commissions we are eligible to receive under our prior years’ quota share treaties is subject to change based on losses incurred related to claims with accident dates before July 1, 2017. Under our prior years’ quota share treaties, we received a contingent ceding commission based on a sliding scale in relation to the losses incurred under our quota share treaties. The lower the ceded loss ratio, the more contingent commission we receive.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16" w:lineRule="exact"/>
        <w:rPr>
          <w:sz w:val="20"/>
          <w:szCs w:val="20"/>
          <w:color w:val="auto"/>
        </w:rPr>
      </w:pPr>
    </w:p>
    <w:p>
      <w:pPr>
        <w:jc w:val="both"/>
        <w:ind w:firstLine="634"/>
        <w:spacing w:after="0" w:line="292" w:lineRule="auto"/>
        <w:rPr>
          <w:sz w:val="20"/>
          <w:szCs w:val="20"/>
          <w:color w:val="auto"/>
        </w:rPr>
      </w:pPr>
      <w:r>
        <w:rPr>
          <w:rFonts w:ascii="Arial" w:cs="Arial" w:eastAsia="Arial" w:hAnsi="Arial"/>
          <w:sz w:val="17"/>
          <w:szCs w:val="17"/>
          <w:color w:val="auto"/>
        </w:rPr>
        <w:t>Net investment income was $1,494,000 in Three Months 2020 compared to $1,856,000 in Three Months 2019, a decrease of $362,000, or 19.5%. The average yield on invested assets was 3.51% as of September 30, 2020 compared to 3.62% as of September 30, 2019.</w:t>
      </w:r>
    </w:p>
    <w:p>
      <w:pPr>
        <w:spacing w:after="0" w:line="158"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Cash and invested assets were $220,749,000 as of September 30, 2020 compared to $221,610,000 as of September 30, 2019. The $861,000 decrease in cash and invested assets was primarily attributable to premiums ceded, net of ceding commissions, at the inception of the 2019/2020 Treaty, partially offset by an increase in operating cash flows for the periods after September 30,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Gains and Losses on Investments</w:t>
      </w:r>
    </w:p>
    <w:p>
      <w:pPr>
        <w:spacing w:after="0" w:line="216" w:lineRule="exact"/>
        <w:rPr>
          <w:sz w:val="20"/>
          <w:szCs w:val="20"/>
          <w:color w:val="auto"/>
        </w:rPr>
      </w:pPr>
    </w:p>
    <w:p>
      <w:pPr>
        <w:jc w:val="both"/>
        <w:ind w:firstLine="634"/>
        <w:spacing w:after="0" w:line="276" w:lineRule="auto"/>
        <w:rPr>
          <w:sz w:val="20"/>
          <w:szCs w:val="20"/>
          <w:color w:val="auto"/>
        </w:rPr>
      </w:pPr>
      <w:r>
        <w:rPr>
          <w:rFonts w:ascii="Arial" w:cs="Arial" w:eastAsia="Arial" w:hAnsi="Arial"/>
          <w:sz w:val="17"/>
          <w:szCs w:val="17"/>
          <w:color w:val="auto"/>
        </w:rPr>
        <w:t>Net gains on investments were $2,107,000 in Three Months 2020 compared to $998,000 in Three Months 2019. Unrealized gains on our equity securities and other investments in Three Months 2020 were $1,501,000, compared to unrealized gains of $1,006,000 in Three Months 2019. Realized gains on sales of investments were $597,000 in Three Months 2020 compared to loss of $8,000 in Three Months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216" w:lineRule="exact"/>
        <w:rPr>
          <w:sz w:val="20"/>
          <w:szCs w:val="20"/>
          <w:color w:val="auto"/>
        </w:rPr>
      </w:pPr>
    </w:p>
    <w:p>
      <w:pPr>
        <w:jc w:val="both"/>
        <w:ind w:firstLine="594"/>
        <w:spacing w:after="0" w:line="364" w:lineRule="auto"/>
        <w:rPr>
          <w:sz w:val="20"/>
          <w:szCs w:val="20"/>
          <w:color w:val="auto"/>
        </w:rPr>
      </w:pPr>
      <w:r>
        <w:rPr>
          <w:rFonts w:ascii="Arial" w:cs="Arial" w:eastAsia="Arial" w:hAnsi="Arial"/>
          <w:sz w:val="15"/>
          <w:szCs w:val="15"/>
          <w:color w:val="auto"/>
        </w:rPr>
        <w:t>Other income was $251,000 in Three Months 2020 compared to $343,000 in Three Months 2019. The decrease of $92,000, or 44.0%, was primarily due to a reduction of fees in our commercial lines business as a result of our decision in July 2019 to no longer underwrite this line of business.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and LAE</w:t>
      </w:r>
    </w:p>
    <w:p>
      <w:pPr>
        <w:spacing w:after="0" w:line="216"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Net loss and LAE was $20,118,000 in Three Months 2020 compared to $24,781,000 in Three Months 2019. The net loss ratio was 75.1% in Three Months 2020 compared to 72.4% in Three Months 2019, an increase of 0.7 percentage points.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The following graph summarizes the changes in the components of net loss ratio for the periods indicated, along with the comparable components excluding commercial lines business:</w:t>
      </w:r>
    </w:p>
    <w:p>
      <w:pPr>
        <w:sectPr>
          <w:pgSz w:w="11900" w:h="16838" w:orient="portrait"/>
          <w:cols w:equalWidth="0" w:num="1">
            <w:col w:w="11240"/>
          </w:cols>
          <w:pgMar w:left="320" w:top="127" w:right="3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1196340</wp:posOffset>
            </wp:positionH>
            <wp:positionV relativeFrom="page">
              <wp:posOffset>88900</wp:posOffset>
            </wp:positionV>
            <wp:extent cx="5156835" cy="3856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5156835" cy="385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(Components may not sum to totals due to rounding)</w:t>
      </w:r>
    </w:p>
    <w:p>
      <w:pPr>
        <w:spacing w:after="0" w:line="216" w:lineRule="exact"/>
        <w:rPr>
          <w:sz w:val="20"/>
          <w:szCs w:val="20"/>
          <w:color w:val="auto"/>
        </w:rPr>
      </w:pPr>
    </w:p>
    <w:p>
      <w:pPr>
        <w:ind w:right="180" w:firstLine="594"/>
        <w:spacing w:after="0" w:line="276" w:lineRule="auto"/>
        <w:rPr>
          <w:sz w:val="20"/>
          <w:szCs w:val="20"/>
          <w:color w:val="auto"/>
        </w:rPr>
      </w:pPr>
      <w:r>
        <w:rPr>
          <w:rFonts w:ascii="Arial" w:cs="Arial" w:eastAsia="Arial" w:hAnsi="Arial"/>
          <w:sz w:val="17"/>
          <w:szCs w:val="17"/>
          <w:color w:val="auto"/>
        </w:rPr>
        <w:t>During Three Months 2020, the loss ratio increased 0.7 points, from 72.4% in Three Months 2019 to 73.1% in Three Months 2020. The loss ratio increased due to the impact of catastrophe events, primarily related to Tropical Storm Isaias on August 4, 2020. Partially offsetting the increased catastrophe losses, there was a large reduction in the impact of prior year loss development compared the same period in the prior year.</w:t>
      </w:r>
    </w:p>
    <w:p>
      <w:pPr>
        <w:spacing w:after="0" w:line="171" w:lineRule="exact"/>
        <w:rPr>
          <w:sz w:val="20"/>
          <w:szCs w:val="20"/>
          <w:color w:val="auto"/>
        </w:rPr>
      </w:pPr>
    </w:p>
    <w:p>
      <w:pPr>
        <w:ind w:right="200" w:firstLine="594"/>
        <w:spacing w:after="0" w:line="311" w:lineRule="auto"/>
        <w:rPr>
          <w:sz w:val="20"/>
          <w:szCs w:val="20"/>
          <w:color w:val="auto"/>
        </w:rPr>
      </w:pPr>
      <w:r>
        <w:rPr>
          <w:rFonts w:ascii="Arial" w:cs="Arial" w:eastAsia="Arial" w:hAnsi="Arial"/>
          <w:sz w:val="15"/>
          <w:szCs w:val="15"/>
          <w:color w:val="auto"/>
        </w:rPr>
        <w:t>The impact of catastrophe losses was significant in Three Months 2020 when compared to Three Months 2019. In the Three Months 2020, Tropical Storm Isaias resulted in over 1,700 reported claims and direct losses exceeded our catastrophe reinsurance retention of $10 million. After quota share reinsurance, the net impact of Isaias is $8.125M, or a 29.5 point impact on the quarterly loss ratio. There were several smaller catastrophe events during the quarter, and in total the impact of catastrophe events on the loss ratio was 31.5 points for the quarter. This compares to a 1.3 point impact from catastrophe events in Three Months 2019, or an increase in the impact from catastrophe events of 30.2 points compared to the prior period.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ind w:firstLine="594"/>
        <w:spacing w:after="0" w:line="311" w:lineRule="auto"/>
        <w:rPr>
          <w:sz w:val="20"/>
          <w:szCs w:val="20"/>
          <w:color w:val="auto"/>
        </w:rPr>
      </w:pPr>
      <w:r>
        <w:rPr>
          <w:rFonts w:ascii="Arial" w:cs="Arial" w:eastAsia="Arial" w:hAnsi="Arial"/>
          <w:sz w:val="15"/>
          <w:szCs w:val="15"/>
          <w:color w:val="auto"/>
        </w:rPr>
        <w:t>Prior year development was slightly favorable in Three Months 2020, with a 0.4 point favorable impact to the overall loss ratio. This was the fourth consecutive quarter of stable prior year loss development. The favorable loss development for Three Months 2020 compares to 14.7 points of unfavorable impact in Three Months 2019. Prior year loss development in Three Months 2019 was driven by the completion of reserve adjustments for commercial lines business, which is now in runoff. As of the end of Three Months 2020, there are now 189 open commercial lines claims, down from 205 claims that were open at June 30, 2020. The impact of prior year development was 15.1 points more favorable in Three Months 2020 compared to the prior year period.</w:t>
      </w:r>
    </w:p>
    <w:p>
      <w:pPr>
        <w:spacing w:after="0" w:line="150" w:lineRule="exact"/>
        <w:rPr>
          <w:sz w:val="20"/>
          <w:szCs w:val="20"/>
          <w:color w:val="auto"/>
        </w:rPr>
      </w:pPr>
    </w:p>
    <w:p>
      <w:pPr>
        <w:ind w:right="160" w:firstLine="594"/>
        <w:spacing w:after="0" w:line="307" w:lineRule="auto"/>
        <w:rPr>
          <w:sz w:val="20"/>
          <w:szCs w:val="20"/>
          <w:color w:val="auto"/>
        </w:rPr>
      </w:pPr>
      <w:r>
        <w:rPr>
          <w:rFonts w:ascii="Arial" w:cs="Arial" w:eastAsia="Arial" w:hAnsi="Arial"/>
          <w:sz w:val="15"/>
          <w:szCs w:val="15"/>
          <w:color w:val="auto"/>
        </w:rPr>
        <w:t>The underlying loss ratio (loss ratio excluding the impact of catastrophes and prior year development) was 42.0% for Three Months 2020, a decrease of 14.4 points from the 56.4% underlying loss ratio recorded for Three Months 2019. The improvement was primarily due to reduced claim severity in personal lines, driven by a much lower impact from large fire claims in Three Months 2020 compared to the prior period. Claim frequency in the livery physical damage line also continued to show significant improvement over the prior year period. The impact of commercial lines on the overall loss ratio continues to decline due to a smaller open claims inventory and a smaller proportion of net earned premium attributable to commercial lines. Excluding commercial lines, the underlying loss ratio improved 8.9 points, from 51.4% for Three Months 2019 to 42.5% for Three Months 2020.</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table below under “Additional Financial Information” summarizing net loss ratios by line of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 Expense</w:t>
      </w:r>
    </w:p>
    <w:p>
      <w:pPr>
        <w:spacing w:after="0" w:line="216" w:lineRule="exact"/>
        <w:rPr>
          <w:sz w:val="20"/>
          <w:szCs w:val="20"/>
          <w:color w:val="auto"/>
        </w:rPr>
      </w:pPr>
    </w:p>
    <w:p>
      <w:pPr>
        <w:ind w:right="60" w:firstLine="594"/>
        <w:spacing w:after="0" w:line="254" w:lineRule="auto"/>
        <w:rPr>
          <w:sz w:val="20"/>
          <w:szCs w:val="20"/>
          <w:color w:val="auto"/>
        </w:rPr>
      </w:pPr>
      <w:r>
        <w:rPr>
          <w:rFonts w:ascii="Arial" w:cs="Arial" w:eastAsia="Arial" w:hAnsi="Arial"/>
          <w:sz w:val="18"/>
          <w:szCs w:val="18"/>
          <w:color w:val="auto"/>
        </w:rPr>
        <w:t>Commission expense was $8,036,000 in Three Months 2020 or 18.9% of direct earned premiums. Commission expense was $7,723,000 in Three Months 2019 or 18.6% of direct earned premiums. The increase of $313,000 is primarily due to the increase in direct earned premiums for Three Months 2020 as compared to Three Months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Underwriting Expenses</w:t>
      </w:r>
    </w:p>
    <w:p>
      <w:pPr>
        <w:spacing w:after="0" w:line="216" w:lineRule="exact"/>
        <w:rPr>
          <w:sz w:val="20"/>
          <w:szCs w:val="20"/>
          <w:color w:val="auto"/>
        </w:rPr>
      </w:pPr>
    </w:p>
    <w:p>
      <w:pPr>
        <w:ind w:right="360" w:firstLine="594"/>
        <w:spacing w:after="0" w:line="263" w:lineRule="auto"/>
        <w:rPr>
          <w:sz w:val="20"/>
          <w:szCs w:val="20"/>
          <w:color w:val="auto"/>
        </w:rPr>
      </w:pPr>
      <w:r>
        <w:rPr>
          <w:rFonts w:ascii="Arial" w:cs="Arial" w:eastAsia="Arial" w:hAnsi="Arial"/>
          <w:sz w:val="18"/>
          <w:szCs w:val="18"/>
          <w:color w:val="auto"/>
        </w:rPr>
        <w:t>Other underwriting expenses were $6,347,000 in Three Months 2020 compared to $6,431,000 in Three Months 2019. The decrease of $84,000, or 1.3%, was primarily due to an initiative to reduce expenses and a reduction in bad debts.</w:t>
      </w:r>
    </w:p>
    <w:p>
      <w:pPr>
        <w:spacing w:after="0" w:line="180" w:lineRule="exact"/>
        <w:rPr>
          <w:sz w:val="20"/>
          <w:szCs w:val="20"/>
          <w:color w:val="auto"/>
        </w:rPr>
      </w:pPr>
    </w:p>
    <w:p>
      <w:pPr>
        <w:ind w:right="200" w:firstLine="594"/>
        <w:spacing w:after="0" w:line="251" w:lineRule="auto"/>
        <w:rPr>
          <w:sz w:val="20"/>
          <w:szCs w:val="20"/>
          <w:color w:val="auto"/>
        </w:rPr>
      </w:pPr>
      <w:r>
        <w:rPr>
          <w:rFonts w:ascii="Arial" w:cs="Arial" w:eastAsia="Arial" w:hAnsi="Arial"/>
          <w:sz w:val="18"/>
          <w:szCs w:val="18"/>
          <w:color w:val="auto"/>
        </w:rPr>
        <w:t>Our largest single component of other underwriting expenses is salaries and employment costs, with costs of $2,835,000 in Three Months 2020 compared to $2,737,000 in Three Months 2019. The increase of $97,000, or 3.5%, was less than the 6.4% increase in personal lines direct written premiums. The increase in employment costs was attributable to the hiring of additional highly experienced management and separation payments to terminated employees, offset by staff reductions.</w:t>
      </w:r>
    </w:p>
    <w:p>
      <w:pPr>
        <w:sectPr>
          <w:pgSz w:w="11900" w:h="16838" w:orient="portrait"/>
          <w:cols w:equalWidth="0" w:num="1">
            <w:col w:w="11240"/>
          </w:cols>
          <w:pgMar w:left="320" w:top="1440" w:right="339" w:bottom="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ind w:firstLine="634"/>
        <w:spacing w:after="0" w:line="263" w:lineRule="auto"/>
        <w:rPr>
          <w:sz w:val="20"/>
          <w:szCs w:val="20"/>
          <w:color w:val="auto"/>
        </w:rPr>
      </w:pPr>
      <w:r>
        <w:rPr>
          <w:rFonts w:ascii="Arial" w:cs="Arial" w:eastAsia="Arial" w:hAnsi="Arial"/>
          <w:sz w:val="18"/>
          <w:szCs w:val="18"/>
          <w:color w:val="auto"/>
        </w:rPr>
        <w:t>Our net underwriting expense ratio in Three Months 2020 was 37.4% compared to 37.5% in Three Months 2019. The following table shows the individual components of our net underwriting expense ratio for the periods indicated:</w:t>
      </w:r>
    </w:p>
    <w:p>
      <w:pPr>
        <w:spacing w:after="0" w:line="174" w:lineRule="exact"/>
        <w:rPr>
          <w:sz w:val="20"/>
          <w:szCs w:val="20"/>
          <w:color w:val="auto"/>
        </w:rPr>
      </w:pPr>
    </w:p>
    <w:tbl>
      <w:tblPr>
        <w:tblLayout w:type="fixed"/>
        <w:tblInd w:w="8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400" w:type="dxa"/>
            <w:vAlign w:val="bottom"/>
            <w:gridSpan w:val="4"/>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40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Percentage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940" w:type="dxa"/>
            <w:vAlign w:val="bottom"/>
            <w:tcBorders>
              <w:top w:val="single" w:sz="8" w:color="auto"/>
            </w:tcBorders>
            <w:vMerge w:val="restart"/>
          </w:tcPr>
          <w:p>
            <w:pPr>
              <w:ind w:left="32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vMerge w:val="restart"/>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6"/>
                <w:szCs w:val="16"/>
                <w:color w:val="auto"/>
              </w:rPr>
            </w:pPr>
          </w:p>
        </w:tc>
        <w:tc>
          <w:tcPr>
            <w:tcW w:w="1040" w:type="dxa"/>
            <w:vAlign w:val="bottom"/>
            <w:gridSpan w:val="2"/>
          </w:tcPr>
          <w:p>
            <w:pPr>
              <w:jc w:val="center"/>
              <w:ind w:right="40"/>
              <w:spacing w:after="0" w:line="186" w:lineRule="exact"/>
              <w:rPr>
                <w:sz w:val="20"/>
                <w:szCs w:val="20"/>
                <w:color w:val="auto"/>
              </w:rPr>
            </w:pPr>
            <w:r>
              <w:rPr>
                <w:rFonts w:ascii="Arial" w:cs="Arial" w:eastAsia="Arial" w:hAnsi="Arial"/>
                <w:sz w:val="18"/>
                <w:szCs w:val="18"/>
                <w:b w:val="1"/>
                <w:bCs w:val="1"/>
                <w:color w:val="auto"/>
                <w:w w:val="88"/>
              </w:rPr>
              <w:t>Point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415"/>
        </w:trPr>
        <w:tc>
          <w:tcPr>
            <w:tcW w:w="6100" w:type="dxa"/>
            <w:vAlign w:val="bottom"/>
            <w:gridSpan w:val="2"/>
          </w:tcPr>
          <w:p>
            <w:pPr>
              <w:spacing w:after="0"/>
              <w:rPr>
                <w:sz w:val="20"/>
                <w:szCs w:val="20"/>
                <w:color w:val="auto"/>
              </w:rPr>
            </w:pPr>
            <w:r>
              <w:rPr>
                <w:rFonts w:ascii="Arial" w:cs="Arial" w:eastAsia="Arial" w:hAnsi="Arial"/>
                <w:sz w:val="18"/>
                <w:szCs w:val="18"/>
                <w:color w:val="auto"/>
              </w:rPr>
              <w:t>Other underwriting expenses</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Employment costs</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80" w:type="dxa"/>
            <w:vAlign w:val="bottom"/>
          </w:tcPr>
          <w:p>
            <w:pPr>
              <w:ind w:left="280"/>
              <w:spacing w:after="0"/>
              <w:rPr>
                <w:sz w:val="20"/>
                <w:szCs w:val="20"/>
                <w:color w:val="auto"/>
              </w:rPr>
            </w:pPr>
            <w:r>
              <w:rPr>
                <w:rFonts w:ascii="Arial" w:cs="Arial" w:eastAsia="Arial" w:hAnsi="Arial"/>
                <w:sz w:val="18"/>
                <w:szCs w:val="18"/>
                <w:color w:val="auto"/>
              </w:rPr>
              <w:t>Underwriting fees (inspections/data services)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IT expenses</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80" w:type="dxa"/>
            <w:vAlign w:val="bottom"/>
          </w:tcPr>
          <w:p>
            <w:pPr>
              <w:ind w:left="280"/>
              <w:spacing w:after="0"/>
              <w:rPr>
                <w:sz w:val="20"/>
                <w:szCs w:val="20"/>
                <w:color w:val="auto"/>
              </w:rPr>
            </w:pPr>
            <w:r>
              <w:rPr>
                <w:rFonts w:ascii="Arial" w:cs="Arial" w:eastAsia="Arial" w:hAnsi="Arial"/>
                <w:sz w:val="18"/>
                <w:szCs w:val="18"/>
                <w:color w:val="auto"/>
              </w:rPr>
              <w:t>Other expenses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080" w:type="dxa"/>
            <w:vAlign w:val="bottom"/>
            <w:shd w:val="clear" w:color="auto" w:fill="CCEEFF"/>
          </w:tcPr>
          <w:p>
            <w:pPr>
              <w:ind w:left="120"/>
              <w:spacing w:after="0" w:line="205" w:lineRule="exact"/>
              <w:rPr>
                <w:sz w:val="20"/>
                <w:szCs w:val="20"/>
                <w:color w:val="auto"/>
              </w:rPr>
            </w:pPr>
            <w:r>
              <w:rPr>
                <w:rFonts w:ascii="Arial" w:cs="Arial" w:eastAsia="Arial" w:hAnsi="Arial"/>
                <w:sz w:val="18"/>
                <w:szCs w:val="18"/>
                <w:color w:val="auto"/>
              </w:rPr>
              <w:t>Total other underwriting expenses</w:t>
            </w:r>
          </w:p>
        </w:tc>
        <w:tc>
          <w:tcPr>
            <w:tcW w:w="1200" w:type="dxa"/>
            <w:vAlign w:val="bottom"/>
            <w:gridSpan w:val="2"/>
            <w:shd w:val="clear" w:color="auto" w:fill="CCEEFF"/>
          </w:tcPr>
          <w:p>
            <w:pPr>
              <w:jc w:val="right"/>
              <w:ind w:right="260"/>
              <w:spacing w:after="0" w:line="205" w:lineRule="exact"/>
              <w:rPr>
                <w:sz w:val="20"/>
                <w:szCs w:val="20"/>
                <w:color w:val="auto"/>
              </w:rPr>
            </w:pPr>
            <w:r>
              <w:rPr>
                <w:rFonts w:ascii="Arial" w:cs="Arial" w:eastAsia="Arial" w:hAnsi="Arial"/>
                <w:sz w:val="18"/>
                <w:szCs w:val="18"/>
                <w:color w:val="auto"/>
              </w:rPr>
              <w:t>23.1</w:t>
            </w:r>
          </w:p>
        </w:tc>
        <w:tc>
          <w:tcPr>
            <w:tcW w:w="1200" w:type="dxa"/>
            <w:vAlign w:val="bottom"/>
            <w:gridSpan w:val="2"/>
            <w:shd w:val="clear" w:color="auto" w:fill="CCEEFF"/>
          </w:tcPr>
          <w:p>
            <w:pPr>
              <w:jc w:val="right"/>
              <w:ind w:right="260"/>
              <w:spacing w:after="0" w:line="205" w:lineRule="exact"/>
              <w:rPr>
                <w:sz w:val="20"/>
                <w:szCs w:val="20"/>
                <w:color w:val="auto"/>
              </w:rPr>
            </w:pPr>
            <w:r>
              <w:rPr>
                <w:rFonts w:ascii="Arial" w:cs="Arial" w:eastAsia="Arial" w:hAnsi="Arial"/>
                <w:sz w:val="18"/>
                <w:szCs w:val="18"/>
                <w:color w:val="auto"/>
              </w:rPr>
              <w:t>18.9</w:t>
            </w:r>
          </w:p>
        </w:tc>
        <w:tc>
          <w:tcPr>
            <w:tcW w:w="104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Ceding commission revenue</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80" w:type="dxa"/>
            <w:vAlign w:val="bottom"/>
          </w:tcPr>
          <w:p>
            <w:pPr>
              <w:ind w:left="280"/>
              <w:spacing w:after="0"/>
              <w:rPr>
                <w:sz w:val="20"/>
                <w:szCs w:val="20"/>
                <w:color w:val="auto"/>
              </w:rPr>
            </w:pPr>
            <w:r>
              <w:rPr>
                <w:rFonts w:ascii="Arial" w:cs="Arial" w:eastAsia="Arial" w:hAnsi="Arial"/>
                <w:sz w:val="18"/>
                <w:szCs w:val="18"/>
                <w:color w:val="auto"/>
              </w:rPr>
              <w:t>Provisional</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Contingent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080" w:type="dxa"/>
            <w:vAlign w:val="bottom"/>
          </w:tcPr>
          <w:p>
            <w:pPr>
              <w:ind w:left="120"/>
              <w:spacing w:after="0" w:line="205" w:lineRule="exact"/>
              <w:rPr>
                <w:sz w:val="20"/>
                <w:szCs w:val="20"/>
                <w:color w:val="auto"/>
              </w:rPr>
            </w:pPr>
            <w:r>
              <w:rPr>
                <w:rFonts w:ascii="Arial" w:cs="Arial" w:eastAsia="Arial" w:hAnsi="Arial"/>
                <w:sz w:val="18"/>
                <w:szCs w:val="18"/>
                <w:color w:val="auto"/>
              </w:rPr>
              <w:t>Total ceding commission revenue</w:t>
            </w:r>
          </w:p>
        </w:tc>
        <w:tc>
          <w:tcPr>
            <w:tcW w:w="120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(12.6)</w:t>
            </w:r>
          </w:p>
        </w:tc>
        <w:tc>
          <w:tcPr>
            <w:tcW w:w="120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(3.1)</w:t>
            </w:r>
          </w:p>
        </w:tc>
        <w:tc>
          <w:tcPr>
            <w:tcW w:w="104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Other income</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Commission expense</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vMerge w:val="continue"/>
          </w:tcPr>
          <w:p>
            <w:pPr>
              <w:spacing w:after="0"/>
              <w:rPr>
                <w:sz w:val="20"/>
                <w:szCs w:val="20"/>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 ratio</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40" w:firstLine="594"/>
        <w:spacing w:after="0" w:line="267" w:lineRule="auto"/>
        <w:rPr>
          <w:sz w:val="20"/>
          <w:szCs w:val="20"/>
          <w:color w:val="auto"/>
        </w:rPr>
      </w:pPr>
      <w:r>
        <w:rPr>
          <w:rFonts w:ascii="Arial" w:cs="Arial" w:eastAsia="Arial" w:hAnsi="Arial"/>
          <w:sz w:val="17"/>
          <w:szCs w:val="17"/>
          <w:color w:val="auto"/>
        </w:rPr>
        <w:t>The overall 9.5 percentage point increase in the benefit from provisional ceding commissions was driven entirely by the change in our quota share ceding rates and its impact on provisional ceding commission revenue due to less retention beginning with the inception of the 2019/2020 Treaty on December 15, 2019, resulting in an increase in provisional ceding commissions. The components of our net underwriting expense ratio related to other underwriting expenses, other income and commissions increased in all categories due to less retention beginning with the inception of 2019/2020 Treaty on December 15, 2019, resulting in an overall 1.4 percentage point increase in the net underwriting expense ratio.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Operating Expenses</w:t>
      </w:r>
    </w:p>
    <w:p>
      <w:pPr>
        <w:spacing w:after="0" w:line="216" w:lineRule="exact"/>
        <w:rPr>
          <w:sz w:val="20"/>
          <w:szCs w:val="20"/>
          <w:color w:val="auto"/>
        </w:rPr>
      </w:pPr>
    </w:p>
    <w:p>
      <w:pPr>
        <w:ind w:right="200" w:firstLine="594"/>
        <w:spacing w:after="0" w:line="266" w:lineRule="auto"/>
        <w:rPr>
          <w:sz w:val="20"/>
          <w:szCs w:val="20"/>
          <w:color w:val="auto"/>
        </w:rPr>
      </w:pPr>
      <w:r>
        <w:rPr>
          <w:rFonts w:ascii="Arial" w:cs="Arial" w:eastAsia="Arial" w:hAnsi="Arial"/>
          <w:sz w:val="17"/>
          <w:szCs w:val="17"/>
          <w:color w:val="auto"/>
        </w:rPr>
        <w:t>Other operating expenses, related to the expenses of our holding company and Cosi, were $1,038,000 for Three Months 2020 compared to $610,000 for Three Months 2019. The increase in Three Months 2020 of $428,000, or 70.2%, as compared to Three Months 2019 was primarily due to an increase in executive bonus compensation. In 2019, executive bonus compensation was accrued pursuant to the employment agreement effective January 1, 2017 with Barry B. Goldstein, our Chief Executive Officer. The bonus is a one-time payment computed at the end of the three-year period ended December 31, 2019, and as of September 30, 2019 the three-year computation did not meet the required terms of profitability, resulting in the reversal of $698,000 previously accrued. There was no accrual for bonus in Three Months 2020.</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16" w:lineRule="exact"/>
        <w:rPr>
          <w:sz w:val="20"/>
          <w:szCs w:val="20"/>
          <w:color w:val="auto"/>
        </w:rPr>
      </w:pPr>
    </w:p>
    <w:p>
      <w:pPr>
        <w:jc w:val="both"/>
        <w:ind w:firstLine="634"/>
        <w:spacing w:after="0" w:line="328" w:lineRule="auto"/>
        <w:rPr>
          <w:sz w:val="20"/>
          <w:szCs w:val="20"/>
          <w:color w:val="auto"/>
        </w:rPr>
      </w:pPr>
      <w:r>
        <w:rPr>
          <w:rFonts w:ascii="Arial" w:cs="Arial" w:eastAsia="Arial" w:hAnsi="Arial"/>
          <w:sz w:val="15"/>
          <w:szCs w:val="15"/>
          <w:color w:val="auto"/>
        </w:rPr>
        <w:t>Depreciation and amortization was $710,000 in Three Months 2020 compared to $646,000 in Three Months 2019. The increase of $64,000, or 9.9%, in depreciation and amortization was primarily due to depreciation of our new systems platform for handling business being written in Expansion states, newly purchased assets used to upgrade our systems infrastructure and improvements to the Kingston, New York home office building from which we operate.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16"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Interest expense was $457,000 for both Three Months 2020 and Three Months 2019. We incurred interest expense in connection with our $30.0 million issuance of long-term debt in December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Expense</w:t>
      </w:r>
    </w:p>
    <w:p>
      <w:pPr>
        <w:spacing w:after="0" w:line="216" w:lineRule="exact"/>
        <w:rPr>
          <w:sz w:val="20"/>
          <w:szCs w:val="20"/>
          <w:color w:val="auto"/>
        </w:rPr>
      </w:pPr>
    </w:p>
    <w:p>
      <w:pPr>
        <w:ind w:right="20" w:firstLine="594"/>
        <w:spacing w:after="0" w:line="311" w:lineRule="auto"/>
        <w:rPr>
          <w:sz w:val="20"/>
          <w:szCs w:val="20"/>
          <w:color w:val="auto"/>
        </w:rPr>
      </w:pPr>
      <w:r>
        <w:rPr>
          <w:rFonts w:ascii="Arial" w:cs="Arial" w:eastAsia="Arial" w:hAnsi="Arial"/>
          <w:sz w:val="15"/>
          <w:szCs w:val="15"/>
          <w:color w:val="auto"/>
        </w:rPr>
        <w:t>Income tax benefit in Three Months 2020 was $656,000, which resulted in an effective tax expense rate of 40.1%. Income tax benefit in Three Months 2019 was $475,000, which resulted in an effective tax expense rate of 21.6%. Loss before taxes was $1,884,000 in Three Months 2020 compared to loss before taxes of $2,200,000 in Three Months 2019. On March 27, 2020, the Coronavirus Aid, Relief, and Economic Security (CARES) Act was signed into law, allowing for a five year carryback of 2019 NOL’s. We elected on our 2019 federal income tax return to carry back the 2019 NOL of $7,222,000 to tax years 2014 and 2015. The corporate tax rate in 2014 and 2015 was 34%, compared to the corporate tax rate of 21% in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16" w:lineRule="exact"/>
        <w:rPr>
          <w:sz w:val="20"/>
          <w:szCs w:val="20"/>
          <w:color w:val="auto"/>
        </w:rPr>
      </w:pPr>
    </w:p>
    <w:p>
      <w:pPr>
        <w:ind w:right="180" w:firstLine="594"/>
        <w:spacing w:after="0" w:line="251" w:lineRule="auto"/>
        <w:rPr>
          <w:sz w:val="20"/>
          <w:szCs w:val="20"/>
          <w:color w:val="auto"/>
        </w:rPr>
      </w:pPr>
      <w:r>
        <w:rPr>
          <w:rFonts w:ascii="Arial" w:cs="Arial" w:eastAsia="Arial" w:hAnsi="Arial"/>
          <w:sz w:val="18"/>
          <w:szCs w:val="18"/>
          <w:color w:val="auto"/>
        </w:rPr>
        <w:t>Net loss was $1,228,000 in Three Months 2020 compared to net loss of $1,725,000 in Three Months 2019. The decrease in net loss of $497,000 was due to the circumstances described above, which caused the decrease in our net loss ratio, increase in ceding commission revenue, increases in net gains on investments, and other income, and decrease in other underwriting expenses, partially offset by the decrease in our net premiums earned, increase in other operating expenses and depreciation and amortization.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Information</w:t>
      </w:r>
    </w:p>
    <w:p>
      <w:pPr>
        <w:sectPr>
          <w:pgSz w:w="11900" w:h="16838" w:orient="portrait"/>
          <w:cols w:equalWidth="0" w:num="1">
            <w:col w:w="11240"/>
          </w:cols>
          <w:pgMar w:left="320" w:top="338" w:right="339" w:bottom="0" w:gutter="0" w:footer="0" w:header="0"/>
        </w:sectPr>
      </w:pPr>
    </w:p>
    <w:bookmarkStart w:id="37" w:name="page38"/>
    <w:bookmarkEnd w:id="37"/>
    <w:p>
      <w:pPr>
        <w:jc w:val="both"/>
        <w:ind w:firstLine="634"/>
        <w:spacing w:after="0" w:line="276" w:lineRule="auto"/>
        <w:rPr>
          <w:sz w:val="20"/>
          <w:szCs w:val="20"/>
          <w:color w:val="auto"/>
        </w:rPr>
      </w:pPr>
      <w:r>
        <w:rPr>
          <w:rFonts w:ascii="Arial" w:cs="Arial" w:eastAsia="Arial" w:hAnsi="Arial"/>
          <w:sz w:val="17"/>
          <w:szCs w:val="17"/>
          <w:color w:val="auto"/>
        </w:rPr>
        <w:t>We operate our business as one segment, property and casualty insurance. Within this segment, we offer an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80" w:type="dxa"/>
            <w:vAlign w:val="bottom"/>
            <w:gridSpan w:val="2"/>
          </w:tcPr>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8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For the Three Months</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0" w:type="dxa"/>
            <w:vAlign w:val="bottom"/>
            <w:gridSpan w:val="4"/>
          </w:tcPr>
          <w:p>
            <w:pPr>
              <w:jc w:val="right"/>
              <w:ind w:right="1080"/>
              <w:spacing w:after="0"/>
              <w:rPr>
                <w:sz w:val="20"/>
                <w:szCs w:val="20"/>
                <w:color w:val="auto"/>
              </w:rPr>
            </w:pPr>
            <w:r>
              <w:rPr>
                <w:rFonts w:ascii="Arial" w:cs="Arial" w:eastAsia="Arial" w:hAnsi="Arial"/>
                <w:sz w:val="18"/>
                <w:szCs w:val="18"/>
                <w:b w:val="1"/>
                <w:bCs w:val="1"/>
                <w:color w:val="auto"/>
              </w:rPr>
              <w:t>Ended</w:t>
            </w:r>
          </w:p>
        </w:tc>
        <w:tc>
          <w:tcPr>
            <w:tcW w:w="236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9"/>
              </w:rPr>
              <w:t>For the Nine Months Ended</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228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05"/>
        </w:trPr>
        <w:tc>
          <w:tcPr>
            <w:tcW w:w="508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Gross premiums written:</w:t>
            </w:r>
          </w:p>
        </w:tc>
        <w:tc>
          <w:tcPr>
            <w:tcW w:w="5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192"/>
              <w:spacing w:after="0" w:line="206" w:lineRule="exact"/>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92"/>
              <w:spacing w:after="0" w:line="206" w:lineRule="exact"/>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12"/>
              <w:spacing w:after="0" w:line="206" w:lineRule="exact"/>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12"/>
              <w:spacing w:after="0" w:line="206" w:lineRule="exact"/>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8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1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$ 43,640,603</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$ 40,996,459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119,598,207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109,143,415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Livery physical damage</w:t>
            </w:r>
          </w:p>
        </w:tc>
        <w:tc>
          <w:tcPr>
            <w:tcW w:w="1760" w:type="dxa"/>
            <w:vAlign w:val="bottom"/>
            <w:gridSpan w:val="3"/>
          </w:tcPr>
          <w:p>
            <w:pPr>
              <w:jc w:val="right"/>
              <w:ind w:right="260"/>
              <w:spacing w:after="0"/>
              <w:rPr>
                <w:sz w:val="20"/>
                <w:szCs w:val="20"/>
                <w:color w:val="auto"/>
              </w:rPr>
            </w:pPr>
            <w:r>
              <w:rPr>
                <w:rFonts w:ascii="Arial" w:cs="Arial" w:eastAsia="Arial" w:hAnsi="Arial"/>
                <w:sz w:val="18"/>
                <w:szCs w:val="18"/>
                <w:color w:val="auto"/>
              </w:rPr>
              <w:t>2,045,746</w:t>
            </w:r>
          </w:p>
        </w:tc>
        <w:tc>
          <w:tcPr>
            <w:tcW w:w="940" w:type="dxa"/>
            <w:vAlign w:val="bottom"/>
          </w:tcPr>
          <w:p>
            <w:pPr>
              <w:jc w:val="right"/>
              <w:spacing w:after="0"/>
              <w:rPr>
                <w:sz w:val="20"/>
                <w:szCs w:val="20"/>
                <w:color w:val="auto"/>
              </w:rPr>
            </w:pPr>
            <w:r>
              <w:rPr>
                <w:rFonts w:ascii="Arial" w:cs="Arial" w:eastAsia="Arial" w:hAnsi="Arial"/>
                <w:sz w:val="18"/>
                <w:szCs w:val="18"/>
                <w:color w:val="auto"/>
              </w:rPr>
              <w:t>2,590,434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5,466,552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8,199,269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62,664</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401,073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192,395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535,950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spacing w:after="0"/>
              <w:rPr>
                <w:sz w:val="17"/>
                <w:szCs w:val="17"/>
                <w:color w:val="auto"/>
              </w:rPr>
            </w:pPr>
          </w:p>
        </w:tc>
        <w:tc>
          <w:tcPr>
            <w:tcW w:w="4220" w:type="dxa"/>
            <w:vAlign w:val="bottom"/>
          </w:tcPr>
          <w:p>
            <w:pPr>
              <w:ind w:left="160"/>
              <w:spacing w:after="0" w:line="205" w:lineRule="exact"/>
              <w:rPr>
                <w:sz w:val="20"/>
                <w:szCs w:val="20"/>
                <w:color w:val="auto"/>
              </w:rPr>
            </w:pPr>
            <w:r>
              <w:rPr>
                <w:rFonts w:ascii="Arial" w:cs="Arial" w:eastAsia="Arial" w:hAnsi="Arial"/>
                <w:sz w:val="18"/>
                <w:szCs w:val="18"/>
                <w:color w:val="auto"/>
              </w:rPr>
              <w:t>Total without commercial lines</w:t>
            </w:r>
          </w:p>
        </w:tc>
        <w:tc>
          <w:tcPr>
            <w:tcW w:w="560" w:type="dxa"/>
            <w:vAlign w:val="bottom"/>
          </w:tcPr>
          <w:p>
            <w:pPr>
              <w:spacing w:after="0"/>
              <w:rPr>
                <w:sz w:val="17"/>
                <w:szCs w:val="17"/>
                <w:color w:val="auto"/>
              </w:rPr>
            </w:pPr>
          </w:p>
        </w:tc>
        <w:tc>
          <w:tcPr>
            <w:tcW w:w="120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rPr>
              <w:t>45,749,013</w:t>
            </w:r>
          </w:p>
        </w:tc>
        <w:tc>
          <w:tcPr>
            <w:tcW w:w="120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rPr>
              <w:t>43,987,966</w:t>
            </w:r>
          </w:p>
        </w:tc>
        <w:tc>
          <w:tcPr>
            <w:tcW w:w="80" w:type="dxa"/>
            <w:vAlign w:val="bottom"/>
          </w:tcPr>
          <w:p>
            <w:pPr>
              <w:spacing w:after="0"/>
              <w:rPr>
                <w:sz w:val="17"/>
                <w:szCs w:val="17"/>
                <w:color w:val="auto"/>
              </w:rPr>
            </w:pP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w w:val="87"/>
              </w:rPr>
              <w:t>125,257,154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60"/>
              <w:spacing w:after="0" w:line="205" w:lineRule="exact"/>
              <w:rPr>
                <w:sz w:val="20"/>
                <w:szCs w:val="20"/>
                <w:color w:val="auto"/>
              </w:rPr>
            </w:pPr>
            <w:r>
              <w:rPr>
                <w:rFonts w:ascii="Arial" w:cs="Arial" w:eastAsia="Arial" w:hAnsi="Arial"/>
                <w:sz w:val="18"/>
                <w:szCs w:val="18"/>
                <w:color w:val="auto"/>
                <w:w w:val="85"/>
              </w:rPr>
              <w:t>117,878,634</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(6,848)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2,036,185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(167,583)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10,455,421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spacing w:after="0"/>
              <w:rPr>
                <w:sz w:val="17"/>
                <w:szCs w:val="17"/>
                <w:color w:val="auto"/>
              </w:rPr>
            </w:pPr>
          </w:p>
        </w:tc>
        <w:tc>
          <w:tcPr>
            <w:tcW w:w="4220" w:type="dxa"/>
            <w:vAlign w:val="bottom"/>
          </w:tcPr>
          <w:p>
            <w:pPr>
              <w:ind w:left="160"/>
              <w:spacing w:after="0" w:line="205" w:lineRule="exact"/>
              <w:rPr>
                <w:sz w:val="20"/>
                <w:szCs w:val="20"/>
                <w:color w:val="auto"/>
              </w:rPr>
            </w:pPr>
            <w:r>
              <w:rPr>
                <w:rFonts w:ascii="Arial" w:cs="Arial" w:eastAsia="Arial" w:hAnsi="Arial"/>
                <w:sz w:val="18"/>
                <w:szCs w:val="18"/>
                <w:color w:val="auto"/>
              </w:rPr>
              <w:t>Total gross premiums written</w:t>
            </w:r>
          </w:p>
        </w:tc>
        <w:tc>
          <w:tcPr>
            <w:tcW w:w="1760" w:type="dxa"/>
            <w:vAlign w:val="bottom"/>
            <w:gridSpan w:val="3"/>
          </w:tcPr>
          <w:p>
            <w:pPr>
              <w:jc w:val="right"/>
              <w:ind w:right="260"/>
              <w:spacing w:after="0" w:line="205" w:lineRule="exact"/>
              <w:rPr>
                <w:sz w:val="20"/>
                <w:szCs w:val="20"/>
                <w:color w:val="auto"/>
              </w:rPr>
            </w:pPr>
            <w:r>
              <w:rPr>
                <w:rFonts w:ascii="Arial" w:cs="Arial" w:eastAsia="Arial" w:hAnsi="Arial"/>
                <w:sz w:val="18"/>
                <w:szCs w:val="18"/>
                <w:color w:val="auto"/>
              </w:rPr>
              <w:t>$ 45,742,165</w:t>
            </w:r>
          </w:p>
        </w:tc>
        <w:tc>
          <w:tcPr>
            <w:tcW w:w="120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w w:val="87"/>
              </w:rPr>
              <w:t>$ 46,024,151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w w:val="87"/>
              </w:rPr>
              <w:t>125,089,571</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Pr>
          <w:p>
            <w:pPr>
              <w:jc w:val="right"/>
              <w:spacing w:after="0" w:line="205" w:lineRule="exact"/>
              <w:rPr>
                <w:sz w:val="20"/>
                <w:szCs w:val="20"/>
                <w:color w:val="auto"/>
              </w:rPr>
            </w:pPr>
            <w:r>
              <w:rPr>
                <w:rFonts w:ascii="Arial" w:cs="Arial" w:eastAsia="Arial" w:hAnsi="Arial"/>
                <w:sz w:val="18"/>
                <w:szCs w:val="18"/>
                <w:color w:val="auto"/>
                <w:w w:val="85"/>
              </w:rPr>
              <w:t>128,334,055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vMerge w:val="restart"/>
          </w:tcPr>
          <w:p>
            <w:pPr>
              <w:spacing w:after="0"/>
              <w:rPr>
                <w:sz w:val="16"/>
                <w:szCs w:val="16"/>
                <w:color w:val="auto"/>
              </w:rPr>
            </w:pPr>
          </w:p>
        </w:tc>
        <w:tc>
          <w:tcPr>
            <w:tcW w:w="4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6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Net premiums written:</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Personal lines(3)</w:t>
            </w:r>
          </w:p>
        </w:tc>
        <w:tc>
          <w:tcPr>
            <w:tcW w:w="1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$ 27,916,850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$ 35,442,970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76,231,996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89,287,063</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Livery physical damage</w:t>
            </w:r>
          </w:p>
        </w:tc>
        <w:tc>
          <w:tcPr>
            <w:tcW w:w="1760" w:type="dxa"/>
            <w:vAlign w:val="bottom"/>
            <w:gridSpan w:val="3"/>
          </w:tcPr>
          <w:p>
            <w:pPr>
              <w:jc w:val="right"/>
              <w:ind w:right="260"/>
              <w:spacing w:after="0"/>
              <w:rPr>
                <w:sz w:val="20"/>
                <w:szCs w:val="20"/>
                <w:color w:val="auto"/>
              </w:rPr>
            </w:pPr>
            <w:r>
              <w:rPr>
                <w:rFonts w:ascii="Arial" w:cs="Arial" w:eastAsia="Arial" w:hAnsi="Arial"/>
                <w:sz w:val="18"/>
                <w:szCs w:val="18"/>
                <w:color w:val="auto"/>
              </w:rPr>
              <w:t>2,045,746</w:t>
            </w:r>
          </w:p>
        </w:tc>
        <w:tc>
          <w:tcPr>
            <w:tcW w:w="940" w:type="dxa"/>
            <w:vAlign w:val="bottom"/>
          </w:tcPr>
          <w:p>
            <w:pPr>
              <w:jc w:val="right"/>
              <w:spacing w:after="0"/>
              <w:rPr>
                <w:sz w:val="20"/>
                <w:szCs w:val="20"/>
                <w:color w:val="auto"/>
              </w:rPr>
            </w:pPr>
            <w:r>
              <w:rPr>
                <w:rFonts w:ascii="Arial" w:cs="Arial" w:eastAsia="Arial" w:hAnsi="Arial"/>
                <w:sz w:val="18"/>
                <w:szCs w:val="18"/>
                <w:color w:val="auto"/>
              </w:rPr>
              <w:t>2,590,434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5,466,552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8,199,269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50,626</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410,317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151,784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522,596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spacing w:after="0"/>
              <w:rPr>
                <w:sz w:val="17"/>
                <w:szCs w:val="17"/>
                <w:color w:val="auto"/>
              </w:rPr>
            </w:pPr>
          </w:p>
        </w:tc>
        <w:tc>
          <w:tcPr>
            <w:tcW w:w="4220" w:type="dxa"/>
            <w:vAlign w:val="bottom"/>
          </w:tcPr>
          <w:p>
            <w:pPr>
              <w:ind w:left="160"/>
              <w:spacing w:after="0" w:line="205" w:lineRule="exact"/>
              <w:rPr>
                <w:sz w:val="20"/>
                <w:szCs w:val="20"/>
                <w:color w:val="auto"/>
              </w:rPr>
            </w:pPr>
            <w:r>
              <w:rPr>
                <w:rFonts w:ascii="Arial" w:cs="Arial" w:eastAsia="Arial" w:hAnsi="Arial"/>
                <w:sz w:val="18"/>
                <w:szCs w:val="18"/>
                <w:color w:val="auto"/>
              </w:rPr>
              <w:t>Total without commercial lines</w:t>
            </w:r>
          </w:p>
        </w:tc>
        <w:tc>
          <w:tcPr>
            <w:tcW w:w="560" w:type="dxa"/>
            <w:vAlign w:val="bottom"/>
          </w:tcPr>
          <w:p>
            <w:pPr>
              <w:spacing w:after="0"/>
              <w:rPr>
                <w:sz w:val="17"/>
                <w:szCs w:val="17"/>
                <w:color w:val="auto"/>
              </w:rPr>
            </w:pPr>
          </w:p>
        </w:tc>
        <w:tc>
          <w:tcPr>
            <w:tcW w:w="120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rPr>
              <w:t>30,013,222</w:t>
            </w:r>
          </w:p>
        </w:tc>
        <w:tc>
          <w:tcPr>
            <w:tcW w:w="120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rPr>
              <w:t>38,443,721</w:t>
            </w:r>
          </w:p>
        </w:tc>
        <w:tc>
          <w:tcPr>
            <w:tcW w:w="80" w:type="dxa"/>
            <w:vAlign w:val="bottom"/>
          </w:tcPr>
          <w:p>
            <w:pPr>
              <w:spacing w:after="0"/>
              <w:rPr>
                <w:sz w:val="17"/>
                <w:szCs w:val="17"/>
                <w:color w:val="auto"/>
              </w:rPr>
            </w:pPr>
          </w:p>
        </w:tc>
        <w:tc>
          <w:tcPr>
            <w:tcW w:w="114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w w:val="97"/>
              </w:rPr>
              <w:t>81,850,332</w:t>
            </w:r>
          </w:p>
        </w:tc>
        <w:tc>
          <w:tcPr>
            <w:tcW w:w="100" w:type="dxa"/>
            <w:vAlign w:val="bottom"/>
          </w:tcPr>
          <w:p>
            <w:pPr>
              <w:spacing w:after="0"/>
              <w:rPr>
                <w:sz w:val="17"/>
                <w:szCs w:val="17"/>
                <w:color w:val="auto"/>
              </w:rPr>
            </w:pPr>
          </w:p>
        </w:tc>
        <w:tc>
          <w:tcPr>
            <w:tcW w:w="1040" w:type="dxa"/>
            <w:vAlign w:val="bottom"/>
            <w:gridSpan w:val="2"/>
          </w:tcPr>
          <w:p>
            <w:pPr>
              <w:jc w:val="right"/>
              <w:ind w:right="160"/>
              <w:spacing w:after="0" w:line="205" w:lineRule="exact"/>
              <w:rPr>
                <w:sz w:val="20"/>
                <w:szCs w:val="20"/>
                <w:color w:val="auto"/>
              </w:rPr>
            </w:pPr>
            <w:r>
              <w:rPr>
                <w:rFonts w:ascii="Arial" w:cs="Arial" w:eastAsia="Arial" w:hAnsi="Arial"/>
                <w:sz w:val="18"/>
                <w:szCs w:val="18"/>
                <w:color w:val="auto"/>
                <w:w w:val="95"/>
              </w:rPr>
              <w:t>98,008,928</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(18,271)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2,004,152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(574,228)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9,411,053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spacing w:after="0"/>
              <w:rPr>
                <w:sz w:val="17"/>
                <w:szCs w:val="17"/>
                <w:color w:val="auto"/>
              </w:rPr>
            </w:pPr>
          </w:p>
        </w:tc>
        <w:tc>
          <w:tcPr>
            <w:tcW w:w="4220" w:type="dxa"/>
            <w:vAlign w:val="bottom"/>
          </w:tcPr>
          <w:p>
            <w:pPr>
              <w:ind w:left="160"/>
              <w:spacing w:after="0" w:line="205" w:lineRule="exact"/>
              <w:rPr>
                <w:sz w:val="20"/>
                <w:szCs w:val="20"/>
                <w:color w:val="auto"/>
              </w:rPr>
            </w:pPr>
            <w:r>
              <w:rPr>
                <w:rFonts w:ascii="Arial" w:cs="Arial" w:eastAsia="Arial" w:hAnsi="Arial"/>
                <w:sz w:val="18"/>
                <w:szCs w:val="18"/>
                <w:color w:val="auto"/>
              </w:rPr>
              <w:t>Total net premiums written</w:t>
            </w:r>
          </w:p>
        </w:tc>
        <w:tc>
          <w:tcPr>
            <w:tcW w:w="1760" w:type="dxa"/>
            <w:vAlign w:val="bottom"/>
            <w:gridSpan w:val="3"/>
          </w:tcPr>
          <w:p>
            <w:pPr>
              <w:jc w:val="right"/>
              <w:ind w:right="260"/>
              <w:spacing w:after="0" w:line="205" w:lineRule="exact"/>
              <w:rPr>
                <w:sz w:val="20"/>
                <w:szCs w:val="20"/>
                <w:color w:val="auto"/>
              </w:rPr>
            </w:pPr>
            <w:r>
              <w:rPr>
                <w:rFonts w:ascii="Arial" w:cs="Arial" w:eastAsia="Arial" w:hAnsi="Arial"/>
                <w:sz w:val="18"/>
                <w:szCs w:val="18"/>
                <w:color w:val="auto"/>
              </w:rPr>
              <w:t>$ 29,994,951</w:t>
            </w:r>
          </w:p>
        </w:tc>
        <w:tc>
          <w:tcPr>
            <w:tcW w:w="120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w w:val="87"/>
              </w:rPr>
              <w:t>$ 40,447,873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w w:val="97"/>
              </w:rPr>
              <w:t>81,276,104</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Pr>
          <w:p>
            <w:pPr>
              <w:jc w:val="right"/>
              <w:spacing w:after="0" w:line="205" w:lineRule="exact"/>
              <w:rPr>
                <w:sz w:val="20"/>
                <w:szCs w:val="20"/>
                <w:color w:val="auto"/>
              </w:rPr>
            </w:pPr>
            <w:r>
              <w:rPr>
                <w:rFonts w:ascii="Arial" w:cs="Arial" w:eastAsia="Arial" w:hAnsi="Arial"/>
                <w:sz w:val="18"/>
                <w:szCs w:val="18"/>
                <w:color w:val="auto"/>
                <w:w w:val="85"/>
              </w:rPr>
              <w:t>107,419,981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vMerge w:val="restart"/>
          </w:tcPr>
          <w:p>
            <w:pPr>
              <w:spacing w:after="0"/>
              <w:rPr>
                <w:sz w:val="16"/>
                <w:szCs w:val="16"/>
                <w:color w:val="auto"/>
              </w:rPr>
            </w:pPr>
          </w:p>
        </w:tc>
        <w:tc>
          <w:tcPr>
            <w:tcW w:w="4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6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Net premiums earned:</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Personal lines(3)</w:t>
            </w:r>
          </w:p>
        </w:tc>
        <w:tc>
          <w:tcPr>
            <w:tcW w:w="1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$ 25,220,883</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$ 27,487,526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71,434,757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75,737,374</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Livery physical damage</w:t>
            </w:r>
          </w:p>
        </w:tc>
        <w:tc>
          <w:tcPr>
            <w:tcW w:w="1760" w:type="dxa"/>
            <w:vAlign w:val="bottom"/>
            <w:gridSpan w:val="3"/>
          </w:tcPr>
          <w:p>
            <w:pPr>
              <w:jc w:val="right"/>
              <w:ind w:right="260"/>
              <w:spacing w:after="0"/>
              <w:rPr>
                <w:sz w:val="20"/>
                <w:szCs w:val="20"/>
                <w:color w:val="auto"/>
              </w:rPr>
            </w:pPr>
            <w:r>
              <w:rPr>
                <w:rFonts w:ascii="Arial" w:cs="Arial" w:eastAsia="Arial" w:hAnsi="Arial"/>
                <w:sz w:val="18"/>
                <w:szCs w:val="18"/>
                <w:color w:val="auto"/>
              </w:rPr>
              <w:t>2,014,458</w:t>
            </w:r>
          </w:p>
        </w:tc>
        <w:tc>
          <w:tcPr>
            <w:tcW w:w="940" w:type="dxa"/>
            <w:vAlign w:val="bottom"/>
          </w:tcPr>
          <w:p>
            <w:pPr>
              <w:jc w:val="right"/>
              <w:spacing w:after="0"/>
              <w:rPr>
                <w:sz w:val="20"/>
                <w:szCs w:val="20"/>
                <w:color w:val="auto"/>
              </w:rPr>
            </w:pPr>
            <w:r>
              <w:rPr>
                <w:rFonts w:ascii="Arial" w:cs="Arial" w:eastAsia="Arial" w:hAnsi="Arial"/>
                <w:sz w:val="18"/>
                <w:szCs w:val="18"/>
                <w:color w:val="auto"/>
              </w:rPr>
              <w:t>2,712,283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6,803,475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7,850,822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49,939</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275,324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149,087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392,745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spacing w:after="0"/>
              <w:rPr>
                <w:sz w:val="17"/>
                <w:szCs w:val="17"/>
                <w:color w:val="auto"/>
              </w:rPr>
            </w:pPr>
          </w:p>
        </w:tc>
        <w:tc>
          <w:tcPr>
            <w:tcW w:w="4220" w:type="dxa"/>
            <w:vAlign w:val="bottom"/>
          </w:tcPr>
          <w:p>
            <w:pPr>
              <w:ind w:left="160"/>
              <w:spacing w:after="0" w:line="205" w:lineRule="exact"/>
              <w:rPr>
                <w:sz w:val="20"/>
                <w:szCs w:val="20"/>
                <w:color w:val="auto"/>
              </w:rPr>
            </w:pPr>
            <w:r>
              <w:rPr>
                <w:rFonts w:ascii="Arial" w:cs="Arial" w:eastAsia="Arial" w:hAnsi="Arial"/>
                <w:sz w:val="18"/>
                <w:szCs w:val="18"/>
                <w:color w:val="auto"/>
              </w:rPr>
              <w:t>Total without commercial lines</w:t>
            </w:r>
          </w:p>
        </w:tc>
        <w:tc>
          <w:tcPr>
            <w:tcW w:w="560" w:type="dxa"/>
            <w:vAlign w:val="bottom"/>
          </w:tcPr>
          <w:p>
            <w:pPr>
              <w:spacing w:after="0"/>
              <w:rPr>
                <w:sz w:val="17"/>
                <w:szCs w:val="17"/>
                <w:color w:val="auto"/>
              </w:rPr>
            </w:pPr>
          </w:p>
        </w:tc>
        <w:tc>
          <w:tcPr>
            <w:tcW w:w="120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rPr>
              <w:t>27,285,280</w:t>
            </w:r>
          </w:p>
        </w:tc>
        <w:tc>
          <w:tcPr>
            <w:tcW w:w="120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rPr>
              <w:t>30,475,133</w:t>
            </w:r>
          </w:p>
        </w:tc>
        <w:tc>
          <w:tcPr>
            <w:tcW w:w="80" w:type="dxa"/>
            <w:vAlign w:val="bottom"/>
          </w:tcPr>
          <w:p>
            <w:pPr>
              <w:spacing w:after="0"/>
              <w:rPr>
                <w:sz w:val="17"/>
                <w:szCs w:val="17"/>
                <w:color w:val="auto"/>
              </w:rPr>
            </w:pPr>
          </w:p>
        </w:tc>
        <w:tc>
          <w:tcPr>
            <w:tcW w:w="114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w w:val="97"/>
              </w:rPr>
              <w:t>78,387,319</w:t>
            </w:r>
          </w:p>
        </w:tc>
        <w:tc>
          <w:tcPr>
            <w:tcW w:w="100" w:type="dxa"/>
            <w:vAlign w:val="bottom"/>
          </w:tcPr>
          <w:p>
            <w:pPr>
              <w:spacing w:after="0"/>
              <w:rPr>
                <w:sz w:val="17"/>
                <w:szCs w:val="17"/>
                <w:color w:val="auto"/>
              </w:rPr>
            </w:pPr>
          </w:p>
        </w:tc>
        <w:tc>
          <w:tcPr>
            <w:tcW w:w="1040" w:type="dxa"/>
            <w:vAlign w:val="bottom"/>
            <w:gridSpan w:val="2"/>
          </w:tcPr>
          <w:p>
            <w:pPr>
              <w:jc w:val="right"/>
              <w:ind w:right="160"/>
              <w:spacing w:after="0" w:line="205" w:lineRule="exact"/>
              <w:rPr>
                <w:sz w:val="20"/>
                <w:szCs w:val="20"/>
                <w:color w:val="auto"/>
              </w:rPr>
            </w:pPr>
            <w:r>
              <w:rPr>
                <w:rFonts w:ascii="Arial" w:cs="Arial" w:eastAsia="Arial" w:hAnsi="Arial"/>
                <w:sz w:val="18"/>
                <w:szCs w:val="18"/>
                <w:color w:val="auto"/>
                <w:w w:val="95"/>
              </w:rPr>
              <w:t>83,980,941</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235,801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3,744,877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2,712,068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11,036,237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spacing w:after="0"/>
              <w:rPr>
                <w:sz w:val="17"/>
                <w:szCs w:val="17"/>
                <w:color w:val="auto"/>
              </w:rPr>
            </w:pPr>
          </w:p>
        </w:tc>
        <w:tc>
          <w:tcPr>
            <w:tcW w:w="4220" w:type="dxa"/>
            <w:vAlign w:val="bottom"/>
          </w:tcPr>
          <w:p>
            <w:pPr>
              <w:ind w:left="160"/>
              <w:spacing w:after="0" w:line="205" w:lineRule="exact"/>
              <w:rPr>
                <w:sz w:val="20"/>
                <w:szCs w:val="20"/>
                <w:color w:val="auto"/>
              </w:rPr>
            </w:pPr>
            <w:r>
              <w:rPr>
                <w:rFonts w:ascii="Arial" w:cs="Arial" w:eastAsia="Arial" w:hAnsi="Arial"/>
                <w:sz w:val="18"/>
                <w:szCs w:val="18"/>
                <w:color w:val="auto"/>
              </w:rPr>
              <w:t>Total net premiums earned</w:t>
            </w:r>
          </w:p>
        </w:tc>
        <w:tc>
          <w:tcPr>
            <w:tcW w:w="1760" w:type="dxa"/>
            <w:vAlign w:val="bottom"/>
            <w:gridSpan w:val="3"/>
          </w:tcPr>
          <w:p>
            <w:pPr>
              <w:jc w:val="right"/>
              <w:ind w:right="260"/>
              <w:spacing w:after="0" w:line="205" w:lineRule="exact"/>
              <w:rPr>
                <w:sz w:val="20"/>
                <w:szCs w:val="20"/>
                <w:color w:val="auto"/>
              </w:rPr>
            </w:pPr>
            <w:r>
              <w:rPr>
                <w:rFonts w:ascii="Arial" w:cs="Arial" w:eastAsia="Arial" w:hAnsi="Arial"/>
                <w:sz w:val="18"/>
                <w:szCs w:val="18"/>
                <w:color w:val="auto"/>
              </w:rPr>
              <w:t>$ 27,521,081</w:t>
            </w:r>
          </w:p>
        </w:tc>
        <w:tc>
          <w:tcPr>
            <w:tcW w:w="120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w w:val="87"/>
              </w:rPr>
              <w:t>$ 34,220,010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w w:val="97"/>
              </w:rPr>
              <w:t>81,099,387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line="205" w:lineRule="exact"/>
              <w:rPr>
                <w:sz w:val="20"/>
                <w:szCs w:val="20"/>
                <w:color w:val="auto"/>
              </w:rPr>
            </w:pPr>
            <w:r>
              <w:rPr>
                <w:rFonts w:ascii="Arial" w:cs="Arial" w:eastAsia="Arial" w:hAnsi="Arial"/>
                <w:sz w:val="18"/>
                <w:szCs w:val="18"/>
                <w:color w:val="auto"/>
                <w:w w:val="95"/>
              </w:rPr>
              <w:t>95,017,178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vMerge w:val="restart"/>
          </w:tcPr>
          <w:p>
            <w:pPr>
              <w:spacing w:after="0"/>
              <w:rPr>
                <w:sz w:val="16"/>
                <w:szCs w:val="16"/>
                <w:color w:val="auto"/>
              </w:rPr>
            </w:pPr>
          </w:p>
        </w:tc>
        <w:tc>
          <w:tcPr>
            <w:tcW w:w="4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6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Net loss and loss adjustment expenses(4):</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Personal lines</w:t>
            </w:r>
          </w:p>
        </w:tc>
        <w:tc>
          <w:tcPr>
            <w:tcW w:w="1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$ 18,657,325</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$ 14,389,168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41,810,950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46,666,275</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Livery physical damage</w:t>
            </w:r>
          </w:p>
        </w:tc>
        <w:tc>
          <w:tcPr>
            <w:tcW w:w="1760" w:type="dxa"/>
            <w:vAlign w:val="bottom"/>
            <w:gridSpan w:val="3"/>
          </w:tcPr>
          <w:p>
            <w:pPr>
              <w:jc w:val="right"/>
              <w:ind w:right="260"/>
              <w:spacing w:after="0"/>
              <w:rPr>
                <w:sz w:val="20"/>
                <w:szCs w:val="20"/>
                <w:color w:val="auto"/>
              </w:rPr>
            </w:pPr>
            <w:r>
              <w:rPr>
                <w:rFonts w:ascii="Arial" w:cs="Arial" w:eastAsia="Arial" w:hAnsi="Arial"/>
                <w:sz w:val="18"/>
                <w:szCs w:val="18"/>
                <w:color w:val="auto"/>
              </w:rPr>
              <w:t>648,520</w:t>
            </w:r>
          </w:p>
        </w:tc>
        <w:tc>
          <w:tcPr>
            <w:tcW w:w="940" w:type="dxa"/>
            <w:vAlign w:val="bottom"/>
          </w:tcPr>
          <w:p>
            <w:pPr>
              <w:jc w:val="right"/>
              <w:spacing w:after="0"/>
              <w:rPr>
                <w:sz w:val="20"/>
                <w:szCs w:val="20"/>
                <w:color w:val="auto"/>
              </w:rPr>
            </w:pPr>
            <w:r>
              <w:rPr>
                <w:rFonts w:ascii="Arial" w:cs="Arial" w:eastAsia="Arial" w:hAnsi="Arial"/>
                <w:sz w:val="18"/>
                <w:szCs w:val="18"/>
                <w:color w:val="auto"/>
              </w:rPr>
              <w:t>1,395,630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1,798,210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3,816,390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1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29,104</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246,811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5,465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573,376</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Unallocated loss adjustment expenses</w:t>
            </w:r>
          </w:p>
        </w:tc>
        <w:tc>
          <w:tcPr>
            <w:tcW w:w="5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827,031</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726,778</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2,839,359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2,072,570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spacing w:after="0"/>
              <w:rPr>
                <w:sz w:val="17"/>
                <w:szCs w:val="17"/>
                <w:color w:val="auto"/>
              </w:rPr>
            </w:pPr>
          </w:p>
        </w:tc>
        <w:tc>
          <w:tcPr>
            <w:tcW w:w="4220" w:type="dxa"/>
            <w:vAlign w:val="bottom"/>
            <w:shd w:val="clear" w:color="auto" w:fill="CCEEFF"/>
          </w:tcPr>
          <w:p>
            <w:pPr>
              <w:ind w:left="160"/>
              <w:spacing w:after="0" w:line="205" w:lineRule="exact"/>
              <w:rPr>
                <w:sz w:val="20"/>
                <w:szCs w:val="20"/>
                <w:color w:val="auto"/>
              </w:rPr>
            </w:pPr>
            <w:r>
              <w:rPr>
                <w:rFonts w:ascii="Arial" w:cs="Arial" w:eastAsia="Arial" w:hAnsi="Arial"/>
                <w:sz w:val="18"/>
                <w:szCs w:val="18"/>
                <w:color w:val="auto"/>
              </w:rPr>
              <w:t>Total without commercial lines</w:t>
            </w:r>
          </w:p>
        </w:tc>
        <w:tc>
          <w:tcPr>
            <w:tcW w:w="5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line="205" w:lineRule="exact"/>
              <w:rPr>
                <w:sz w:val="20"/>
                <w:szCs w:val="20"/>
                <w:color w:val="auto"/>
              </w:rPr>
            </w:pPr>
            <w:r>
              <w:rPr>
                <w:rFonts w:ascii="Arial" w:cs="Arial" w:eastAsia="Arial" w:hAnsi="Arial"/>
                <w:sz w:val="18"/>
                <w:szCs w:val="18"/>
                <w:color w:val="auto"/>
              </w:rPr>
              <w:t>20,161,980</w:t>
            </w:r>
          </w:p>
        </w:tc>
        <w:tc>
          <w:tcPr>
            <w:tcW w:w="1200" w:type="dxa"/>
            <w:vAlign w:val="bottom"/>
            <w:gridSpan w:val="2"/>
            <w:shd w:val="clear" w:color="auto" w:fill="CCEEFF"/>
          </w:tcPr>
          <w:p>
            <w:pPr>
              <w:jc w:val="right"/>
              <w:ind w:right="260"/>
              <w:spacing w:after="0" w:line="205" w:lineRule="exact"/>
              <w:rPr>
                <w:sz w:val="20"/>
                <w:szCs w:val="20"/>
                <w:color w:val="auto"/>
              </w:rPr>
            </w:pPr>
            <w:r>
              <w:rPr>
                <w:rFonts w:ascii="Arial" w:cs="Arial" w:eastAsia="Arial" w:hAnsi="Arial"/>
                <w:sz w:val="18"/>
                <w:szCs w:val="18"/>
                <w:color w:val="auto"/>
              </w:rPr>
              <w:t>16,758,387</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w w:val="97"/>
              </w:rPr>
              <w:t>46,453,984</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5" w:lineRule="exact"/>
              <w:rPr>
                <w:sz w:val="20"/>
                <w:szCs w:val="20"/>
                <w:color w:val="auto"/>
              </w:rPr>
            </w:pPr>
            <w:r>
              <w:rPr>
                <w:rFonts w:ascii="Arial" w:cs="Arial" w:eastAsia="Arial" w:hAnsi="Arial"/>
                <w:sz w:val="18"/>
                <w:szCs w:val="18"/>
                <w:color w:val="auto"/>
                <w:w w:val="95"/>
              </w:rPr>
              <w:t>53,128,611</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Commercial lines (in run-off effective July 2019)(2)</w:t>
            </w:r>
          </w:p>
        </w:tc>
        <w:tc>
          <w:tcPr>
            <w:tcW w:w="5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(44,005)</w:t>
            </w:r>
          </w:p>
        </w:tc>
        <w:tc>
          <w:tcPr>
            <w:tcW w:w="940" w:type="dxa"/>
            <w:vAlign w:val="bottom"/>
          </w:tcPr>
          <w:p>
            <w:pPr>
              <w:jc w:val="right"/>
              <w:spacing w:after="0"/>
              <w:rPr>
                <w:sz w:val="20"/>
                <w:szCs w:val="20"/>
                <w:color w:val="auto"/>
              </w:rPr>
            </w:pPr>
            <w:r>
              <w:rPr>
                <w:rFonts w:ascii="Arial" w:cs="Arial" w:eastAsia="Arial" w:hAnsi="Arial"/>
                <w:sz w:val="18"/>
                <w:szCs w:val="18"/>
                <w:color w:val="auto"/>
              </w:rPr>
              <w:t>8,022,931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2,863,443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18,459,239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60" w:type="dxa"/>
            <w:vAlign w:val="bottom"/>
          </w:tcPr>
          <w:p>
            <w:pPr>
              <w:spacing w:after="0"/>
              <w:rPr>
                <w:sz w:val="19"/>
                <w:szCs w:val="19"/>
                <w:color w:val="auto"/>
              </w:rPr>
            </w:pPr>
          </w:p>
        </w:tc>
        <w:tc>
          <w:tcPr>
            <w:tcW w:w="4220" w:type="dxa"/>
            <w:vAlign w:val="bottom"/>
            <w:shd w:val="clear" w:color="auto" w:fill="CCEEFF"/>
          </w:tcPr>
          <w:p>
            <w:pPr>
              <w:ind w:left="160"/>
              <w:spacing w:after="0" w:line="205" w:lineRule="exact"/>
              <w:rPr>
                <w:sz w:val="20"/>
                <w:szCs w:val="20"/>
                <w:color w:val="auto"/>
              </w:rPr>
            </w:pPr>
            <w:r>
              <w:rPr>
                <w:rFonts w:ascii="Arial" w:cs="Arial" w:eastAsia="Arial" w:hAnsi="Arial"/>
                <w:sz w:val="18"/>
                <w:szCs w:val="18"/>
                <w:color w:val="auto"/>
              </w:rPr>
              <w:t>Total net loss and loss adjustment expenses</w:t>
            </w:r>
          </w:p>
        </w:tc>
        <w:tc>
          <w:tcPr>
            <w:tcW w:w="1760" w:type="dxa"/>
            <w:vAlign w:val="bottom"/>
            <w:gridSpan w:val="3"/>
            <w:shd w:val="clear" w:color="auto" w:fill="CCEEFF"/>
          </w:tcPr>
          <w:p>
            <w:pPr>
              <w:jc w:val="right"/>
              <w:ind w:right="260"/>
              <w:spacing w:after="0" w:line="205" w:lineRule="exact"/>
              <w:rPr>
                <w:sz w:val="20"/>
                <w:szCs w:val="20"/>
                <w:color w:val="auto"/>
              </w:rPr>
            </w:pPr>
            <w:r>
              <w:rPr>
                <w:rFonts w:ascii="Arial" w:cs="Arial" w:eastAsia="Arial" w:hAnsi="Arial"/>
                <w:sz w:val="18"/>
                <w:szCs w:val="18"/>
                <w:color w:val="auto"/>
              </w:rPr>
              <w:t>$ 20,117,975</w:t>
            </w:r>
          </w:p>
        </w:tc>
        <w:tc>
          <w:tcPr>
            <w:tcW w:w="1200" w:type="dxa"/>
            <w:vAlign w:val="bottom"/>
            <w:gridSpan w:val="2"/>
            <w:shd w:val="clear" w:color="auto" w:fill="CCEEFF"/>
          </w:tcPr>
          <w:p>
            <w:pPr>
              <w:jc w:val="right"/>
              <w:ind w:right="260"/>
              <w:spacing w:after="0" w:line="205" w:lineRule="exact"/>
              <w:rPr>
                <w:sz w:val="20"/>
                <w:szCs w:val="20"/>
                <w:color w:val="auto"/>
              </w:rPr>
            </w:pPr>
            <w:r>
              <w:rPr>
                <w:rFonts w:ascii="Arial" w:cs="Arial" w:eastAsia="Arial" w:hAnsi="Arial"/>
                <w:sz w:val="18"/>
                <w:szCs w:val="18"/>
                <w:color w:val="auto"/>
                <w:w w:val="87"/>
              </w:rPr>
              <w:t>$ 24,781,318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w w:val="97"/>
              </w:rPr>
              <w:t>49,317,427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line="205" w:lineRule="exact"/>
              <w:rPr>
                <w:sz w:val="20"/>
                <w:szCs w:val="20"/>
                <w:color w:val="auto"/>
              </w:rPr>
            </w:pPr>
            <w:r>
              <w:rPr>
                <w:rFonts w:ascii="Arial" w:cs="Arial" w:eastAsia="Arial" w:hAnsi="Arial"/>
                <w:sz w:val="18"/>
                <w:szCs w:val="18"/>
                <w:color w:val="auto"/>
                <w:w w:val="95"/>
              </w:rPr>
              <w:t>71,587,850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8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ratio(4):</w:t>
            </w:r>
          </w:p>
        </w:tc>
        <w:tc>
          <w:tcPr>
            <w:tcW w:w="1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Personal lines</w:t>
            </w:r>
          </w:p>
        </w:tc>
        <w:tc>
          <w:tcPr>
            <w:tcW w:w="1680" w:type="dxa"/>
            <w:vAlign w:val="bottom"/>
          </w:tcPr>
          <w:p>
            <w:pPr>
              <w:jc w:val="right"/>
              <w:ind w:right="252"/>
              <w:spacing w:after="0"/>
              <w:rPr>
                <w:sz w:val="20"/>
                <w:szCs w:val="20"/>
                <w:color w:val="auto"/>
              </w:rPr>
            </w:pPr>
            <w:r>
              <w:rPr>
                <w:rFonts w:ascii="Arial" w:cs="Arial" w:eastAsia="Arial" w:hAnsi="Arial"/>
                <w:sz w:val="18"/>
                <w:szCs w:val="18"/>
                <w:color w:val="auto"/>
              </w:rPr>
              <w:t>74.0%</w:t>
            </w:r>
          </w:p>
        </w:tc>
        <w:tc>
          <w:tcPr>
            <w:tcW w:w="1220" w:type="dxa"/>
            <w:vAlign w:val="bottom"/>
          </w:tcPr>
          <w:p>
            <w:pPr>
              <w:jc w:val="right"/>
              <w:ind w:right="272"/>
              <w:spacing w:after="0"/>
              <w:rPr>
                <w:sz w:val="20"/>
                <w:szCs w:val="20"/>
                <w:color w:val="auto"/>
              </w:rPr>
            </w:pPr>
            <w:r>
              <w:rPr>
                <w:rFonts w:ascii="Arial" w:cs="Arial" w:eastAsia="Arial" w:hAnsi="Arial"/>
                <w:sz w:val="18"/>
                <w:szCs w:val="18"/>
                <w:color w:val="auto"/>
              </w:rPr>
              <w:t>52.3%</w:t>
            </w:r>
          </w:p>
        </w:tc>
        <w:tc>
          <w:tcPr>
            <w:tcW w:w="1220" w:type="dxa"/>
            <w:vAlign w:val="bottom"/>
          </w:tcPr>
          <w:p>
            <w:pPr>
              <w:jc w:val="right"/>
              <w:ind w:right="252"/>
              <w:spacing w:after="0"/>
              <w:rPr>
                <w:sz w:val="20"/>
                <w:szCs w:val="20"/>
                <w:color w:val="auto"/>
              </w:rPr>
            </w:pPr>
            <w:r>
              <w:rPr>
                <w:rFonts w:ascii="Arial" w:cs="Arial" w:eastAsia="Arial" w:hAnsi="Arial"/>
                <w:sz w:val="18"/>
                <w:szCs w:val="18"/>
                <w:color w:val="auto"/>
              </w:rPr>
              <w:t>58.5%</w:t>
            </w:r>
          </w:p>
        </w:tc>
        <w:tc>
          <w:tcPr>
            <w:tcW w:w="90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Livery physical damage</w:t>
            </w:r>
          </w:p>
        </w:tc>
        <w:tc>
          <w:tcPr>
            <w:tcW w:w="16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32.2%</w:t>
            </w:r>
          </w:p>
        </w:tc>
        <w:tc>
          <w:tcPr>
            <w:tcW w:w="12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51.5%</w:t>
            </w:r>
          </w:p>
        </w:tc>
        <w:tc>
          <w:tcPr>
            <w:tcW w:w="12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26.4%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Other(1)</w:t>
            </w:r>
          </w:p>
        </w:tc>
        <w:tc>
          <w:tcPr>
            <w:tcW w:w="1680" w:type="dxa"/>
            <w:vAlign w:val="bottom"/>
          </w:tcPr>
          <w:p>
            <w:pPr>
              <w:jc w:val="right"/>
              <w:ind w:right="252"/>
              <w:spacing w:after="0"/>
              <w:rPr>
                <w:sz w:val="20"/>
                <w:szCs w:val="20"/>
                <w:color w:val="auto"/>
              </w:rPr>
            </w:pPr>
            <w:r>
              <w:rPr>
                <w:rFonts w:ascii="Arial" w:cs="Arial" w:eastAsia="Arial" w:hAnsi="Arial"/>
                <w:sz w:val="18"/>
                <w:szCs w:val="18"/>
                <w:color w:val="auto"/>
              </w:rPr>
              <w:t>58.3%</w:t>
            </w:r>
          </w:p>
        </w:tc>
        <w:tc>
          <w:tcPr>
            <w:tcW w:w="1220" w:type="dxa"/>
            <w:vAlign w:val="bottom"/>
          </w:tcPr>
          <w:p>
            <w:pPr>
              <w:jc w:val="right"/>
              <w:ind w:right="272"/>
              <w:spacing w:after="0"/>
              <w:rPr>
                <w:sz w:val="20"/>
                <w:szCs w:val="20"/>
                <w:color w:val="auto"/>
              </w:rPr>
            </w:pPr>
            <w:r>
              <w:rPr>
                <w:rFonts w:ascii="Arial" w:cs="Arial" w:eastAsia="Arial" w:hAnsi="Arial"/>
                <w:sz w:val="18"/>
                <w:szCs w:val="18"/>
                <w:color w:val="auto"/>
              </w:rPr>
              <w:t>89.6%</w:t>
            </w:r>
          </w:p>
        </w:tc>
        <w:tc>
          <w:tcPr>
            <w:tcW w:w="1220" w:type="dxa"/>
            <w:vAlign w:val="bottom"/>
          </w:tcPr>
          <w:p>
            <w:pPr>
              <w:jc w:val="right"/>
              <w:ind w:right="252"/>
              <w:spacing w:after="0"/>
              <w:rPr>
                <w:sz w:val="20"/>
                <w:szCs w:val="20"/>
                <w:color w:val="auto"/>
              </w:rPr>
            </w:pPr>
            <w:r>
              <w:rPr>
                <w:rFonts w:ascii="Arial" w:cs="Arial" w:eastAsia="Arial" w:hAnsi="Arial"/>
                <w:sz w:val="18"/>
                <w:szCs w:val="18"/>
                <w:color w:val="auto"/>
              </w:rPr>
              <w:t>3.7%</w:t>
            </w:r>
          </w:p>
        </w:tc>
        <w:tc>
          <w:tcPr>
            <w:tcW w:w="900" w:type="dxa"/>
            <w:vAlign w:val="bottom"/>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without commercial lines</w:t>
            </w:r>
          </w:p>
        </w:tc>
        <w:tc>
          <w:tcPr>
            <w:tcW w:w="16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73.9%</w:t>
            </w:r>
          </w:p>
        </w:tc>
        <w:tc>
          <w:tcPr>
            <w:tcW w:w="12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55.0%</w:t>
            </w:r>
          </w:p>
        </w:tc>
        <w:tc>
          <w:tcPr>
            <w:tcW w:w="12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59.3%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Commercial lines (in run-off effective July 2019)(2)</w:t>
            </w:r>
          </w:p>
        </w:tc>
        <w:tc>
          <w:tcPr>
            <w:tcW w:w="16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-18.7%</w:t>
            </w:r>
          </w:p>
        </w:tc>
        <w:tc>
          <w:tcPr>
            <w:tcW w:w="12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214.2%</w:t>
            </w:r>
          </w:p>
        </w:tc>
        <w:tc>
          <w:tcPr>
            <w:tcW w:w="12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105.6%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Total</w:t>
            </w:r>
          </w:p>
        </w:tc>
        <w:tc>
          <w:tcPr>
            <w:tcW w:w="1680" w:type="dxa"/>
            <w:vAlign w:val="bottom"/>
          </w:tcPr>
          <w:p>
            <w:pPr>
              <w:jc w:val="right"/>
              <w:ind w:right="252"/>
              <w:spacing w:after="0"/>
              <w:rPr>
                <w:sz w:val="20"/>
                <w:szCs w:val="20"/>
                <w:color w:val="auto"/>
              </w:rPr>
            </w:pPr>
            <w:r>
              <w:rPr>
                <w:rFonts w:ascii="Arial" w:cs="Arial" w:eastAsia="Arial" w:hAnsi="Arial"/>
                <w:sz w:val="18"/>
                <w:szCs w:val="18"/>
                <w:color w:val="auto"/>
              </w:rPr>
              <w:t>73.1%</w:t>
            </w:r>
          </w:p>
        </w:tc>
        <w:tc>
          <w:tcPr>
            <w:tcW w:w="1220" w:type="dxa"/>
            <w:vAlign w:val="bottom"/>
          </w:tcPr>
          <w:p>
            <w:pPr>
              <w:jc w:val="right"/>
              <w:ind w:right="272"/>
              <w:spacing w:after="0"/>
              <w:rPr>
                <w:sz w:val="20"/>
                <w:szCs w:val="20"/>
                <w:color w:val="auto"/>
              </w:rPr>
            </w:pPr>
            <w:r>
              <w:rPr>
                <w:rFonts w:ascii="Arial" w:cs="Arial" w:eastAsia="Arial" w:hAnsi="Arial"/>
                <w:sz w:val="18"/>
                <w:szCs w:val="18"/>
                <w:color w:val="auto"/>
              </w:rPr>
              <w:t>72.4%</w:t>
            </w:r>
          </w:p>
        </w:tc>
        <w:tc>
          <w:tcPr>
            <w:tcW w:w="1220" w:type="dxa"/>
            <w:vAlign w:val="bottom"/>
          </w:tcPr>
          <w:p>
            <w:pPr>
              <w:jc w:val="right"/>
              <w:ind w:right="252"/>
              <w:spacing w:after="0"/>
              <w:rPr>
                <w:sz w:val="20"/>
                <w:szCs w:val="20"/>
                <w:color w:val="auto"/>
              </w:rPr>
            </w:pPr>
            <w:r>
              <w:rPr>
                <w:rFonts w:ascii="Arial" w:cs="Arial" w:eastAsia="Arial" w:hAnsi="Arial"/>
                <w:sz w:val="18"/>
                <w:szCs w:val="18"/>
                <w:color w:val="auto"/>
              </w:rPr>
              <w:t>60.8%</w:t>
            </w:r>
          </w:p>
        </w:tc>
        <w:tc>
          <w:tcPr>
            <w:tcW w:w="900" w:type="dxa"/>
            <w:vAlign w:val="bottom"/>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right="20" w:hanging="454"/>
        <w:spacing w:after="0" w:line="25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includes, among other things, premiums and loss and loss adjustment expenses from our participation in a mandatory state joint underwriting association and loss and loss adjustment expenses from commercial auto.</w:t>
      </w:r>
    </w:p>
    <w:p>
      <w:pPr>
        <w:spacing w:after="0" w:line="1" w:lineRule="exact"/>
        <w:rPr>
          <w:rFonts w:ascii="Arial" w:cs="Arial" w:eastAsia="Arial" w:hAnsi="Arial"/>
          <w:sz w:val="18"/>
          <w:szCs w:val="18"/>
          <w:color w:val="auto"/>
        </w:rPr>
      </w:pPr>
    </w:p>
    <w:p>
      <w:pPr>
        <w:ind w:left="460" w:hanging="454"/>
        <w:spacing w:after="0" w:line="24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July 2019, we decided that we will no longer underwrite Commercial Liability risks. See discussions above regarding the discontinuation of this line of business.</w:t>
      </w:r>
    </w:p>
    <w:p>
      <w:pPr>
        <w:spacing w:after="0" w:line="1" w:lineRule="exact"/>
        <w:rPr>
          <w:rFonts w:ascii="Arial" w:cs="Arial" w:eastAsia="Arial" w:hAnsi="Arial"/>
          <w:sz w:val="18"/>
          <w:szCs w:val="18"/>
          <w:color w:val="auto"/>
        </w:rPr>
      </w:pPr>
    </w:p>
    <w:p>
      <w:pPr>
        <w:ind w:left="460" w:hanging="454"/>
        <w:spacing w:after="0" w:line="24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discussion above with regard to “Net Written Premiums and Net Premiums Earned”, as to changes in quota share ceding rates, effective July 1, 2019 and 2018.</w:t>
      </w:r>
    </w:p>
    <w:p>
      <w:pPr>
        <w:spacing w:after="0" w:line="1" w:lineRule="exact"/>
        <w:rPr>
          <w:rFonts w:ascii="Arial" w:cs="Arial" w:eastAsia="Arial" w:hAnsi="Arial"/>
          <w:sz w:val="18"/>
          <w:szCs w:val="18"/>
          <w:color w:val="auto"/>
        </w:rPr>
      </w:pPr>
    </w:p>
    <w:p>
      <w:pPr>
        <w:ind w:left="460" w:hanging="454"/>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See discussion above with regard to “Net Loss and LAE”, as to catastrophe losses in the nine months ended September 30, 2020 and 2019.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Underwriting Business on a Standalone Basis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insurance underwriting business reported on a standalone basis for the periods indicated is as follows:</w:t>
      </w:r>
    </w:p>
    <w:p>
      <w:pPr>
        <w:spacing w:after="0" w:line="210" w:lineRule="exact"/>
        <w:rPr>
          <w:sz w:val="20"/>
          <w:szCs w:val="20"/>
          <w:color w:val="auto"/>
        </w:rPr>
      </w:pPr>
    </w:p>
    <w:tbl>
      <w:tblPr>
        <w:tblLayout w:type="fixed"/>
        <w:tblInd w:w="5660" w:type="dxa"/>
        <w:tblCellMar>
          <w:top w:w="0" w:type="dxa"/>
          <w:left w:w="0" w:type="dxa"/>
          <w:bottom w:w="0" w:type="dxa"/>
          <w:right w:w="0" w:type="dxa"/>
        </w:tblCellMar>
      </w:tblPr>
      <w:tr>
        <w:trPr>
          <w:trHeight w:val="211"/>
        </w:trPr>
        <w:tc>
          <w:tcPr>
            <w:tcW w:w="2140" w:type="dxa"/>
            <w:vAlign w:val="bottom"/>
            <w:gridSpan w:val="3"/>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Nine months ended</w:t>
            </w:r>
          </w:p>
        </w:tc>
      </w:tr>
      <w:tr>
        <w:trPr>
          <w:trHeight w:val="229"/>
        </w:trPr>
        <w:tc>
          <w:tcPr>
            <w:tcW w:w="214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9"/>
                <w:szCs w:val="19"/>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6"/>
              </w:rPr>
              <w:t>September 30,</w:t>
            </w:r>
          </w:p>
        </w:tc>
      </w:tr>
      <w:tr>
        <w:trPr>
          <w:trHeight w:val="205"/>
        </w:trPr>
        <w:tc>
          <w:tcPr>
            <w:tcW w:w="940" w:type="dxa"/>
            <w:vAlign w:val="bottom"/>
            <w:tcBorders>
              <w:bottom w:val="single" w:sz="8" w:color="auto"/>
            </w:tcBorders>
          </w:tcPr>
          <w:p>
            <w:pPr>
              <w:ind w:left="300"/>
              <w:spacing w:after="0" w:line="206" w:lineRule="exact"/>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7"/>
                <w:szCs w:val="17"/>
                <w:color w:val="auto"/>
              </w:rPr>
            </w:pPr>
          </w:p>
        </w:tc>
        <w:tc>
          <w:tcPr>
            <w:tcW w:w="940" w:type="dxa"/>
            <w:vAlign w:val="bottom"/>
            <w:tcBorders>
              <w:bottom w:val="single" w:sz="8" w:color="auto"/>
            </w:tcBorders>
          </w:tcPr>
          <w:p>
            <w:pPr>
              <w:jc w:val="right"/>
              <w:ind w:right="192"/>
              <w:spacing w:after="0" w:line="206" w:lineRule="exact"/>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7"/>
                <w:szCs w:val="17"/>
                <w:color w:val="auto"/>
              </w:rPr>
            </w:pPr>
          </w:p>
        </w:tc>
        <w:tc>
          <w:tcPr>
            <w:tcW w:w="960" w:type="dxa"/>
            <w:vAlign w:val="bottom"/>
            <w:tcBorders>
              <w:bottom w:val="single" w:sz="8" w:color="auto"/>
            </w:tcBorders>
          </w:tcPr>
          <w:p>
            <w:pPr>
              <w:jc w:val="right"/>
              <w:ind w:right="212"/>
              <w:spacing w:after="0" w:line="206" w:lineRule="exact"/>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7"/>
                <w:szCs w:val="17"/>
                <w:color w:val="auto"/>
              </w:rPr>
            </w:pPr>
          </w:p>
        </w:tc>
        <w:tc>
          <w:tcPr>
            <w:tcW w:w="980" w:type="dxa"/>
            <w:vAlign w:val="bottom"/>
            <w:tcBorders>
              <w:bottom w:val="single" w:sz="8" w:color="auto"/>
            </w:tcBorders>
          </w:tcPr>
          <w:p>
            <w:pPr>
              <w:jc w:val="right"/>
              <w:ind w:right="232"/>
              <w:spacing w:after="0" w:line="206" w:lineRule="exact"/>
              <w:rPr>
                <w:sz w:val="20"/>
                <w:szCs w:val="20"/>
                <w:color w:val="auto"/>
              </w:rPr>
            </w:pPr>
            <w:r>
              <w:rPr>
                <w:rFonts w:ascii="Arial" w:cs="Arial" w:eastAsia="Arial" w:hAnsi="Arial"/>
                <w:sz w:val="18"/>
                <w:szCs w:val="18"/>
                <w:b w:val="1"/>
                <w:bCs w:val="1"/>
                <w:color w:val="auto"/>
              </w:rPr>
              <w:t>2019</w:t>
            </w:r>
          </w:p>
        </w:tc>
      </w:tr>
    </w:tbl>
    <w:p>
      <w:pPr>
        <w:sectPr>
          <w:pgSz w:w="11900" w:h="16838" w:orient="portrait"/>
          <w:cols w:equalWidth="0" w:num="1">
            <w:col w:w="11240"/>
          </w:cols>
          <w:pgMar w:left="320" w:top="338" w:right="3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00" w:type="dxa"/>
            <w:vAlign w:val="bottom"/>
            <w:gridSpan w:val="2"/>
          </w:tcPr>
          <w:p>
            <w:pPr>
              <w:ind w:left="860"/>
              <w:spacing w:after="0"/>
              <w:rPr>
                <w:sz w:val="20"/>
                <w:szCs w:val="20"/>
                <w:color w:val="auto"/>
              </w:rPr>
            </w:pPr>
            <w:r>
              <w:rPr>
                <w:rFonts w:ascii="Arial" w:cs="Arial" w:eastAsia="Arial" w:hAnsi="Arial"/>
                <w:sz w:val="18"/>
                <w:szCs w:val="18"/>
                <w:b w:val="1"/>
                <w:bCs w:val="1"/>
                <w:color w:val="auto"/>
              </w:rPr>
              <w:t>Revenues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premiums earned</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27,521,081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34,220,010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81,099,387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95,017,178</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Ceding commission revenue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3,448,774</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1,029,582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10,760,087</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2,982,960</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1,494,086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1,832,523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4,771,316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5,129,947</w:t>
            </w: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Net gains (losses) on investments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2,073,245</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995,040</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(1,580,398)</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3,652,189</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248,824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340,505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754,943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992,097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spacing w:after="0"/>
              <w:rPr>
                <w:sz w:val="17"/>
                <w:szCs w:val="17"/>
                <w:color w:val="auto"/>
              </w:rPr>
            </w:pPr>
          </w:p>
        </w:tc>
        <w:tc>
          <w:tcPr>
            <w:tcW w:w="4140" w:type="dxa"/>
            <w:vAlign w:val="bottom"/>
          </w:tcPr>
          <w:p>
            <w:pPr>
              <w:ind w:left="340"/>
              <w:spacing w:after="0" w:line="205" w:lineRule="exact"/>
              <w:rPr>
                <w:sz w:val="20"/>
                <w:szCs w:val="20"/>
                <w:color w:val="auto"/>
              </w:rPr>
            </w:pPr>
            <w:r>
              <w:rPr>
                <w:rFonts w:ascii="Arial" w:cs="Arial" w:eastAsia="Arial" w:hAnsi="Arial"/>
                <w:sz w:val="18"/>
                <w:szCs w:val="18"/>
                <w:color w:val="auto"/>
              </w:rPr>
              <w:t>Total revenues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w w:val="88"/>
              </w:rPr>
              <w:t>34,786,010</w:t>
            </w:r>
          </w:p>
        </w:tc>
        <w:tc>
          <w:tcPr>
            <w:tcW w:w="120" w:type="dxa"/>
            <w:vAlign w:val="bottom"/>
          </w:tcPr>
          <w:p>
            <w:pPr>
              <w:spacing w:after="0"/>
              <w:rPr>
                <w:sz w:val="17"/>
                <w:szCs w:val="17"/>
                <w:color w:val="auto"/>
              </w:rPr>
            </w:pPr>
          </w:p>
        </w:tc>
        <w:tc>
          <w:tcPr>
            <w:tcW w:w="108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w w:val="88"/>
              </w:rPr>
              <w:t>38,417,660</w:t>
            </w:r>
          </w:p>
        </w:tc>
        <w:tc>
          <w:tcPr>
            <w:tcW w:w="100" w:type="dxa"/>
            <w:vAlign w:val="bottom"/>
          </w:tcPr>
          <w:p>
            <w:pPr>
              <w:spacing w:after="0"/>
              <w:rPr>
                <w:sz w:val="17"/>
                <w:szCs w:val="17"/>
                <w:color w:val="auto"/>
              </w:rPr>
            </w:pPr>
          </w:p>
        </w:tc>
        <w:tc>
          <w:tcPr>
            <w:tcW w:w="110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w w:val="93"/>
              </w:rPr>
              <w:t>95,805,335</w:t>
            </w:r>
          </w:p>
        </w:tc>
        <w:tc>
          <w:tcPr>
            <w:tcW w:w="100" w:type="dxa"/>
            <w:vAlign w:val="bottom"/>
          </w:tcPr>
          <w:p>
            <w:pPr>
              <w:spacing w:after="0"/>
              <w:rPr>
                <w:sz w:val="17"/>
                <w:szCs w:val="17"/>
                <w:color w:val="auto"/>
              </w:rPr>
            </w:pPr>
          </w:p>
        </w:tc>
        <w:tc>
          <w:tcPr>
            <w:tcW w:w="880" w:type="dxa"/>
            <w:vAlign w:val="bottom"/>
          </w:tcPr>
          <w:p>
            <w:pPr>
              <w:jc w:val="right"/>
              <w:spacing w:after="0" w:line="205" w:lineRule="exact"/>
              <w:rPr>
                <w:sz w:val="20"/>
                <w:szCs w:val="20"/>
                <w:color w:val="auto"/>
              </w:rPr>
            </w:pPr>
            <w:r>
              <w:rPr>
                <w:rFonts w:ascii="Arial" w:cs="Arial" w:eastAsia="Arial" w:hAnsi="Arial"/>
                <w:sz w:val="18"/>
                <w:szCs w:val="18"/>
                <w:color w:val="auto"/>
                <w:w w:val="85"/>
              </w:rPr>
              <w:t>107,774,371</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vMerge w:val="restart"/>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6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and loss adjustment expenses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20,117,975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24,781,318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49,317,427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71,587,850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Commission expense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8,036,298</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7,745,174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23,652,765</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21,866,420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underwriting expenses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6,346,846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6,430,734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19,434,110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17,983,174</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676,989</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622,222</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1,970,859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1,804,265</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spacing w:after="0"/>
              <w:rPr>
                <w:sz w:val="17"/>
                <w:szCs w:val="17"/>
                <w:color w:val="auto"/>
              </w:rPr>
            </w:pPr>
          </w:p>
        </w:tc>
        <w:tc>
          <w:tcPr>
            <w:tcW w:w="414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expenses</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5" w:lineRule="exact"/>
              <w:rPr>
                <w:sz w:val="20"/>
                <w:szCs w:val="20"/>
                <w:color w:val="auto"/>
              </w:rPr>
            </w:pPr>
            <w:r>
              <w:rPr>
                <w:rFonts w:ascii="Arial" w:cs="Arial" w:eastAsia="Arial" w:hAnsi="Arial"/>
                <w:sz w:val="18"/>
                <w:szCs w:val="18"/>
                <w:color w:val="auto"/>
                <w:w w:val="88"/>
              </w:rPr>
              <w:t>35,178,108</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5" w:lineRule="exact"/>
              <w:rPr>
                <w:sz w:val="20"/>
                <w:szCs w:val="20"/>
                <w:color w:val="auto"/>
              </w:rPr>
            </w:pPr>
            <w:r>
              <w:rPr>
                <w:rFonts w:ascii="Arial" w:cs="Arial" w:eastAsia="Arial" w:hAnsi="Arial"/>
                <w:sz w:val="18"/>
                <w:szCs w:val="18"/>
                <w:color w:val="auto"/>
                <w:w w:val="88"/>
              </w:rPr>
              <w:t>39,579,448</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w w:val="93"/>
              </w:rPr>
              <w:t>94,375,161</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5" w:lineRule="exact"/>
              <w:rPr>
                <w:sz w:val="20"/>
                <w:szCs w:val="20"/>
                <w:color w:val="auto"/>
              </w:rPr>
            </w:pPr>
            <w:r>
              <w:rPr>
                <w:rFonts w:ascii="Arial" w:cs="Arial" w:eastAsia="Arial" w:hAnsi="Arial"/>
                <w:sz w:val="18"/>
                <w:szCs w:val="18"/>
                <w:color w:val="auto"/>
                <w:w w:val="85"/>
              </w:rPr>
              <w:t>113,241,709</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414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income from operations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(392,098)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(1,161,788)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1,430,174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(5,467,338)</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Income tax benefit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(203,922)</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(293,183)</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(24,888)</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(1,251,113)</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60" w:type="dxa"/>
            <w:vAlign w:val="bottom"/>
            <w:vMerge w:val="continue"/>
          </w:tcPr>
          <w:p>
            <w:pPr>
              <w:spacing w:after="0"/>
              <w:rPr>
                <w:sz w:val="21"/>
                <w:szCs w:val="21"/>
                <w:color w:val="auto"/>
              </w:rPr>
            </w:pPr>
          </w:p>
        </w:tc>
        <w:tc>
          <w:tcPr>
            <w:tcW w:w="414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Net (loss) income</w:t>
            </w:r>
          </w:p>
        </w:tc>
        <w:tc>
          <w:tcPr>
            <w:tcW w:w="78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(188,176)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(868,605)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1,455,062</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w w:val="99"/>
              </w:rPr>
              <w:t>(4,216,225)</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16"/>
                <w:szCs w:val="16"/>
                <w:color w:val="auto"/>
              </w:rPr>
            </w:pPr>
          </w:p>
        </w:tc>
        <w:tc>
          <w:tcPr>
            <w:tcW w:w="414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6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Key Measures: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Net loss ratio</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75.3%</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underwriting expense ratio</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spacing w:after="0"/>
              <w:rPr>
                <w:sz w:val="17"/>
                <w:szCs w:val="17"/>
                <w:color w:val="auto"/>
              </w:rPr>
            </w:pPr>
          </w:p>
        </w:tc>
        <w:tc>
          <w:tcPr>
            <w:tcW w:w="4140" w:type="dxa"/>
            <w:vAlign w:val="bottom"/>
          </w:tcPr>
          <w:p>
            <w:pPr>
              <w:ind w:left="160"/>
              <w:spacing w:after="0" w:line="205" w:lineRule="exact"/>
              <w:rPr>
                <w:sz w:val="20"/>
                <w:szCs w:val="20"/>
                <w:color w:val="auto"/>
              </w:rPr>
            </w:pPr>
            <w:r>
              <w:rPr>
                <w:rFonts w:ascii="Arial" w:cs="Arial" w:eastAsia="Arial" w:hAnsi="Arial"/>
                <w:sz w:val="18"/>
                <w:szCs w:val="18"/>
                <w:color w:val="auto"/>
              </w:rPr>
              <w:t>Net combined ratio</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111.9%</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109.8%</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99.7%</w:t>
            </w:r>
          </w:p>
        </w:tc>
        <w:tc>
          <w:tcPr>
            <w:tcW w:w="100" w:type="dxa"/>
            <w:vAlign w:val="bottom"/>
          </w:tcPr>
          <w:p>
            <w:pPr>
              <w:spacing w:after="0"/>
              <w:rPr>
                <w:sz w:val="17"/>
                <w:szCs w:val="17"/>
                <w:color w:val="auto"/>
              </w:rPr>
            </w:pPr>
          </w:p>
        </w:tc>
        <w:tc>
          <w:tcPr>
            <w:tcW w:w="104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auto"/>
              </w:rPr>
              <w:t>113.1%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tcPr>
          <w:p>
            <w:pPr>
              <w:spacing w:after="0"/>
              <w:rPr>
                <w:sz w:val="16"/>
                <w:szCs w:val="16"/>
                <w:color w:val="auto"/>
              </w:rPr>
            </w:pPr>
          </w:p>
        </w:tc>
        <w:tc>
          <w:tcPr>
            <w:tcW w:w="4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Reconciliation of net underwriting expense ratio:</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costs and other</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underwriting expenses</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14,383,144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14,175,908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43,086,875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39,849,594</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Less: Ceding commission revenue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(3,448,774)</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(1,029,582)</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(10,760,087)</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(2,982,960)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Other income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(248,824)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(340,505)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(754,943)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(992,097)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spacing w:after="0"/>
              <w:rPr>
                <w:sz w:val="17"/>
                <w:szCs w:val="17"/>
                <w:color w:val="auto"/>
              </w:rPr>
            </w:pPr>
          </w:p>
        </w:tc>
        <w:tc>
          <w:tcPr>
            <w:tcW w:w="4140" w:type="dxa"/>
            <w:vAlign w:val="bottom"/>
          </w:tcPr>
          <w:p>
            <w:pPr>
              <w:ind w:left="160"/>
              <w:spacing w:after="0" w:line="205" w:lineRule="exact"/>
              <w:rPr>
                <w:sz w:val="20"/>
                <w:szCs w:val="20"/>
                <w:color w:val="auto"/>
              </w:rPr>
            </w:pPr>
            <w:r>
              <w:rPr>
                <w:rFonts w:ascii="Arial" w:cs="Arial" w:eastAsia="Arial" w:hAnsi="Arial"/>
                <w:sz w:val="18"/>
                <w:szCs w:val="18"/>
                <w:color w:val="auto"/>
              </w:rPr>
              <w:t>Net underwriting expenses</w:t>
            </w:r>
          </w:p>
        </w:tc>
        <w:tc>
          <w:tcPr>
            <w:tcW w:w="78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w w:val="88"/>
              </w:rPr>
              <w:t>10,685,546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w w:val="88"/>
              </w:rPr>
              <w:t>12,805,821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w w:val="93"/>
              </w:rPr>
              <w:t>31,571,845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line="205" w:lineRule="exact"/>
              <w:rPr>
                <w:sz w:val="20"/>
                <w:szCs w:val="20"/>
                <w:color w:val="auto"/>
              </w:rPr>
            </w:pPr>
            <w:r>
              <w:rPr>
                <w:rFonts w:ascii="Arial" w:cs="Arial" w:eastAsia="Arial" w:hAnsi="Arial"/>
                <w:sz w:val="18"/>
                <w:szCs w:val="18"/>
                <w:color w:val="auto"/>
                <w:w w:val="95"/>
              </w:rPr>
              <w:t>35,874,537</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tcPr>
          <w:p>
            <w:pPr>
              <w:spacing w:after="0"/>
              <w:rPr>
                <w:sz w:val="16"/>
                <w:szCs w:val="16"/>
                <w:color w:val="auto"/>
              </w:rPr>
            </w:pPr>
          </w:p>
        </w:tc>
        <w:tc>
          <w:tcPr>
            <w:tcW w:w="4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Net premiums earned</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27,521,081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34,220,010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81,099,387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95,017,178</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60" w:type="dxa"/>
            <w:vAlign w:val="bottom"/>
          </w:tcPr>
          <w:p>
            <w:pPr>
              <w:spacing w:after="0"/>
              <w:rPr>
                <w:sz w:val="16"/>
                <w:szCs w:val="16"/>
                <w:color w:val="auto"/>
              </w:rPr>
            </w:pPr>
          </w:p>
        </w:tc>
        <w:tc>
          <w:tcPr>
            <w:tcW w:w="4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Net Underwriting Expense Ratio</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8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61</w:t>
            </w: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 analysis of our direct, assumed and ceded earned premiums, loss and loss adjustment expenses, and loss ratios is shown below:</w:t>
      </w:r>
    </w:p>
    <w:p>
      <w:pPr>
        <w:spacing w:after="0" w:line="210" w:lineRule="exact"/>
        <w:rPr>
          <w:sz w:val="20"/>
          <w:szCs w:val="20"/>
          <w:color w:val="auto"/>
        </w:rPr>
      </w:pPr>
    </w:p>
    <w:tbl>
      <w:tblPr>
        <w:tblLayout w:type="fixed"/>
        <w:tblInd w:w="8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Direct</w:t>
            </w:r>
          </w:p>
        </w:tc>
        <w:tc>
          <w:tcPr>
            <w:tcW w:w="12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6"/>
              </w:rPr>
              <w:t>Assumed</w:t>
            </w:r>
          </w:p>
        </w:tc>
        <w:tc>
          <w:tcPr>
            <w:tcW w:w="10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Ceded</w:t>
            </w:r>
          </w:p>
        </w:tc>
        <w:tc>
          <w:tcPr>
            <w:tcW w:w="10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416"/>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Nine months ended September 30, 2020</w:t>
            </w: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Written premiums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125,089,571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(43,813,468)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81,276,103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Change in unearned premiums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2,215,602</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(2,392,318)</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(176,716)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660" w:type="dxa"/>
            <w:vAlign w:val="bottom"/>
            <w:shd w:val="clear" w:color="auto" w:fill="CCEEFF"/>
          </w:tcPr>
          <w:p>
            <w:pPr>
              <w:ind w:left="120"/>
              <w:spacing w:after="0" w:line="205" w:lineRule="exact"/>
              <w:rPr>
                <w:sz w:val="20"/>
                <w:szCs w:val="20"/>
                <w:color w:val="auto"/>
              </w:rPr>
            </w:pPr>
            <w:r>
              <w:rPr>
                <w:rFonts w:ascii="Arial" w:cs="Arial" w:eastAsia="Arial" w:hAnsi="Arial"/>
                <w:sz w:val="18"/>
                <w:szCs w:val="18"/>
                <w:color w:val="auto"/>
              </w:rPr>
              <w:t>Earned premiums</w:t>
            </w:r>
          </w:p>
        </w:tc>
        <w:tc>
          <w:tcPr>
            <w:tcW w:w="1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u w:val="single" w:color="auto"/>
                <w:color w:val="auto"/>
              </w:rPr>
              <w:t>$</w:t>
            </w:r>
          </w:p>
        </w:tc>
        <w:tc>
          <w:tcPr>
            <w:tcW w:w="1140" w:type="dxa"/>
            <w:vAlign w:val="bottom"/>
            <w:gridSpan w:val="2"/>
            <w:shd w:val="clear" w:color="auto" w:fill="CCEEFF"/>
          </w:tcPr>
          <w:p>
            <w:pPr>
              <w:jc w:val="right"/>
              <w:ind w:right="260"/>
              <w:spacing w:after="0" w:line="205" w:lineRule="exact"/>
              <w:rPr>
                <w:sz w:val="20"/>
                <w:szCs w:val="20"/>
                <w:color w:val="auto"/>
              </w:rPr>
            </w:pPr>
            <w:r>
              <w:rPr>
                <w:rFonts w:ascii="Arial" w:cs="Arial" w:eastAsia="Arial" w:hAnsi="Arial"/>
                <w:sz w:val="18"/>
                <w:szCs w:val="18"/>
                <w:color w:val="auto"/>
                <w:w w:val="85"/>
              </w:rPr>
              <w:t>127,305,173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line="205"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w w:val="86"/>
              </w:rPr>
              <w:t>(46,205,786)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line="205" w:lineRule="exact"/>
              <w:rPr>
                <w:sz w:val="20"/>
                <w:szCs w:val="20"/>
                <w:color w:val="auto"/>
              </w:rPr>
            </w:pPr>
            <w:r>
              <w:rPr>
                <w:rFonts w:ascii="Arial" w:cs="Arial" w:eastAsia="Arial" w:hAnsi="Arial"/>
                <w:sz w:val="18"/>
                <w:szCs w:val="18"/>
                <w:color w:val="auto"/>
                <w:w w:val="95"/>
              </w:rPr>
              <w:t>81,099,387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and loss adjustment expenses exluding</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effect of catastrophes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52,736,775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(13,794,461)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38,942,314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Catastrophe loss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20,407,638</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(10,032,525)</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10,375,113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660" w:type="dxa"/>
            <w:vAlign w:val="bottom"/>
            <w:shd w:val="clear" w:color="auto" w:fill="CCEEFF"/>
          </w:tcPr>
          <w:p>
            <w:pPr>
              <w:ind w:left="120"/>
              <w:spacing w:after="0" w:line="205" w:lineRule="exact"/>
              <w:rPr>
                <w:sz w:val="20"/>
                <w:szCs w:val="20"/>
                <w:color w:val="auto"/>
              </w:rPr>
            </w:pPr>
            <w:r>
              <w:rPr>
                <w:rFonts w:ascii="Arial" w:cs="Arial" w:eastAsia="Arial" w:hAnsi="Arial"/>
                <w:sz w:val="18"/>
                <w:szCs w:val="18"/>
                <w:color w:val="auto"/>
              </w:rPr>
              <w:t>Loss and loss adjustment expenses</w:t>
            </w:r>
          </w:p>
        </w:tc>
        <w:tc>
          <w:tcPr>
            <w:tcW w:w="1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line="205" w:lineRule="exact"/>
              <w:rPr>
                <w:sz w:val="20"/>
                <w:szCs w:val="20"/>
                <w:color w:val="auto"/>
              </w:rPr>
            </w:pPr>
            <w:r>
              <w:rPr>
                <w:rFonts w:ascii="Arial" w:cs="Arial" w:eastAsia="Arial" w:hAnsi="Arial"/>
                <w:sz w:val="18"/>
                <w:szCs w:val="18"/>
                <w:color w:val="auto"/>
                <w:w w:val="95"/>
              </w:rPr>
              <w:t>73,144,413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line="205"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w w:val="86"/>
              </w:rPr>
              <w:t>(23,826,986)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line="205" w:lineRule="exact"/>
              <w:rPr>
                <w:sz w:val="20"/>
                <w:szCs w:val="20"/>
                <w:color w:val="auto"/>
              </w:rPr>
            </w:pPr>
            <w:r>
              <w:rPr>
                <w:rFonts w:ascii="Arial" w:cs="Arial" w:eastAsia="Arial" w:hAnsi="Arial"/>
                <w:sz w:val="18"/>
                <w:szCs w:val="18"/>
                <w:color w:val="auto"/>
                <w:w w:val="95"/>
              </w:rPr>
              <w:t>49,317,427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ratio excluding the effect of catastrophes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Catastrophe loss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660" w:type="dxa"/>
            <w:vAlign w:val="bottom"/>
            <w:shd w:val="clear" w:color="auto" w:fill="CCEEFF"/>
          </w:tcPr>
          <w:p>
            <w:pPr>
              <w:ind w:left="120"/>
              <w:spacing w:after="0" w:line="205" w:lineRule="exact"/>
              <w:rPr>
                <w:sz w:val="20"/>
                <w:szCs w:val="20"/>
                <w:color w:val="auto"/>
              </w:rPr>
            </w:pPr>
            <w:r>
              <w:rPr>
                <w:rFonts w:ascii="Arial" w:cs="Arial" w:eastAsia="Arial" w:hAnsi="Arial"/>
                <w:sz w:val="18"/>
                <w:szCs w:val="18"/>
                <w:color w:val="auto"/>
              </w:rPr>
              <w:t>Loss ratio</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60"/>
              <w:spacing w:after="0" w:line="205" w:lineRule="exact"/>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46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Written premiums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128,333,117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(20,914,074)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107,419,981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unearned premiums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(11,035,993)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(1,366,251)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(12,402,803)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120"/>
              <w:spacing w:after="0" w:line="205" w:lineRule="exact"/>
              <w:rPr>
                <w:sz w:val="20"/>
                <w:szCs w:val="20"/>
                <w:color w:val="auto"/>
              </w:rPr>
            </w:pPr>
            <w:r>
              <w:rPr>
                <w:rFonts w:ascii="Arial" w:cs="Arial" w:eastAsia="Arial" w:hAnsi="Arial"/>
                <w:sz w:val="18"/>
                <w:szCs w:val="18"/>
                <w:color w:val="auto"/>
              </w:rPr>
              <w:t>Earned premiums</w:t>
            </w:r>
          </w:p>
        </w:tc>
        <w:tc>
          <w:tcPr>
            <w:tcW w:w="180" w:type="dxa"/>
            <w:vAlign w:val="bottom"/>
            <w:gridSpan w:val="2"/>
          </w:tcPr>
          <w:p>
            <w:pPr>
              <w:jc w:val="right"/>
              <w:spacing w:after="0" w:line="205" w:lineRule="exact"/>
              <w:rPr>
                <w:sz w:val="20"/>
                <w:szCs w:val="20"/>
                <w:color w:val="auto"/>
              </w:rPr>
            </w:pPr>
            <w:r>
              <w:rPr>
                <w:rFonts w:ascii="Arial" w:cs="Arial" w:eastAsia="Arial" w:hAnsi="Arial"/>
                <w:sz w:val="18"/>
                <w:szCs w:val="18"/>
                <w:u w:val="single" w:color="auto"/>
                <w:color w:val="auto"/>
              </w:rPr>
              <w:t>$</w:t>
            </w:r>
          </w:p>
        </w:tc>
        <w:tc>
          <w:tcPr>
            <w:tcW w:w="114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w w:val="85"/>
              </w:rPr>
              <w:t>117,297,124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rPr>
              <w:t>379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w w:val="86"/>
              </w:rPr>
              <w:t>(22,280,325)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line="205" w:lineRule="exact"/>
              <w:rPr>
                <w:sz w:val="20"/>
                <w:szCs w:val="20"/>
                <w:color w:val="auto"/>
              </w:rPr>
            </w:pPr>
            <w:r>
              <w:rPr>
                <w:rFonts w:ascii="Arial" w:cs="Arial" w:eastAsia="Arial" w:hAnsi="Arial"/>
                <w:sz w:val="18"/>
                <w:szCs w:val="18"/>
                <w:color w:val="auto"/>
                <w:w w:val="95"/>
              </w:rPr>
              <w:t>95,017,178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60" w:type="dxa"/>
            <w:vAlign w:val="bottom"/>
          </w:tcPr>
          <w:p>
            <w:pPr>
              <w:ind w:left="120"/>
              <w:spacing w:after="0" w:line="199" w:lineRule="exact"/>
              <w:rPr>
                <w:sz w:val="20"/>
                <w:szCs w:val="20"/>
                <w:color w:val="auto"/>
              </w:rPr>
            </w:pPr>
            <w:r>
              <w:rPr>
                <w:rFonts w:ascii="Arial" w:cs="Arial" w:eastAsia="Arial" w:hAnsi="Arial"/>
                <w:sz w:val="18"/>
                <w:szCs w:val="18"/>
                <w:color w:val="auto"/>
              </w:rPr>
              <w:t>Loss and loss adjustment expenses exluding</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280"/>
              <w:spacing w:after="0"/>
              <w:rPr>
                <w:sz w:val="20"/>
                <w:szCs w:val="20"/>
                <w:color w:val="auto"/>
              </w:rPr>
            </w:pPr>
            <w:r>
              <w:rPr>
                <w:rFonts w:ascii="Arial" w:cs="Arial" w:eastAsia="Arial" w:hAnsi="Arial"/>
                <w:sz w:val="18"/>
                <w:szCs w:val="18"/>
                <w:color w:val="auto"/>
              </w:rPr>
              <w:t>the effect of catastrophes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72,683,118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(8,041,028)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64,641,173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Catastrophe loss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7,755,089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(808,412)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6,946,677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120"/>
              <w:spacing w:after="0" w:line="205" w:lineRule="exact"/>
              <w:rPr>
                <w:sz w:val="20"/>
                <w:szCs w:val="20"/>
                <w:color w:val="auto"/>
              </w:rPr>
            </w:pPr>
            <w:r>
              <w:rPr>
                <w:rFonts w:ascii="Arial" w:cs="Arial" w:eastAsia="Arial" w:hAnsi="Arial"/>
                <w:sz w:val="18"/>
                <w:szCs w:val="18"/>
                <w:color w:val="auto"/>
              </w:rPr>
              <w:t>Loss and loss adjustment expenses</w:t>
            </w:r>
          </w:p>
        </w:tc>
        <w:tc>
          <w:tcPr>
            <w:tcW w:w="1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w w:val="95"/>
              </w:rPr>
              <w:t>80,438,207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(917)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w w:val="95"/>
              </w:rPr>
              <w:t>(8,849,440)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line="205" w:lineRule="exact"/>
              <w:rPr>
                <w:sz w:val="20"/>
                <w:szCs w:val="20"/>
                <w:color w:val="auto"/>
              </w:rPr>
            </w:pPr>
            <w:r>
              <w:rPr>
                <w:rFonts w:ascii="Arial" w:cs="Arial" w:eastAsia="Arial" w:hAnsi="Arial"/>
                <w:sz w:val="18"/>
                <w:szCs w:val="18"/>
                <w:color w:val="auto"/>
                <w:w w:val="95"/>
              </w:rPr>
              <w:t>71,587,850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Loss ratio excluding the effect of catastrophes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Catastrophe loss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120"/>
              <w:spacing w:after="0" w:line="205" w:lineRule="exact"/>
              <w:rPr>
                <w:sz w:val="20"/>
                <w:szCs w:val="20"/>
                <w:color w:val="auto"/>
              </w:rPr>
            </w:pPr>
            <w:r>
              <w:rPr>
                <w:rFonts w:ascii="Arial" w:cs="Arial" w:eastAsia="Arial" w:hAnsi="Arial"/>
                <w:sz w:val="18"/>
                <w:szCs w:val="18"/>
                <w:color w:val="auto"/>
              </w:rPr>
              <w:t>Loss ratio</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68.6%</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-242.0%</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39.7%</w:t>
            </w:r>
          </w:p>
        </w:tc>
        <w:tc>
          <w:tcPr>
            <w:tcW w:w="100" w:type="dxa"/>
            <w:vAlign w:val="bottom"/>
          </w:tcPr>
          <w:p>
            <w:pPr>
              <w:spacing w:after="0"/>
              <w:rPr>
                <w:sz w:val="17"/>
                <w:szCs w:val="17"/>
                <w:color w:val="auto"/>
              </w:rPr>
            </w:pPr>
          </w:p>
        </w:tc>
        <w:tc>
          <w:tcPr>
            <w:tcW w:w="104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restart"/>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b w:val="1"/>
                <w:bCs w:val="1"/>
                <w:color w:val="auto"/>
              </w:rPr>
              <w:t>Three months ended September 30, 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Written premiums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45,742,165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(15,747,215)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29,994,950</w:t>
            </w:r>
          </w:p>
        </w:tc>
        <w:tc>
          <w:tcPr>
            <w:tcW w:w="0" w:type="dxa"/>
            <w:vAlign w:val="bottom"/>
          </w:tcPr>
          <w:p>
            <w:pPr>
              <w:spacing w:after="0"/>
              <w:rPr>
                <w:sz w:val="1"/>
                <w:szCs w:val="1"/>
                <w:color w:val="auto"/>
              </w:rPr>
            </w:pPr>
          </w:p>
        </w:tc>
      </w:tr>
    </w:tbl>
    <w:p>
      <w:pPr>
        <w:sectPr>
          <w:pgSz w:w="11900" w:h="16838" w:orient="portrait"/>
          <w:cols w:equalWidth="0" w:num="1">
            <w:col w:w="11240"/>
          </w:cols>
          <w:pgMar w:left="320" w:top="332" w:right="339" w:bottom="0" w:gutter="0" w:footer="0" w:header="0"/>
        </w:sectPr>
      </w:pPr>
    </w:p>
    <w:bookmarkStart w:id="39" w:name="page40"/>
    <w:bookmarkEnd w:id="39"/>
    <w:p>
      <w:pPr>
        <w:spacing w:after="0" w:line="62" w:lineRule="exact"/>
        <w:rPr>
          <w:sz w:val="20"/>
          <w:szCs w:val="20"/>
          <w:color w:val="auto"/>
        </w:rPr>
      </w:pPr>
    </w:p>
    <w:tbl>
      <w:tblPr>
        <w:tblLayout w:type="fixed"/>
        <w:tblInd w:w="86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Change in unearned premiums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(3,161,356)</w:t>
            </w:r>
          </w:p>
        </w:tc>
        <w:tc>
          <w:tcPr>
            <w:tcW w:w="2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687,487</w:t>
            </w:r>
          </w:p>
        </w:tc>
        <w:tc>
          <w:tcPr>
            <w:tcW w:w="1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(2,473,869)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4660" w:type="dxa"/>
            <w:vAlign w:val="bottom"/>
            <w:shd w:val="clear" w:color="auto" w:fill="CCEEFF"/>
          </w:tcPr>
          <w:p>
            <w:pPr>
              <w:ind w:left="120"/>
              <w:spacing w:after="0" w:line="205" w:lineRule="exact"/>
              <w:rPr>
                <w:sz w:val="20"/>
                <w:szCs w:val="20"/>
                <w:color w:val="auto"/>
              </w:rPr>
            </w:pPr>
            <w:r>
              <w:rPr>
                <w:rFonts w:ascii="Arial" w:cs="Arial" w:eastAsia="Arial" w:hAnsi="Arial"/>
                <w:sz w:val="18"/>
                <w:szCs w:val="18"/>
                <w:color w:val="auto"/>
              </w:rPr>
              <w:t>Earned premiums</w:t>
            </w:r>
          </w:p>
        </w:tc>
        <w:tc>
          <w:tcPr>
            <w:tcW w:w="22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line="205" w:lineRule="exact"/>
              <w:rPr>
                <w:sz w:val="20"/>
                <w:szCs w:val="20"/>
                <w:color w:val="auto"/>
              </w:rPr>
            </w:pPr>
            <w:r>
              <w:rPr>
                <w:rFonts w:ascii="Arial" w:cs="Arial" w:eastAsia="Arial" w:hAnsi="Arial"/>
                <w:sz w:val="18"/>
                <w:szCs w:val="18"/>
                <w:color w:val="auto"/>
                <w:w w:val="90"/>
              </w:rPr>
              <w:t>42,580,809</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line="205"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w w:val="86"/>
              </w:rPr>
              <w:t>(15,059,728)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line="205" w:lineRule="exact"/>
              <w:rPr>
                <w:sz w:val="20"/>
                <w:szCs w:val="20"/>
                <w:color w:val="auto"/>
              </w:rPr>
            </w:pPr>
            <w:r>
              <w:rPr>
                <w:rFonts w:ascii="Arial" w:cs="Arial" w:eastAsia="Arial" w:hAnsi="Arial"/>
                <w:sz w:val="18"/>
                <w:szCs w:val="18"/>
                <w:color w:val="auto"/>
                <w:w w:val="90"/>
              </w:rPr>
              <w:t>27,521,081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and loss adjustment expenses exluding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effect of catastrophes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15,655,839</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(4,202,861)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11,452,978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Catastrophe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18,069,690</w:t>
            </w:r>
          </w:p>
        </w:tc>
        <w:tc>
          <w:tcPr>
            <w:tcW w:w="2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(9,404,693)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8,664,997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660" w:type="dxa"/>
            <w:vAlign w:val="bottom"/>
            <w:shd w:val="clear" w:color="auto" w:fill="CCEEFF"/>
          </w:tcPr>
          <w:p>
            <w:pPr>
              <w:ind w:left="120"/>
              <w:spacing w:after="0" w:line="205" w:lineRule="exact"/>
              <w:rPr>
                <w:sz w:val="20"/>
                <w:szCs w:val="20"/>
                <w:color w:val="auto"/>
              </w:rPr>
            </w:pPr>
            <w:r>
              <w:rPr>
                <w:rFonts w:ascii="Arial" w:cs="Arial" w:eastAsia="Arial" w:hAnsi="Arial"/>
                <w:sz w:val="18"/>
                <w:szCs w:val="18"/>
                <w:color w:val="auto"/>
              </w:rPr>
              <w:t>Loss and loss adjustment expenses</w:t>
            </w:r>
          </w:p>
        </w:tc>
        <w:tc>
          <w:tcPr>
            <w:tcW w:w="22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line="205" w:lineRule="exact"/>
              <w:rPr>
                <w:sz w:val="20"/>
                <w:szCs w:val="20"/>
                <w:color w:val="auto"/>
              </w:rPr>
            </w:pPr>
            <w:r>
              <w:rPr>
                <w:rFonts w:ascii="Arial" w:cs="Arial" w:eastAsia="Arial" w:hAnsi="Arial"/>
                <w:sz w:val="18"/>
                <w:szCs w:val="18"/>
                <w:color w:val="auto"/>
                <w:w w:val="90"/>
              </w:rPr>
              <w:t>33,725,529</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line="205"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w w:val="86"/>
              </w:rPr>
              <w:t>(13,607,554)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line="205" w:lineRule="exact"/>
              <w:rPr>
                <w:sz w:val="20"/>
                <w:szCs w:val="20"/>
                <w:color w:val="auto"/>
              </w:rPr>
            </w:pPr>
            <w:r>
              <w:rPr>
                <w:rFonts w:ascii="Arial" w:cs="Arial" w:eastAsia="Arial" w:hAnsi="Arial"/>
                <w:sz w:val="18"/>
                <w:szCs w:val="18"/>
                <w:color w:val="auto"/>
                <w:w w:val="90"/>
              </w:rPr>
              <w:t>20,117,975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ratio excluding the effect of catastrophes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Catastrophe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2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660" w:type="dxa"/>
            <w:vAlign w:val="bottom"/>
            <w:shd w:val="clear" w:color="auto" w:fill="CCEEFF"/>
          </w:tcPr>
          <w:p>
            <w:pPr>
              <w:ind w:left="120"/>
              <w:spacing w:after="0" w:line="205" w:lineRule="exact"/>
              <w:rPr>
                <w:sz w:val="20"/>
                <w:szCs w:val="20"/>
                <w:color w:val="auto"/>
              </w:rPr>
            </w:pPr>
            <w:r>
              <w:rPr>
                <w:rFonts w:ascii="Arial" w:cs="Arial" w:eastAsia="Arial" w:hAnsi="Arial"/>
                <w:sz w:val="18"/>
                <w:szCs w:val="18"/>
                <w:color w:val="auto"/>
              </w:rPr>
              <w:t>Loss ratio</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79.2%</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60"/>
              <w:spacing w:after="0" w:line="205" w:lineRule="exact"/>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90.3%</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46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Written premiums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46,023,290</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(5,586,278)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40,437,873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unearned premiums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(4,579,777)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(1,637,325)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(6,217,863)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120"/>
              <w:spacing w:after="0" w:line="205" w:lineRule="exact"/>
              <w:rPr>
                <w:sz w:val="20"/>
                <w:szCs w:val="20"/>
                <w:color w:val="auto"/>
              </w:rPr>
            </w:pPr>
            <w:r>
              <w:rPr>
                <w:rFonts w:ascii="Arial" w:cs="Arial" w:eastAsia="Arial" w:hAnsi="Arial"/>
                <w:sz w:val="18"/>
                <w:szCs w:val="18"/>
                <w:color w:val="auto"/>
              </w:rPr>
              <w:t>Earned premiums</w:t>
            </w:r>
          </w:p>
        </w:tc>
        <w:tc>
          <w:tcPr>
            <w:tcW w:w="22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w w:val="90"/>
              </w:rPr>
              <w:t>41,443,513</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w w:val="95"/>
              </w:rPr>
              <w:t>(7,223,603)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line="205" w:lineRule="exact"/>
              <w:rPr>
                <w:sz w:val="20"/>
                <w:szCs w:val="20"/>
                <w:color w:val="auto"/>
              </w:rPr>
            </w:pPr>
            <w:r>
              <w:rPr>
                <w:rFonts w:ascii="Arial" w:cs="Arial" w:eastAsia="Arial" w:hAnsi="Arial"/>
                <w:sz w:val="18"/>
                <w:szCs w:val="18"/>
                <w:color w:val="auto"/>
                <w:w w:val="90"/>
              </w:rPr>
              <w:t>34,220,010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60" w:type="dxa"/>
            <w:vAlign w:val="bottom"/>
          </w:tcPr>
          <w:p>
            <w:pPr>
              <w:ind w:left="120"/>
              <w:spacing w:after="0" w:line="199" w:lineRule="exact"/>
              <w:rPr>
                <w:sz w:val="20"/>
                <w:szCs w:val="20"/>
                <w:color w:val="auto"/>
              </w:rPr>
            </w:pPr>
            <w:r>
              <w:rPr>
                <w:rFonts w:ascii="Arial" w:cs="Arial" w:eastAsia="Arial" w:hAnsi="Arial"/>
                <w:sz w:val="18"/>
                <w:szCs w:val="18"/>
                <w:color w:val="auto"/>
              </w:rPr>
              <w:t>Loss and loss adjustment expenses exluding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280"/>
              <w:spacing w:after="0"/>
              <w:rPr>
                <w:sz w:val="20"/>
                <w:szCs w:val="20"/>
                <w:color w:val="auto"/>
              </w:rPr>
            </w:pPr>
            <w:r>
              <w:rPr>
                <w:rFonts w:ascii="Arial" w:cs="Arial" w:eastAsia="Arial" w:hAnsi="Arial"/>
                <w:sz w:val="18"/>
                <w:szCs w:val="18"/>
                <w:color w:val="auto"/>
              </w:rPr>
              <w:t>the effect of catastrophes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26,516,544</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1,164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(2,182,511)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24,335,197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Catastrophe loss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491,362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(45,241)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120"/>
              <w:spacing w:after="0" w:line="205" w:lineRule="exact"/>
              <w:rPr>
                <w:sz w:val="20"/>
                <w:szCs w:val="20"/>
                <w:color w:val="auto"/>
              </w:rPr>
            </w:pPr>
            <w:r>
              <w:rPr>
                <w:rFonts w:ascii="Arial" w:cs="Arial" w:eastAsia="Arial" w:hAnsi="Arial"/>
                <w:sz w:val="18"/>
                <w:szCs w:val="18"/>
                <w:color w:val="auto"/>
              </w:rPr>
              <w:t>Loss and loss adjustment expenses</w:t>
            </w:r>
          </w:p>
        </w:tc>
        <w:tc>
          <w:tcPr>
            <w:tcW w:w="22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w w:val="90"/>
              </w:rPr>
              <w:t>27,007,906</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line="205" w:lineRule="exact"/>
              <w:rPr>
                <w:sz w:val="20"/>
                <w:szCs w:val="20"/>
                <w:color w:val="auto"/>
              </w:rPr>
            </w:pPr>
            <w:r>
              <w:rPr>
                <w:rFonts w:ascii="Arial" w:cs="Arial" w:eastAsia="Arial" w:hAnsi="Arial"/>
                <w:sz w:val="18"/>
                <w:szCs w:val="18"/>
                <w:color w:val="auto"/>
              </w:rPr>
              <w:t>1,164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w w:val="95"/>
              </w:rPr>
              <w:t>(2,227,752)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line="205" w:lineRule="exact"/>
              <w:rPr>
                <w:sz w:val="20"/>
                <w:szCs w:val="20"/>
                <w:color w:val="auto"/>
              </w:rPr>
            </w:pPr>
            <w:r>
              <w:rPr>
                <w:rFonts w:ascii="Arial" w:cs="Arial" w:eastAsia="Arial" w:hAnsi="Arial"/>
                <w:sz w:val="18"/>
                <w:szCs w:val="18"/>
                <w:color w:val="auto"/>
                <w:w w:val="90"/>
              </w:rPr>
              <w:t>24,781,318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Loss ratio excluding the effect of catastrophes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1164.0%</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Catastrophe loss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120"/>
              <w:spacing w:after="0" w:line="205" w:lineRule="exact"/>
              <w:rPr>
                <w:sz w:val="20"/>
                <w:szCs w:val="20"/>
                <w:color w:val="auto"/>
              </w:rPr>
            </w:pPr>
            <w:r>
              <w:rPr>
                <w:rFonts w:ascii="Arial" w:cs="Arial" w:eastAsia="Arial" w:hAnsi="Arial"/>
                <w:sz w:val="18"/>
                <w:szCs w:val="18"/>
                <w:color w:val="auto"/>
              </w:rPr>
              <w:t>Loss ratio</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65.2%</w:t>
            </w:r>
          </w:p>
        </w:tc>
        <w:tc>
          <w:tcPr>
            <w:tcW w:w="280" w:type="dxa"/>
            <w:vAlign w:val="bottom"/>
          </w:tcPr>
          <w:p>
            <w:pPr>
              <w:spacing w:after="0"/>
              <w:rPr>
                <w:sz w:val="17"/>
                <w:szCs w:val="17"/>
                <w:color w:val="auto"/>
              </w:rPr>
            </w:pPr>
          </w:p>
        </w:tc>
        <w:tc>
          <w:tcPr>
            <w:tcW w:w="92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1164.0%</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30.8%</w:t>
            </w:r>
          </w:p>
        </w:tc>
        <w:tc>
          <w:tcPr>
            <w:tcW w:w="140" w:type="dxa"/>
            <w:vAlign w:val="bottom"/>
          </w:tcPr>
          <w:p>
            <w:pPr>
              <w:spacing w:after="0"/>
              <w:rPr>
                <w:sz w:val="17"/>
                <w:szCs w:val="17"/>
                <w:color w:val="auto"/>
              </w:rPr>
            </w:pPr>
          </w:p>
        </w:tc>
        <w:tc>
          <w:tcPr>
            <w:tcW w:w="100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3500"/>
        <w:spacing w:after="0"/>
        <w:rPr>
          <w:sz w:val="20"/>
          <w:szCs w:val="20"/>
          <w:color w:val="auto"/>
        </w:rPr>
      </w:pPr>
      <w:r>
        <w:rPr>
          <w:rFonts w:ascii="Arial" w:cs="Arial" w:eastAsia="Arial" w:hAnsi="Arial"/>
          <w:sz w:val="18"/>
          <w:szCs w:val="18"/>
          <w:i w:val="1"/>
          <w:iCs w:val="1"/>
          <w:color w:val="auto"/>
        </w:rPr>
        <w:t>(Percent components may not sum to totals due to rounding)</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key measures for our insurance underwriting business for the periods indicated are as follows:</w:t>
      </w:r>
    </w:p>
    <w:p>
      <w:pPr>
        <w:spacing w:after="0" w:line="210" w:lineRule="exact"/>
        <w:rPr>
          <w:sz w:val="20"/>
          <w:szCs w:val="20"/>
          <w:color w:val="auto"/>
        </w:rPr>
      </w:pPr>
    </w:p>
    <w:tbl>
      <w:tblPr>
        <w:tblLayout w:type="fixed"/>
        <w:tblInd w:w="8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218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5"/>
          </w:tcPr>
          <w:p>
            <w:pPr>
              <w:ind w:left="46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9"/>
                <w:szCs w:val="19"/>
                <w:color w:val="auto"/>
              </w:rPr>
            </w:pPr>
          </w:p>
        </w:tc>
        <w:tc>
          <w:tcPr>
            <w:tcW w:w="218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ind w:left="200"/>
              <w:spacing w:after="0" w:line="206" w:lineRule="exact"/>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92"/>
              <w:spacing w:after="0" w:line="206" w:lineRule="exact"/>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92"/>
              <w:spacing w:after="0" w:line="206" w:lineRule="exact"/>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92"/>
              <w:spacing w:after="0" w:line="206" w:lineRule="exact"/>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27,521,081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34,220,010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81,099,387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$ 95,017,178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Ceding commission revenue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3,448,774</w:t>
            </w: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1,029,582</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10,760,087</w:t>
            </w:r>
          </w:p>
        </w:tc>
        <w:tc>
          <w:tcPr>
            <w:tcW w:w="960" w:type="dxa"/>
            <w:vAlign w:val="bottom"/>
          </w:tcPr>
          <w:p>
            <w:pPr>
              <w:jc w:val="right"/>
              <w:spacing w:after="0"/>
              <w:rPr>
                <w:sz w:val="20"/>
                <w:szCs w:val="20"/>
                <w:color w:val="auto"/>
              </w:rPr>
            </w:pPr>
            <w:r>
              <w:rPr>
                <w:rFonts w:ascii="Arial" w:cs="Arial" w:eastAsia="Arial" w:hAnsi="Arial"/>
                <w:sz w:val="18"/>
                <w:szCs w:val="18"/>
                <w:color w:val="auto"/>
              </w:rPr>
              <w:t>2,982,960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248,824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340,505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754,943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992,097</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Loss and loss adjustment expenses (1)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20,117,975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24,781,318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49,317,427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71,587,850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Acquistion costs and other underwriting expenses: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60" w:type="dxa"/>
            <w:vAlign w:val="bottom"/>
          </w:tcPr>
          <w:p>
            <w:pPr>
              <w:ind w:left="140"/>
              <w:spacing w:after="0"/>
              <w:rPr>
                <w:sz w:val="20"/>
                <w:szCs w:val="20"/>
                <w:color w:val="auto"/>
              </w:rPr>
            </w:pPr>
            <w:r>
              <w:rPr>
                <w:rFonts w:ascii="Arial" w:cs="Arial" w:eastAsia="Arial" w:hAnsi="Arial"/>
                <w:sz w:val="18"/>
                <w:szCs w:val="18"/>
                <w:color w:val="auto"/>
              </w:rPr>
              <w:t>Commission expense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8,036,298</w:t>
            </w: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7,722,825</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23,652,765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21,866,420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underwriting expenses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6,346,846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6,430,734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19,434,110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17,983,174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60" w:type="dxa"/>
            <w:vAlign w:val="bottom"/>
            <w:tcBorders>
              <w:top w:val="single" w:sz="8" w:color="CCEEFF"/>
            </w:tcBorders>
          </w:tcPr>
          <w:p>
            <w:pPr>
              <w:spacing w:after="0" w:line="192" w:lineRule="exact"/>
              <w:rPr>
                <w:sz w:val="20"/>
                <w:szCs w:val="20"/>
                <w:color w:val="auto"/>
              </w:rPr>
            </w:pPr>
            <w:r>
              <w:rPr>
                <w:rFonts w:ascii="Arial" w:cs="Arial" w:eastAsia="Arial" w:hAnsi="Arial"/>
                <w:sz w:val="18"/>
                <w:szCs w:val="18"/>
                <w:color w:val="auto"/>
              </w:rPr>
              <w:t>Total acquistion costs and other</w:t>
            </w:r>
          </w:p>
        </w:tc>
        <w:tc>
          <w:tcPr>
            <w:tcW w:w="6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140"/>
              <w:spacing w:after="0"/>
              <w:rPr>
                <w:sz w:val="20"/>
                <w:szCs w:val="20"/>
                <w:color w:val="auto"/>
              </w:rPr>
            </w:pPr>
            <w:r>
              <w:rPr>
                <w:rFonts w:ascii="Arial" w:cs="Arial" w:eastAsia="Arial" w:hAnsi="Arial"/>
                <w:sz w:val="18"/>
                <w:szCs w:val="18"/>
                <w:color w:val="auto"/>
              </w:rPr>
              <w:t>underwriting expenses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14,383,144</w:t>
            </w: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14,153,559</w:t>
            </w:r>
          </w:p>
        </w:tc>
        <w:tc>
          <w:tcPr>
            <w:tcW w:w="14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43,086,875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39,849,594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Underwriting income (loss)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(3,282,440)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(3,344,780)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210,115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(12,445,209)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11"/>
        </w:trPr>
        <w:tc>
          <w:tcPr>
            <w:tcW w:w="4740" w:type="dxa"/>
            <w:vAlign w:val="bottom"/>
          </w:tcPr>
          <w:p>
            <w:pPr>
              <w:spacing w:after="0"/>
              <w:rPr>
                <w:sz w:val="20"/>
                <w:szCs w:val="20"/>
                <w:color w:val="auto"/>
              </w:rPr>
            </w:pPr>
            <w:r>
              <w:rPr>
                <w:rFonts w:ascii="Arial" w:cs="Arial" w:eastAsia="Arial" w:hAnsi="Arial"/>
                <w:sz w:val="18"/>
                <w:szCs w:val="18"/>
                <w:color w:val="auto"/>
              </w:rPr>
              <w:t>Key Measures: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ratio excluding the effect of catastrophes</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w:t>
            </w:r>
          </w:p>
        </w:tc>
      </w:tr>
      <w:tr>
        <w:trPr>
          <w:trHeight w:val="211"/>
        </w:trPr>
        <w:tc>
          <w:tcPr>
            <w:tcW w:w="4740" w:type="dxa"/>
            <w:vAlign w:val="bottom"/>
          </w:tcPr>
          <w:p>
            <w:pPr>
              <w:ind w:left="160"/>
              <w:spacing w:after="0"/>
              <w:rPr>
                <w:sz w:val="20"/>
                <w:szCs w:val="20"/>
                <w:color w:val="auto"/>
              </w:rPr>
            </w:pPr>
            <w:r>
              <w:rPr>
                <w:rFonts w:ascii="Arial" w:cs="Arial" w:eastAsia="Arial" w:hAnsi="Arial"/>
                <w:sz w:val="18"/>
                <w:szCs w:val="18"/>
                <w:color w:val="auto"/>
              </w:rPr>
              <w:t>Effect of catastrophe loss on net loss ratio (1)</w:t>
            </w:r>
          </w:p>
        </w:tc>
        <w:tc>
          <w:tcPr>
            <w:tcW w:w="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20"/>
        </w:trPr>
        <w:tc>
          <w:tcPr>
            <w:tcW w:w="4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4740" w:type="dxa"/>
            <w:vAlign w:val="bottom"/>
            <w:shd w:val="clear" w:color="auto" w:fill="CCEEFF"/>
          </w:tcPr>
          <w:p>
            <w:pPr>
              <w:ind w:left="160"/>
              <w:spacing w:after="0" w:line="205" w:lineRule="exact"/>
              <w:rPr>
                <w:sz w:val="20"/>
                <w:szCs w:val="20"/>
                <w:color w:val="auto"/>
              </w:rPr>
            </w:pPr>
            <w:r>
              <w:rPr>
                <w:rFonts w:ascii="Arial" w:cs="Arial" w:eastAsia="Arial" w:hAnsi="Arial"/>
                <w:sz w:val="18"/>
                <w:szCs w:val="18"/>
                <w:color w:val="auto"/>
              </w:rPr>
              <w:t>Net loss ratio</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73.1%</w:t>
            </w:r>
          </w:p>
        </w:tc>
        <w:tc>
          <w:tcPr>
            <w:tcW w:w="12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72.4%</w:t>
            </w:r>
          </w:p>
        </w:tc>
        <w:tc>
          <w:tcPr>
            <w:tcW w:w="12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60.8%</w:t>
            </w:r>
          </w:p>
        </w:tc>
        <w:tc>
          <w:tcPr>
            <w:tcW w:w="112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75.3%</w:t>
            </w:r>
          </w:p>
        </w:tc>
      </w:tr>
      <w:tr>
        <w:trPr>
          <w:trHeight w:val="204"/>
        </w:trPr>
        <w:tc>
          <w:tcPr>
            <w:tcW w:w="47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1"/>
        </w:trPr>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underwriting expense ratio excluding the</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1"/>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catastrophes</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w:t>
            </w:r>
          </w:p>
        </w:tc>
      </w:tr>
      <w:tr>
        <w:trPr>
          <w:trHeight w:val="199"/>
        </w:trPr>
        <w:tc>
          <w:tcPr>
            <w:tcW w:w="4740" w:type="dxa"/>
            <w:vAlign w:val="bottom"/>
          </w:tcPr>
          <w:p>
            <w:pPr>
              <w:ind w:left="160"/>
              <w:spacing w:after="0" w:line="199" w:lineRule="exact"/>
              <w:rPr>
                <w:sz w:val="20"/>
                <w:szCs w:val="20"/>
                <w:color w:val="auto"/>
              </w:rPr>
            </w:pPr>
            <w:r>
              <w:rPr>
                <w:rFonts w:ascii="Arial" w:cs="Arial" w:eastAsia="Arial" w:hAnsi="Arial"/>
                <w:sz w:val="18"/>
                <w:szCs w:val="18"/>
                <w:color w:val="auto"/>
              </w:rPr>
              <w:t>Effect of catastrophe loss on net underwriting</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4740" w:type="dxa"/>
            <w:vAlign w:val="bottom"/>
          </w:tcPr>
          <w:p>
            <w:pPr>
              <w:ind w:left="340"/>
              <w:spacing w:after="0"/>
              <w:rPr>
                <w:sz w:val="20"/>
                <w:szCs w:val="20"/>
                <w:color w:val="auto"/>
              </w:rPr>
            </w:pPr>
            <w:r>
              <w:rPr>
                <w:rFonts w:ascii="Arial" w:cs="Arial" w:eastAsia="Arial" w:hAnsi="Arial"/>
                <w:sz w:val="18"/>
                <w:szCs w:val="18"/>
                <w:color w:val="auto"/>
              </w:rPr>
              <w:t>expense ratio (2)</w:t>
            </w:r>
          </w:p>
        </w:tc>
        <w:tc>
          <w:tcPr>
            <w:tcW w:w="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0"/>
        </w:trPr>
        <w:tc>
          <w:tcPr>
            <w:tcW w:w="4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5"/>
        </w:trPr>
        <w:tc>
          <w:tcPr>
            <w:tcW w:w="4740" w:type="dxa"/>
            <w:vAlign w:val="bottom"/>
            <w:shd w:val="clear" w:color="auto" w:fill="CCEEFF"/>
          </w:tcPr>
          <w:p>
            <w:pPr>
              <w:ind w:left="160"/>
              <w:spacing w:after="0" w:line="205" w:lineRule="exact"/>
              <w:rPr>
                <w:sz w:val="20"/>
                <w:szCs w:val="20"/>
                <w:color w:val="auto"/>
              </w:rPr>
            </w:pPr>
            <w:r>
              <w:rPr>
                <w:rFonts w:ascii="Arial" w:cs="Arial" w:eastAsia="Arial" w:hAnsi="Arial"/>
                <w:sz w:val="18"/>
                <w:szCs w:val="18"/>
                <w:color w:val="auto"/>
              </w:rPr>
              <w:t>Net underwriting expense ratio</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38.8%</w:t>
            </w:r>
          </w:p>
        </w:tc>
        <w:tc>
          <w:tcPr>
            <w:tcW w:w="12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37.4%</w:t>
            </w:r>
          </w:p>
        </w:tc>
        <w:tc>
          <w:tcPr>
            <w:tcW w:w="12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38.9%</w:t>
            </w:r>
          </w:p>
        </w:tc>
        <w:tc>
          <w:tcPr>
            <w:tcW w:w="112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37.8%</w:t>
            </w:r>
          </w:p>
        </w:tc>
      </w:tr>
      <w:tr>
        <w:trPr>
          <w:trHeight w:val="204"/>
        </w:trPr>
        <w:tc>
          <w:tcPr>
            <w:tcW w:w="47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1"/>
        </w:trPr>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combined ratio excluding the effect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1"/>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 catastrophes</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80.4%</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105.8%</w:t>
            </w:r>
          </w:p>
        </w:tc>
      </w:tr>
      <w:tr>
        <w:trPr>
          <w:trHeight w:val="199"/>
        </w:trPr>
        <w:tc>
          <w:tcPr>
            <w:tcW w:w="4740" w:type="dxa"/>
            <w:vAlign w:val="bottom"/>
          </w:tcPr>
          <w:p>
            <w:pPr>
              <w:ind w:left="160"/>
              <w:spacing w:after="0" w:line="199" w:lineRule="exact"/>
              <w:rPr>
                <w:sz w:val="20"/>
                <w:szCs w:val="20"/>
                <w:color w:val="auto"/>
              </w:rPr>
            </w:pPr>
            <w:r>
              <w:rPr>
                <w:rFonts w:ascii="Arial" w:cs="Arial" w:eastAsia="Arial" w:hAnsi="Arial"/>
                <w:sz w:val="18"/>
                <w:szCs w:val="18"/>
                <w:color w:val="auto"/>
              </w:rPr>
              <w:t>Effect of catastrophe loss on net combined</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4740" w:type="dxa"/>
            <w:vAlign w:val="bottom"/>
          </w:tcPr>
          <w:p>
            <w:pPr>
              <w:ind w:left="340"/>
              <w:spacing w:after="0"/>
              <w:rPr>
                <w:sz w:val="20"/>
                <w:szCs w:val="20"/>
                <w:color w:val="auto"/>
              </w:rPr>
            </w:pPr>
            <w:r>
              <w:rPr>
                <w:rFonts w:ascii="Arial" w:cs="Arial" w:eastAsia="Arial" w:hAnsi="Arial"/>
                <w:sz w:val="18"/>
                <w:szCs w:val="18"/>
                <w:color w:val="auto"/>
              </w:rPr>
              <w:t>ratio (1) (2)</w:t>
            </w:r>
          </w:p>
        </w:tc>
        <w:tc>
          <w:tcPr>
            <w:tcW w:w="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20"/>
        </w:trPr>
        <w:tc>
          <w:tcPr>
            <w:tcW w:w="4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5"/>
        </w:trPr>
        <w:tc>
          <w:tcPr>
            <w:tcW w:w="4740" w:type="dxa"/>
            <w:vAlign w:val="bottom"/>
            <w:shd w:val="clear" w:color="auto" w:fill="CCEEFF"/>
          </w:tcPr>
          <w:p>
            <w:pPr>
              <w:ind w:left="160"/>
              <w:spacing w:after="0" w:line="205" w:lineRule="exact"/>
              <w:rPr>
                <w:sz w:val="20"/>
                <w:szCs w:val="20"/>
                <w:color w:val="auto"/>
              </w:rPr>
            </w:pPr>
            <w:r>
              <w:rPr>
                <w:rFonts w:ascii="Arial" w:cs="Arial" w:eastAsia="Arial" w:hAnsi="Arial"/>
                <w:sz w:val="18"/>
                <w:szCs w:val="18"/>
                <w:color w:val="auto"/>
              </w:rPr>
              <w:t>Net combined ratio</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111.9%</w:t>
            </w:r>
          </w:p>
        </w:tc>
        <w:tc>
          <w:tcPr>
            <w:tcW w:w="12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109.8%</w:t>
            </w:r>
          </w:p>
        </w:tc>
        <w:tc>
          <w:tcPr>
            <w:tcW w:w="12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99.7%</w:t>
            </w:r>
          </w:p>
        </w:tc>
        <w:tc>
          <w:tcPr>
            <w:tcW w:w="112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113.1%</w:t>
            </w:r>
          </w:p>
        </w:tc>
      </w:tr>
      <w:tr>
        <w:trPr>
          <w:trHeight w:val="20"/>
        </w:trPr>
        <w:tc>
          <w:tcPr>
            <w:tcW w:w="4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1" w:lineRule="exact"/>
        <w:rPr>
          <w:sz w:val="20"/>
          <w:szCs w:val="20"/>
          <w:color w:val="auto"/>
        </w:rPr>
      </w:pPr>
    </w:p>
    <w:tbl>
      <w:tblPr>
        <w:tblLayout w:type="fixed"/>
        <w:tblInd w:w="860" w:type="dxa"/>
        <w:tblCellMar>
          <w:top w:w="0" w:type="dxa"/>
          <w:left w:w="0" w:type="dxa"/>
          <w:bottom w:w="0" w:type="dxa"/>
          <w:right w:w="0" w:type="dxa"/>
        </w:tblCellMar>
      </w:tblPr>
      <w:tr>
        <w:trPr>
          <w:trHeight w:val="211"/>
        </w:trPr>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Reconciliation of net underwriting expense ratio:</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9"/>
        </w:trPr>
        <w:tc>
          <w:tcPr>
            <w:tcW w:w="4220" w:type="dxa"/>
            <w:vAlign w:val="bottom"/>
          </w:tcPr>
          <w:p>
            <w:pPr>
              <w:ind w:left="160"/>
              <w:spacing w:after="0" w:line="199" w:lineRule="exact"/>
              <w:rPr>
                <w:sz w:val="20"/>
                <w:szCs w:val="20"/>
                <w:color w:val="auto"/>
              </w:rPr>
            </w:pPr>
            <w:r>
              <w:rPr>
                <w:rFonts w:ascii="Arial" w:cs="Arial" w:eastAsia="Arial" w:hAnsi="Arial"/>
                <w:sz w:val="18"/>
                <w:szCs w:val="18"/>
                <w:color w:val="auto"/>
              </w:rPr>
              <w:t>Acquisition costs and other</w:t>
            </w: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4220" w:type="dxa"/>
            <w:vAlign w:val="bottom"/>
          </w:tcPr>
          <w:p>
            <w:pPr>
              <w:ind w:left="340"/>
              <w:spacing w:after="0"/>
              <w:rPr>
                <w:sz w:val="20"/>
                <w:szCs w:val="20"/>
                <w:color w:val="auto"/>
              </w:rPr>
            </w:pPr>
            <w:r>
              <w:rPr>
                <w:rFonts w:ascii="Arial" w:cs="Arial" w:eastAsia="Arial" w:hAnsi="Arial"/>
                <w:sz w:val="18"/>
                <w:szCs w:val="18"/>
                <w:color w:val="auto"/>
              </w:rPr>
              <w:t>underwriting expenses</w:t>
            </w:r>
          </w:p>
        </w:tc>
        <w:tc>
          <w:tcPr>
            <w:tcW w:w="1800" w:type="dxa"/>
            <w:vAlign w:val="bottom"/>
            <w:gridSpan w:val="3"/>
          </w:tcPr>
          <w:p>
            <w:pPr>
              <w:jc w:val="right"/>
              <w:ind w:right="240"/>
              <w:spacing w:after="0"/>
              <w:rPr>
                <w:sz w:val="20"/>
                <w:szCs w:val="20"/>
                <w:color w:val="auto"/>
              </w:rPr>
            </w:pPr>
            <w:r>
              <w:rPr>
                <w:rFonts w:ascii="Arial" w:cs="Arial" w:eastAsia="Arial" w:hAnsi="Arial"/>
                <w:sz w:val="18"/>
                <w:szCs w:val="18"/>
                <w:color w:val="auto"/>
              </w:rPr>
              <w:t>$ 14,383,144</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$ 14,153,559</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$ 43,086,875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$ 39,849,594</w:t>
            </w:r>
          </w:p>
        </w:tc>
      </w:tr>
      <w:tr>
        <w:trPr>
          <w:trHeight w:val="212"/>
        </w:trPr>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Ceding commission revenue (2)</w:t>
            </w:r>
          </w:p>
        </w:tc>
        <w:tc>
          <w:tcPr>
            <w:tcW w:w="1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(3,448,774)</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(1,029,582)</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(10,760,087)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(2,982,960)</w:t>
            </w:r>
          </w:p>
        </w:tc>
      </w:tr>
      <w:tr>
        <w:trPr>
          <w:trHeight w:val="211"/>
        </w:trPr>
        <w:tc>
          <w:tcPr>
            <w:tcW w:w="4220" w:type="dxa"/>
            <w:vAlign w:val="bottom"/>
          </w:tcPr>
          <w:p>
            <w:pPr>
              <w:ind w:left="160"/>
              <w:spacing w:after="0"/>
              <w:rPr>
                <w:sz w:val="20"/>
                <w:szCs w:val="20"/>
                <w:color w:val="auto"/>
              </w:rPr>
            </w:pPr>
            <w:r>
              <w:rPr>
                <w:rFonts w:ascii="Arial" w:cs="Arial" w:eastAsia="Arial" w:hAnsi="Arial"/>
                <w:sz w:val="18"/>
                <w:szCs w:val="18"/>
                <w:color w:val="auto"/>
              </w:rPr>
              <w:t>Less: Other income</w:t>
            </w:r>
          </w:p>
        </w:tc>
        <w:tc>
          <w:tcPr>
            <w:tcW w:w="1800" w:type="dxa"/>
            <w:vAlign w:val="bottom"/>
            <w:gridSpan w:val="3"/>
          </w:tcPr>
          <w:p>
            <w:pPr>
              <w:jc w:val="right"/>
              <w:ind w:right="180"/>
              <w:spacing w:after="0"/>
              <w:rPr>
                <w:sz w:val="20"/>
                <w:szCs w:val="20"/>
                <w:color w:val="auto"/>
              </w:rPr>
            </w:pPr>
            <w:r>
              <w:rPr>
                <w:rFonts w:ascii="Arial" w:cs="Arial" w:eastAsia="Arial" w:hAnsi="Arial"/>
                <w:sz w:val="18"/>
                <w:szCs w:val="18"/>
                <w:color w:val="auto"/>
              </w:rPr>
              <w:t>(248,824)</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(340,505)</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(754,943)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(992,097)</w:t>
            </w:r>
          </w:p>
        </w:tc>
      </w:tr>
      <w:tr>
        <w:trPr>
          <w:trHeight w:val="180"/>
        </w:trPr>
        <w:tc>
          <w:tcPr>
            <w:tcW w:w="4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bl>
    <w:p>
      <w:pPr>
        <w:sectPr>
          <w:pgSz w:w="11900" w:h="16900" w:orient="portrait"/>
          <w:cols w:equalWidth="0" w:num="1">
            <w:col w:w="10400"/>
          </w:cols>
          <w:pgMar w:left="320" w:top="127" w:right="1179" w:bottom="0" w:gutter="0" w:footer="0" w:header="0"/>
        </w:sectPr>
      </w:pPr>
    </w:p>
    <w:bookmarkStart w:id="40" w:name="page41"/>
    <w:bookmarkEnd w:id="40"/>
    <w:p>
      <w:pPr>
        <w:spacing w:after="0" w:line="22" w:lineRule="exact"/>
        <w:rPr>
          <w:sz w:val="20"/>
          <w:szCs w:val="20"/>
          <w:color w:val="auto"/>
        </w:rPr>
      </w:pPr>
    </w:p>
    <w:tbl>
      <w:tblPr>
        <w:tblLayout w:type="fixed"/>
        <w:tblInd w:w="860" w:type="dxa"/>
        <w:tblCellMar>
          <w:top w:w="0" w:type="dxa"/>
          <w:left w:w="0" w:type="dxa"/>
          <w:bottom w:w="0" w:type="dxa"/>
          <w:right w:w="0" w:type="dxa"/>
        </w:tblCellMar>
      </w:tblPr>
      <w:tr>
        <w:trPr>
          <w:trHeight w:val="251"/>
        </w:trPr>
        <w:tc>
          <w:tcPr>
            <w:tcW w:w="4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$ 10,685,546</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$ 12,783,472</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$ 31,571,845</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$ 35,874,537</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191"/>
        </w:trPr>
        <w:tc>
          <w:tcPr>
            <w:tcW w:w="474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r>
      <w:tr>
        <w:trPr>
          <w:trHeight w:val="251"/>
        </w:trPr>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earned premium</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$ 27,521,081</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$ 34,220,010</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$ 81,099,387</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$ 95,017,178</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191"/>
        </w:trPr>
        <w:tc>
          <w:tcPr>
            <w:tcW w:w="474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r>
      <w:tr>
        <w:trPr>
          <w:trHeight w:val="231"/>
        </w:trPr>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Underwriting Expense Ratio</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37.4%</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37.8%</w:t>
            </w:r>
          </w:p>
        </w:tc>
      </w:tr>
      <w:tr>
        <w:trPr>
          <w:trHeight w:val="20"/>
        </w:trPr>
        <w:tc>
          <w:tcPr>
            <w:tcW w:w="4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-586105</wp:posOffset>
            </wp:positionV>
            <wp:extent cx="6062345" cy="133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62345" cy="133985"/>
                    </a:xfrm>
                    <a:prstGeom prst="rect">
                      <a:avLst/>
                    </a:prstGeom>
                    <a:noFill/>
                  </pic:spPr>
                </pic:pic>
              </a:graphicData>
            </a:graphic>
          </wp:anchor>
        </w:drawing>
      </w:r>
    </w:p>
    <w:p>
      <w:pPr>
        <w:spacing w:after="0" w:line="179" w:lineRule="exact"/>
        <w:rPr>
          <w:sz w:val="20"/>
          <w:szCs w:val="20"/>
          <w:color w:val="auto"/>
        </w:rPr>
      </w:pPr>
    </w:p>
    <w:p>
      <w:pPr>
        <w:jc w:val="both"/>
        <w:ind w:left="460" w:hanging="454"/>
        <w:spacing w:after="0" w:line="25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three months ended September 30, 2020 and 2019, includes the sum of net catastrophe losses and loss adjustment expenses of $8,664,998 and $446,121, respectively. For the nine months ended September 30, 2020 and 2019, includes the sum of net catastrophe losses and loss adjustment expenses of $10,375,113 and $6,946,677, respectively.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Portfolio Summary</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Fixed-Maturity Securities</w:t>
      </w:r>
    </w:p>
    <w:p>
      <w:pPr>
        <w:spacing w:after="0" w:line="216" w:lineRule="exact"/>
        <w:rPr>
          <w:sz w:val="20"/>
          <w:szCs w:val="20"/>
          <w:color w:val="auto"/>
        </w:rPr>
      </w:pPr>
    </w:p>
    <w:p>
      <w:pPr>
        <w:ind w:firstLine="634"/>
        <w:spacing w:after="0" w:line="263" w:lineRule="auto"/>
        <w:rPr>
          <w:sz w:val="20"/>
          <w:szCs w:val="20"/>
          <w:color w:val="auto"/>
        </w:rPr>
      </w:pPr>
      <w:r>
        <w:rPr>
          <w:rFonts w:ascii="Arial" w:cs="Arial" w:eastAsia="Arial" w:hAnsi="Arial"/>
          <w:sz w:val="18"/>
          <w:szCs w:val="18"/>
          <w:color w:val="auto"/>
        </w:rPr>
        <w:t>The following table presents a breakdown of the amortized cost, estimated fair value, and unrealized gains and losses of our investments in fixed-maturity securities classified as available-for-sale as of September 30, 2020 and December 31,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8"/>
                <w:szCs w:val="18"/>
                <w:b w:val="1"/>
                <w:bCs w:val="1"/>
                <w:color w:val="auto"/>
                <w:w w:val="95"/>
              </w:rPr>
              <w:t>September 30, 2020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300"/>
              <w:spacing w:after="0" w:line="205" w:lineRule="exact"/>
              <w:rPr>
                <w:sz w:val="20"/>
                <w:szCs w:val="20"/>
                <w:color w:val="auto"/>
              </w:rPr>
            </w:pPr>
            <w:r>
              <w:rPr>
                <w:rFonts w:ascii="Arial" w:cs="Arial" w:eastAsia="Arial" w:hAnsi="Arial"/>
                <w:sz w:val="18"/>
                <w:szCs w:val="18"/>
                <w:b w:val="1"/>
                <w:bCs w:val="1"/>
                <w:color w:val="auto"/>
                <w:w w:val="85"/>
              </w:rPr>
              <w:t>Cost or</w:t>
            </w:r>
          </w:p>
        </w:tc>
        <w:tc>
          <w:tcPr>
            <w:tcW w:w="100" w:type="dxa"/>
            <w:vAlign w:val="bottom"/>
          </w:tcPr>
          <w:p>
            <w:pPr>
              <w:spacing w:after="0"/>
              <w:rPr>
                <w:sz w:val="17"/>
                <w:szCs w:val="17"/>
                <w:color w:val="auto"/>
              </w:rPr>
            </w:pPr>
          </w:p>
        </w:tc>
        <w:tc>
          <w:tcPr>
            <w:tcW w:w="1000" w:type="dxa"/>
            <w:vAlign w:val="bottom"/>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7"/>
                <w:szCs w:val="17"/>
                <w:color w:val="auto"/>
              </w:rPr>
            </w:pPr>
          </w:p>
        </w:tc>
        <w:tc>
          <w:tcPr>
            <w:tcW w:w="2160" w:type="dxa"/>
            <w:vAlign w:val="bottom"/>
            <w:gridSpan w:val="5"/>
          </w:tcPr>
          <w:p>
            <w:pPr>
              <w:jc w:val="right"/>
              <w:ind w:right="300"/>
              <w:spacing w:after="0" w:line="205" w:lineRule="exact"/>
              <w:rPr>
                <w:sz w:val="20"/>
                <w:szCs w:val="20"/>
                <w:color w:val="auto"/>
              </w:rPr>
            </w:pPr>
            <w:r>
              <w:rPr>
                <w:rFonts w:ascii="Arial" w:cs="Arial" w:eastAsia="Arial" w:hAnsi="Arial"/>
                <w:sz w:val="18"/>
                <w:szCs w:val="18"/>
                <w:b w:val="1"/>
                <w:bCs w:val="1"/>
                <w:color w:val="auto"/>
                <w:w w:val="85"/>
              </w:rPr>
              <w:t>Gross Unrealized Losses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00"/>
              <w:spacing w:after="0" w:line="205" w:lineRule="exact"/>
              <w:rPr>
                <w:sz w:val="20"/>
                <w:szCs w:val="20"/>
                <w:color w:val="auto"/>
              </w:rPr>
            </w:pPr>
            <w:r>
              <w:rPr>
                <w:rFonts w:ascii="Arial" w:cs="Arial" w:eastAsia="Arial" w:hAnsi="Arial"/>
                <w:sz w:val="18"/>
                <w:szCs w:val="18"/>
                <w:b w:val="1"/>
                <w:bCs w:val="1"/>
                <w:color w:val="auto"/>
                <w:w w:val="88"/>
              </w:rPr>
              <w:t>Estimated</w:t>
            </w:r>
          </w:p>
        </w:tc>
        <w:tc>
          <w:tcPr>
            <w:tcW w:w="7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280"/>
              <w:spacing w:after="0" w:line="186" w:lineRule="exact"/>
              <w:rPr>
                <w:sz w:val="20"/>
                <w:szCs w:val="20"/>
                <w:color w:val="auto"/>
              </w:rPr>
            </w:pPr>
            <w:r>
              <w:rPr>
                <w:rFonts w:ascii="Arial" w:cs="Arial" w:eastAsia="Arial" w:hAnsi="Arial"/>
                <w:sz w:val="18"/>
                <w:szCs w:val="18"/>
                <w:b w:val="1"/>
                <w:bCs w:val="1"/>
                <w:color w:val="auto"/>
                <w:w w:val="90"/>
              </w:rPr>
              <w:t>Amortized</w:t>
            </w:r>
          </w:p>
        </w:tc>
        <w:tc>
          <w:tcPr>
            <w:tcW w:w="1100" w:type="dxa"/>
            <w:vAlign w:val="bottom"/>
            <w:gridSpan w:val="3"/>
          </w:tcPr>
          <w:p>
            <w:pPr>
              <w:jc w:val="center"/>
              <w:ind w:right="200"/>
              <w:spacing w:after="0" w:line="186" w:lineRule="exact"/>
              <w:rPr>
                <w:sz w:val="20"/>
                <w:szCs w:val="20"/>
                <w:color w:val="auto"/>
              </w:rPr>
            </w:pPr>
            <w:r>
              <w:rPr>
                <w:rFonts w:ascii="Arial" w:cs="Arial" w:eastAsia="Arial" w:hAnsi="Arial"/>
                <w:sz w:val="18"/>
                <w:szCs w:val="18"/>
                <w:b w:val="1"/>
                <w:bCs w:val="1"/>
                <w:color w:val="auto"/>
                <w:w w:val="90"/>
              </w:rPr>
              <w:t>Unrealized</w:t>
            </w:r>
          </w:p>
        </w:tc>
        <w:tc>
          <w:tcPr>
            <w:tcW w:w="1160" w:type="dxa"/>
            <w:vAlign w:val="bottom"/>
            <w:tcBorders>
              <w:top w:val="single" w:sz="8" w:color="auto"/>
            </w:tcBorders>
            <w:gridSpan w:val="3"/>
          </w:tcPr>
          <w:p>
            <w:pPr>
              <w:spacing w:after="0" w:line="186" w:lineRule="exact"/>
              <w:rPr>
                <w:sz w:val="20"/>
                <w:szCs w:val="20"/>
                <w:color w:val="auto"/>
              </w:rPr>
            </w:pPr>
            <w:r>
              <w:rPr>
                <w:rFonts w:ascii="Arial" w:cs="Arial" w:eastAsia="Arial" w:hAnsi="Arial"/>
                <w:sz w:val="18"/>
                <w:szCs w:val="18"/>
                <w:b w:val="1"/>
                <w:bCs w:val="1"/>
                <w:color w:val="auto"/>
              </w:rPr>
              <w:t>Less than 12</w:t>
            </w:r>
          </w:p>
        </w:tc>
        <w:tc>
          <w:tcPr>
            <w:tcW w:w="1020" w:type="dxa"/>
            <w:vAlign w:val="bottom"/>
            <w:tcBorders>
              <w:top w:val="single" w:sz="8" w:color="auto"/>
            </w:tcBorders>
            <w:gridSpan w:val="2"/>
          </w:tcPr>
          <w:p>
            <w:pPr>
              <w:spacing w:after="0" w:line="186" w:lineRule="exact"/>
              <w:rPr>
                <w:sz w:val="20"/>
                <w:szCs w:val="20"/>
                <w:color w:val="auto"/>
              </w:rPr>
            </w:pPr>
            <w:r>
              <w:rPr>
                <w:rFonts w:ascii="Arial" w:cs="Arial" w:eastAsia="Arial" w:hAnsi="Arial"/>
                <w:sz w:val="18"/>
                <w:szCs w:val="18"/>
                <w:b w:val="1"/>
                <w:bCs w:val="1"/>
                <w:color w:val="auto"/>
                <w:w w:val="90"/>
              </w:rPr>
              <w:t>More than 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300"/>
              <w:spacing w:after="0" w:line="186" w:lineRule="exact"/>
              <w:rPr>
                <w:sz w:val="20"/>
                <w:szCs w:val="20"/>
                <w:color w:val="auto"/>
              </w:rPr>
            </w:pPr>
            <w:r>
              <w:rPr>
                <w:rFonts w:ascii="Arial" w:cs="Arial" w:eastAsia="Arial" w:hAnsi="Arial"/>
                <w:sz w:val="18"/>
                <w:szCs w:val="18"/>
                <w:b w:val="1"/>
                <w:bCs w:val="1"/>
                <w:color w:val="auto"/>
                <w:w w:val="96"/>
              </w:rPr>
              <w:t>Fair</w:t>
            </w:r>
          </w:p>
        </w:tc>
        <w:tc>
          <w:tcPr>
            <w:tcW w:w="940" w:type="dxa"/>
            <w:vAlign w:val="bottom"/>
            <w:gridSpan w:val="2"/>
          </w:tcPr>
          <w:p>
            <w:pPr>
              <w:jc w:val="center"/>
              <w:ind w:right="140"/>
              <w:spacing w:after="0" w:line="186" w:lineRule="exact"/>
              <w:rPr>
                <w:sz w:val="20"/>
                <w:szCs w:val="20"/>
                <w:color w:val="auto"/>
              </w:rPr>
            </w:pPr>
            <w:r>
              <w:rPr>
                <w:rFonts w:ascii="Arial" w:cs="Arial" w:eastAsia="Arial" w:hAnsi="Arial"/>
                <w:sz w:val="18"/>
                <w:szCs w:val="18"/>
                <w:b w:val="1"/>
                <w:bCs w:val="1"/>
                <w:color w:val="auto"/>
                <w:w w:val="88"/>
              </w:rPr>
              <w:t>Estimated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229"/>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Gains</w:t>
            </w:r>
          </w:p>
        </w:tc>
        <w:tc>
          <w:tcPr>
            <w:tcW w:w="14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Months</w:t>
            </w:r>
          </w:p>
        </w:tc>
        <w:tc>
          <w:tcPr>
            <w:tcW w:w="14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Months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3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89"/>
              </w:rPr>
              <w:t>U.S. Treasury securities and obligations of U.S. government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3,026,477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42,853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3,069,330</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5,593,778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322,297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5,916,075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112,504,206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10,698,206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123,200,758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 (1)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24,002,398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(38,491)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(147,253)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24,352,426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tcPr>
          <w:p>
            <w:pPr>
              <w:ind w:left="180"/>
              <w:spacing w:after="0" w:line="205" w:lineRule="exact"/>
              <w:rPr>
                <w:sz w:val="20"/>
                <w:szCs w:val="20"/>
                <w:color w:val="auto"/>
              </w:rPr>
            </w:pPr>
            <w:r>
              <w:rPr>
                <w:rFonts w:ascii="Arial" w:cs="Arial" w:eastAsia="Arial" w:hAnsi="Arial"/>
                <w:sz w:val="18"/>
                <w:szCs w:val="18"/>
                <w:color w:val="auto"/>
              </w:rPr>
              <w:t>Total</w:t>
            </w:r>
          </w:p>
        </w:tc>
        <w:tc>
          <w:tcPr>
            <w:tcW w:w="180" w:type="dxa"/>
            <w:vAlign w:val="bottom"/>
            <w:gridSpan w:val="2"/>
          </w:tcPr>
          <w:p>
            <w:pPr>
              <w:jc w:val="right"/>
              <w:spacing w:after="0" w:line="205" w:lineRule="exact"/>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w w:val="87"/>
              </w:rPr>
              <w:t>145,126,859</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w w:val="86"/>
              </w:rPr>
              <w:t>11,599,128</w:t>
            </w:r>
          </w:p>
        </w:tc>
        <w:tc>
          <w:tcPr>
            <w:tcW w:w="140" w:type="dxa"/>
            <w:vAlign w:val="bottom"/>
          </w:tcPr>
          <w:p>
            <w:pPr>
              <w:spacing w:after="0" w:line="205"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line="204" w:lineRule="exact"/>
              <w:rPr>
                <w:sz w:val="20"/>
                <w:szCs w:val="20"/>
                <w:color w:val="auto"/>
              </w:rPr>
            </w:pPr>
            <w:r>
              <w:rPr>
                <w:rFonts w:ascii="Arial" w:cs="Arial" w:eastAsia="Arial" w:hAnsi="Arial"/>
                <w:sz w:val="13"/>
                <w:szCs w:val="13"/>
                <w:color w:val="auto"/>
              </w:rPr>
              <w:t>(40,145</w:t>
            </w:r>
            <w:r>
              <w:rPr>
                <w:rFonts w:ascii="Arial" w:cs="Arial" w:eastAsia="Arial" w:hAnsi="Arial"/>
                <w:sz w:val="23"/>
                <w:szCs w:val="23"/>
                <w:color w:val="auto"/>
                <w:vertAlign w:val="subscript"/>
              </w:rPr>
              <w:t>)</w:t>
            </w:r>
          </w:p>
        </w:tc>
        <w:tc>
          <w:tcPr>
            <w:tcW w:w="140" w:type="dxa"/>
            <w:vAlign w:val="bottom"/>
          </w:tcPr>
          <w:p>
            <w:pPr>
              <w:spacing w:after="0" w:line="205"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line="204" w:lineRule="exact"/>
              <w:rPr>
                <w:sz w:val="20"/>
                <w:szCs w:val="20"/>
                <w:color w:val="auto"/>
              </w:rPr>
            </w:pPr>
            <w:r>
              <w:rPr>
                <w:rFonts w:ascii="Arial" w:cs="Arial" w:eastAsia="Arial" w:hAnsi="Arial"/>
                <w:sz w:val="13"/>
                <w:szCs w:val="13"/>
                <w:color w:val="auto"/>
              </w:rPr>
              <w:t>(147,253</w:t>
            </w:r>
            <w:r>
              <w:rPr>
                <w:rFonts w:ascii="Arial" w:cs="Arial" w:eastAsia="Arial" w:hAnsi="Arial"/>
                <w:sz w:val="23"/>
                <w:szCs w:val="23"/>
                <w:color w:val="auto"/>
                <w:vertAlign w:val="subscript"/>
              </w:rPr>
              <w:t>)</w:t>
            </w:r>
          </w:p>
        </w:tc>
        <w:tc>
          <w:tcPr>
            <w:tcW w:w="180" w:type="dxa"/>
            <w:vAlign w:val="bottom"/>
            <w:gridSpan w:val="2"/>
          </w:tcPr>
          <w:p>
            <w:pPr>
              <w:jc w:val="right"/>
              <w:spacing w:after="0" w:line="205" w:lineRule="exact"/>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w w:val="87"/>
              </w:rPr>
              <w:t>156,538,589</w:t>
            </w:r>
          </w:p>
        </w:tc>
        <w:tc>
          <w:tcPr>
            <w:tcW w:w="200" w:type="dxa"/>
            <w:vAlign w:val="bottom"/>
          </w:tcPr>
          <w:p>
            <w:pPr>
              <w:spacing w:after="0"/>
              <w:rPr>
                <w:sz w:val="17"/>
                <w:szCs w:val="17"/>
                <w:color w:val="auto"/>
              </w:rPr>
            </w:pPr>
          </w:p>
        </w:tc>
        <w:tc>
          <w:tcPr>
            <w:tcW w:w="940" w:type="dxa"/>
            <w:vAlign w:val="bottom"/>
            <w:gridSpan w:val="2"/>
          </w:tcPr>
          <w:p>
            <w:pPr>
              <w:jc w:val="right"/>
              <w:spacing w:after="0" w:line="204" w:lineRule="exact"/>
              <w:rPr>
                <w:sz w:val="20"/>
                <w:szCs w:val="20"/>
                <w:color w:val="auto"/>
              </w:rPr>
            </w:pPr>
            <w:r>
              <w:rPr>
                <w:rFonts w:ascii="Arial" w:cs="Arial" w:eastAsia="Arial" w:hAnsi="Arial"/>
                <w:sz w:val="13"/>
                <w:szCs w:val="13"/>
                <w:color w:val="auto"/>
              </w:rPr>
              <w:t>100.0</w:t>
            </w:r>
            <w:r>
              <w:rPr>
                <w:rFonts w:ascii="Arial" w:cs="Arial" w:eastAsia="Arial" w:hAnsi="Arial"/>
                <w:sz w:val="23"/>
                <w:szCs w:val="23"/>
                <w:color w:val="auto"/>
                <w:vertAlign w:val="subscript"/>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460" w:hanging="454"/>
        <w:spacing w:after="0" w:line="31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KICO has placed certain residential mortgage backed securities as eligible collateral in a designated custodian account related to its membership in the Federal Home Loan Bank of New York ("FHLBNY"). The eligible collateral would be pledged to FHLBNY if KICO draws an advance from the FHLBNY credit line. As of September 30, 2020, the estimated fair value of the eligible investments was approximately $6,685,000. KICO will retain all rights regarding all securities if pledged as collateral. As of September 30, 2020, there was no outstanding balance on the FHLBNY credit line.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8"/>
                <w:szCs w:val="18"/>
                <w:b w:val="1"/>
                <w:bCs w:val="1"/>
                <w:color w:val="auto"/>
                <w:w w:val="99"/>
              </w:rPr>
              <w:t>December 31, 2019</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5"/>
              </w:rPr>
              <w:t>Cost or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ind w:left="80"/>
              <w:spacing w:after="0" w:line="205" w:lineRule="exact"/>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17"/>
                <w:szCs w:val="17"/>
                <w:color w:val="auto"/>
              </w:rPr>
            </w:pPr>
          </w:p>
        </w:tc>
        <w:tc>
          <w:tcPr>
            <w:tcW w:w="2160" w:type="dxa"/>
            <w:vAlign w:val="bottom"/>
            <w:gridSpan w:val="5"/>
          </w:tcPr>
          <w:p>
            <w:pPr>
              <w:jc w:val="right"/>
              <w:ind w:right="300"/>
              <w:spacing w:after="0" w:line="205" w:lineRule="exact"/>
              <w:rPr>
                <w:sz w:val="20"/>
                <w:szCs w:val="20"/>
                <w:color w:val="auto"/>
              </w:rPr>
            </w:pPr>
            <w:r>
              <w:rPr>
                <w:rFonts w:ascii="Arial" w:cs="Arial" w:eastAsia="Arial" w:hAnsi="Arial"/>
                <w:sz w:val="18"/>
                <w:szCs w:val="18"/>
                <w:b w:val="1"/>
                <w:bCs w:val="1"/>
                <w:color w:val="auto"/>
                <w:w w:val="85"/>
              </w:rPr>
              <w:t>Gross Unrealized Losses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00"/>
              <w:spacing w:after="0" w:line="205" w:lineRule="exact"/>
              <w:rPr>
                <w:sz w:val="20"/>
                <w:szCs w:val="20"/>
                <w:color w:val="auto"/>
              </w:rPr>
            </w:pPr>
            <w:r>
              <w:rPr>
                <w:rFonts w:ascii="Arial" w:cs="Arial" w:eastAsia="Arial" w:hAnsi="Arial"/>
                <w:sz w:val="18"/>
                <w:szCs w:val="18"/>
                <w:b w:val="1"/>
                <w:bCs w:val="1"/>
                <w:color w:val="auto"/>
                <w:w w:val="88"/>
              </w:rPr>
              <w:t>Estimated</w:t>
            </w:r>
          </w:p>
        </w:tc>
        <w:tc>
          <w:tcPr>
            <w:tcW w:w="7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spacing w:after="0" w:line="186"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6"/>
                <w:szCs w:val="16"/>
                <w:color w:val="auto"/>
              </w:rPr>
            </w:pPr>
          </w:p>
        </w:tc>
        <w:tc>
          <w:tcPr>
            <w:tcW w:w="1020" w:type="dxa"/>
            <w:vAlign w:val="bottom"/>
            <w:gridSpan w:val="3"/>
          </w:tcPr>
          <w:p>
            <w:pPr>
              <w:spacing w:after="0" w:line="186" w:lineRule="exact"/>
              <w:rPr>
                <w:sz w:val="20"/>
                <w:szCs w:val="20"/>
                <w:color w:val="auto"/>
              </w:rPr>
            </w:pPr>
            <w:r>
              <w:rPr>
                <w:rFonts w:ascii="Arial" w:cs="Arial" w:eastAsia="Arial" w:hAnsi="Arial"/>
                <w:sz w:val="18"/>
                <w:szCs w:val="18"/>
                <w:b w:val="1"/>
                <w:bCs w:val="1"/>
                <w:color w:val="auto"/>
              </w:rPr>
              <w:t>Unrealized</w:t>
            </w:r>
          </w:p>
        </w:tc>
        <w:tc>
          <w:tcPr>
            <w:tcW w:w="1160" w:type="dxa"/>
            <w:vAlign w:val="bottom"/>
            <w:tcBorders>
              <w:top w:val="single" w:sz="8" w:color="auto"/>
            </w:tcBorders>
            <w:gridSpan w:val="3"/>
          </w:tcPr>
          <w:p>
            <w:pPr>
              <w:spacing w:after="0" w:line="186" w:lineRule="exact"/>
              <w:rPr>
                <w:sz w:val="20"/>
                <w:szCs w:val="20"/>
                <w:color w:val="auto"/>
              </w:rPr>
            </w:pPr>
            <w:r>
              <w:rPr>
                <w:rFonts w:ascii="Arial" w:cs="Arial" w:eastAsia="Arial" w:hAnsi="Arial"/>
                <w:sz w:val="18"/>
                <w:szCs w:val="18"/>
                <w:b w:val="1"/>
                <w:bCs w:val="1"/>
                <w:color w:val="auto"/>
              </w:rPr>
              <w:t>Less than 12</w:t>
            </w:r>
          </w:p>
        </w:tc>
        <w:tc>
          <w:tcPr>
            <w:tcW w:w="1020" w:type="dxa"/>
            <w:vAlign w:val="bottom"/>
            <w:tcBorders>
              <w:top w:val="single" w:sz="8" w:color="auto"/>
            </w:tcBorders>
            <w:gridSpan w:val="2"/>
          </w:tcPr>
          <w:p>
            <w:pPr>
              <w:spacing w:after="0" w:line="186" w:lineRule="exact"/>
              <w:rPr>
                <w:sz w:val="20"/>
                <w:szCs w:val="20"/>
                <w:color w:val="auto"/>
              </w:rPr>
            </w:pPr>
            <w:r>
              <w:rPr>
                <w:rFonts w:ascii="Arial" w:cs="Arial" w:eastAsia="Arial" w:hAnsi="Arial"/>
                <w:sz w:val="18"/>
                <w:szCs w:val="18"/>
                <w:b w:val="1"/>
                <w:bCs w:val="1"/>
                <w:color w:val="auto"/>
                <w:w w:val="90"/>
              </w:rPr>
              <w:t>More than 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300"/>
              <w:spacing w:after="0" w:line="186" w:lineRule="exact"/>
              <w:rPr>
                <w:sz w:val="20"/>
                <w:szCs w:val="20"/>
                <w:color w:val="auto"/>
              </w:rPr>
            </w:pPr>
            <w:r>
              <w:rPr>
                <w:rFonts w:ascii="Arial" w:cs="Arial" w:eastAsia="Arial" w:hAnsi="Arial"/>
                <w:sz w:val="18"/>
                <w:szCs w:val="18"/>
                <w:b w:val="1"/>
                <w:bCs w:val="1"/>
                <w:color w:val="auto"/>
                <w:w w:val="96"/>
              </w:rPr>
              <w:t>Fair</w:t>
            </w:r>
          </w:p>
        </w:tc>
        <w:tc>
          <w:tcPr>
            <w:tcW w:w="940" w:type="dxa"/>
            <w:vAlign w:val="bottom"/>
            <w:gridSpan w:val="2"/>
          </w:tcPr>
          <w:p>
            <w:pPr>
              <w:jc w:val="center"/>
              <w:ind w:right="140"/>
              <w:spacing w:after="0" w:line="186" w:lineRule="exact"/>
              <w:rPr>
                <w:sz w:val="20"/>
                <w:szCs w:val="20"/>
                <w:color w:val="auto"/>
              </w:rPr>
            </w:pPr>
            <w:r>
              <w:rPr>
                <w:rFonts w:ascii="Arial" w:cs="Arial" w:eastAsia="Arial" w:hAnsi="Arial"/>
                <w:sz w:val="18"/>
                <w:szCs w:val="18"/>
                <w:b w:val="1"/>
                <w:bCs w:val="1"/>
                <w:color w:val="auto"/>
                <w:w w:val="88"/>
              </w:rPr>
              <w:t>Estimated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Gains</w:t>
            </w:r>
          </w:p>
        </w:tc>
        <w:tc>
          <w:tcPr>
            <w:tcW w:w="14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Months</w:t>
            </w:r>
          </w:p>
        </w:tc>
        <w:tc>
          <w:tcPr>
            <w:tcW w:w="14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Months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and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7,037,856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23,244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7,061,100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9,151,293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181,835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(11,316)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9,321,812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119,874,573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5,777,624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(16,685)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125,622,039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 (1)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26,138,633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(68,793)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(276,451)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26,231,230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360" w:type="dxa"/>
            <w:vAlign w:val="bottom"/>
          </w:tcPr>
          <w:p>
            <w:pPr>
              <w:spacing w:after="0" w:line="205" w:lineRule="exact"/>
              <w:rPr>
                <w:sz w:val="20"/>
                <w:szCs w:val="20"/>
                <w:color w:val="auto"/>
              </w:rPr>
            </w:pPr>
            <w:r>
              <w:rPr>
                <w:rFonts w:ascii="Arial" w:cs="Arial" w:eastAsia="Arial" w:hAnsi="Arial"/>
                <w:sz w:val="18"/>
                <w:szCs w:val="18"/>
                <w:color w:val="auto"/>
              </w:rPr>
              <w:t>Total</w:t>
            </w:r>
          </w:p>
        </w:tc>
        <w:tc>
          <w:tcPr>
            <w:tcW w:w="200" w:type="dxa"/>
            <w:vAlign w:val="bottom"/>
            <w:gridSpan w:val="2"/>
          </w:tcPr>
          <w:p>
            <w:pPr>
              <w:jc w:val="right"/>
              <w:spacing w:after="0" w:line="205" w:lineRule="exact"/>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w w:val="87"/>
              </w:rPr>
              <w:t>162,202,355</w:t>
            </w:r>
          </w:p>
        </w:tc>
        <w:tc>
          <w:tcPr>
            <w:tcW w:w="320" w:type="dxa"/>
            <w:vAlign w:val="bottom"/>
            <w:gridSpan w:val="2"/>
          </w:tcPr>
          <w:p>
            <w:pPr>
              <w:ind w:left="220"/>
              <w:spacing w:after="0" w:line="205"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5" w:lineRule="exact"/>
              <w:rPr>
                <w:sz w:val="20"/>
                <w:szCs w:val="20"/>
                <w:color w:val="auto"/>
              </w:rPr>
            </w:pPr>
            <w:r>
              <w:rPr>
                <w:rFonts w:ascii="Arial" w:cs="Arial" w:eastAsia="Arial" w:hAnsi="Arial"/>
                <w:sz w:val="18"/>
                <w:szCs w:val="18"/>
                <w:color w:val="auto"/>
                <w:w w:val="87"/>
              </w:rPr>
              <w:t>6,420,544</w:t>
            </w:r>
          </w:p>
        </w:tc>
        <w:tc>
          <w:tcPr>
            <w:tcW w:w="200" w:type="dxa"/>
            <w:vAlign w:val="bottom"/>
          </w:tcPr>
          <w:p>
            <w:pPr>
              <w:spacing w:after="0"/>
              <w:rPr>
                <w:sz w:val="17"/>
                <w:szCs w:val="17"/>
                <w:color w:val="auto"/>
              </w:rPr>
            </w:pPr>
          </w:p>
        </w:tc>
        <w:tc>
          <w:tcPr>
            <w:tcW w:w="140" w:type="dxa"/>
            <w:vAlign w:val="bottom"/>
          </w:tcPr>
          <w:p>
            <w:pPr>
              <w:spacing w:after="0" w:line="205"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line="204" w:lineRule="exact"/>
              <w:rPr>
                <w:sz w:val="20"/>
                <w:szCs w:val="20"/>
                <w:color w:val="auto"/>
              </w:rPr>
            </w:pPr>
            <w:r>
              <w:rPr>
                <w:rFonts w:ascii="Arial" w:cs="Arial" w:eastAsia="Arial" w:hAnsi="Arial"/>
                <w:sz w:val="13"/>
                <w:szCs w:val="13"/>
                <w:color w:val="auto"/>
              </w:rPr>
              <w:t>(96,794</w:t>
            </w:r>
            <w:r>
              <w:rPr>
                <w:rFonts w:ascii="Arial" w:cs="Arial" w:eastAsia="Arial" w:hAnsi="Arial"/>
                <w:sz w:val="23"/>
                <w:szCs w:val="23"/>
                <w:color w:val="auto"/>
                <w:vertAlign w:val="subscript"/>
              </w:rPr>
              <w:t>)</w:t>
            </w:r>
          </w:p>
        </w:tc>
        <w:tc>
          <w:tcPr>
            <w:tcW w:w="140" w:type="dxa"/>
            <w:vAlign w:val="bottom"/>
          </w:tcPr>
          <w:p>
            <w:pPr>
              <w:spacing w:after="0" w:line="205"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line="204" w:lineRule="exact"/>
              <w:rPr>
                <w:sz w:val="20"/>
                <w:szCs w:val="20"/>
                <w:color w:val="auto"/>
              </w:rPr>
            </w:pPr>
            <w:r>
              <w:rPr>
                <w:rFonts w:ascii="Arial" w:cs="Arial" w:eastAsia="Arial" w:hAnsi="Arial"/>
                <w:sz w:val="13"/>
                <w:szCs w:val="13"/>
                <w:color w:val="auto"/>
              </w:rPr>
              <w:t>(289,924</w:t>
            </w:r>
            <w:r>
              <w:rPr>
                <w:rFonts w:ascii="Arial" w:cs="Arial" w:eastAsia="Arial" w:hAnsi="Arial"/>
                <w:sz w:val="23"/>
                <w:szCs w:val="23"/>
                <w:color w:val="auto"/>
                <w:vertAlign w:val="subscript"/>
              </w:rPr>
              <w:t>)</w:t>
            </w:r>
          </w:p>
        </w:tc>
        <w:tc>
          <w:tcPr>
            <w:tcW w:w="180" w:type="dxa"/>
            <w:vAlign w:val="bottom"/>
            <w:gridSpan w:val="2"/>
          </w:tcPr>
          <w:p>
            <w:pPr>
              <w:jc w:val="right"/>
              <w:spacing w:after="0" w:line="205" w:lineRule="exact"/>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w w:val="87"/>
              </w:rPr>
              <w:t>168,236,181</w:t>
            </w:r>
          </w:p>
        </w:tc>
        <w:tc>
          <w:tcPr>
            <w:tcW w:w="200" w:type="dxa"/>
            <w:vAlign w:val="bottom"/>
          </w:tcPr>
          <w:p>
            <w:pPr>
              <w:spacing w:after="0"/>
              <w:rPr>
                <w:sz w:val="17"/>
                <w:szCs w:val="17"/>
                <w:color w:val="auto"/>
              </w:rPr>
            </w:pPr>
          </w:p>
        </w:tc>
        <w:tc>
          <w:tcPr>
            <w:tcW w:w="940" w:type="dxa"/>
            <w:vAlign w:val="bottom"/>
            <w:gridSpan w:val="2"/>
          </w:tcPr>
          <w:p>
            <w:pPr>
              <w:jc w:val="right"/>
              <w:spacing w:after="0" w:line="204" w:lineRule="exact"/>
              <w:rPr>
                <w:sz w:val="20"/>
                <w:szCs w:val="20"/>
                <w:color w:val="auto"/>
              </w:rPr>
            </w:pPr>
            <w:r>
              <w:rPr>
                <w:rFonts w:ascii="Arial" w:cs="Arial" w:eastAsia="Arial" w:hAnsi="Arial"/>
                <w:sz w:val="13"/>
                <w:szCs w:val="13"/>
                <w:color w:val="auto"/>
              </w:rPr>
              <w:t>100.0</w:t>
            </w:r>
            <w:r>
              <w:rPr>
                <w:rFonts w:ascii="Arial" w:cs="Arial" w:eastAsia="Arial" w:hAnsi="Arial"/>
                <w:sz w:val="23"/>
                <w:szCs w:val="23"/>
                <w:color w:val="auto"/>
                <w:vertAlign w:val="subscript"/>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460" w:hanging="454"/>
        <w:spacing w:after="0" w:line="25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KICO has placed certain residential mortgage backed securities as eligible collateral in a designated custodian account related to its relationship with the FHLBNY. The eligible collateral would be pledged to FHLBNY if KICO draws an advance from FHLBNY. As of December 31, 2019, the estimated fair value of the eligible investments was $7,284,000. KICO will retain all rights regarding all securities if pledged as collateral. As of December 31, 2019, there was no outstanding balance on the FHLBNY credit line.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60" w:orient="portrait"/>
          <w:cols w:equalWidth="0" w:num="1">
            <w:col w:w="11240"/>
          </w:cols>
          <w:pgMar w:left="320" w:top="140" w:right="339" w:bottom="0" w:gutter="0" w:footer="0" w:header="0"/>
        </w:sectPr>
      </w:pPr>
    </w:p>
    <w:p>
      <w:pPr>
        <w:spacing w:after="0" w:line="216" w:lineRule="exact"/>
        <w:rPr>
          <w:sz w:val="20"/>
          <w:szCs w:val="20"/>
          <w:color w:val="auto"/>
        </w:rPr>
      </w:pPr>
    </w:p>
    <w:p>
      <w:pPr>
        <w:spacing w:after="0"/>
        <w:rPr>
          <w:rFonts w:ascii="Arial" w:cs="Arial" w:eastAsia="Arial" w:hAnsi="Arial"/>
          <w:sz w:val="15"/>
          <w:szCs w:val="15"/>
          <w:i w:val="1"/>
          <w:iCs w:val="1"/>
          <w:u w:val="single" w:color="auto"/>
          <w:color w:val="0000EE"/>
        </w:rPr>
      </w:pPr>
      <w:hyperlink w:anchor="page1">
        <w:r>
          <w:rPr>
            <w:rFonts w:ascii="Arial" w:cs="Arial" w:eastAsia="Arial" w:hAnsi="Arial"/>
            <w:sz w:val="15"/>
            <w:szCs w:val="15"/>
            <w:i w:val="1"/>
            <w:iCs w:val="1"/>
            <w:u w:val="single" w:color="auto"/>
            <w:color w:val="0000EE"/>
          </w:rPr>
          <w:t>Table of Contents</w:t>
        </w:r>
      </w:hyperlink>
    </w:p>
    <w:p>
      <w:pPr>
        <w:sectPr>
          <w:pgSz w:w="11900" w:h="16860" w:orient="portrait"/>
          <w:cols w:equalWidth="0" w:num="1">
            <w:col w:w="11240"/>
          </w:cols>
          <w:pgMar w:left="320" w:top="140" w:right="339" w:bottom="0" w:gutter="0" w:footer="0" w:header="0"/>
          <w:type w:val="continuous"/>
        </w:sectPr>
      </w:pPr>
    </w:p>
    <w:bookmarkStart w:id="41" w:name="page42"/>
    <w:bookmarkEnd w:id="41"/>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Equity Securities</w:t>
      </w:r>
    </w:p>
    <w:p>
      <w:pPr>
        <w:spacing w:after="0" w:line="216" w:lineRule="exact"/>
        <w:rPr>
          <w:sz w:val="20"/>
          <w:szCs w:val="20"/>
          <w:color w:val="auto"/>
        </w:rPr>
      </w:pPr>
    </w:p>
    <w:p>
      <w:pPr>
        <w:ind w:firstLine="634"/>
        <w:spacing w:after="0" w:line="263" w:lineRule="auto"/>
        <w:rPr>
          <w:sz w:val="20"/>
          <w:szCs w:val="20"/>
          <w:color w:val="auto"/>
        </w:rPr>
      </w:pPr>
      <w:r>
        <w:rPr>
          <w:rFonts w:ascii="Arial" w:cs="Arial" w:eastAsia="Arial" w:hAnsi="Arial"/>
          <w:sz w:val="18"/>
          <w:szCs w:val="18"/>
          <w:color w:val="auto"/>
        </w:rPr>
        <w:t>The following table presents a breakdown of the cost and estimated fair value of, and gross unrealized gains and losses on, investments in equity securities as of September 30, 2020 and December 31, 2019:</w:t>
      </w:r>
    </w:p>
    <w:p>
      <w:pPr>
        <w:spacing w:after="0" w:line="174" w:lineRule="exact"/>
        <w:rPr>
          <w:sz w:val="20"/>
          <w:szCs w:val="20"/>
          <w:color w:val="auto"/>
        </w:rPr>
      </w:pPr>
    </w:p>
    <w:tbl>
      <w:tblPr>
        <w:tblLayout w:type="fixed"/>
        <w:tblInd w:w="8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7"/>
          </w:tcPr>
          <w:p>
            <w:pPr>
              <w:jc w:val="center"/>
              <w:ind w:left="612"/>
              <w:spacing w:after="0"/>
              <w:rPr>
                <w:sz w:val="20"/>
                <w:szCs w:val="20"/>
                <w:color w:val="auto"/>
              </w:rPr>
            </w:pPr>
            <w:r>
              <w:rPr>
                <w:rFonts w:ascii="Arial" w:cs="Arial" w:eastAsia="Arial" w:hAnsi="Arial"/>
                <w:sz w:val="18"/>
                <w:szCs w:val="18"/>
                <w:b w:val="1"/>
                <w:bCs w:val="1"/>
                <w:color w:val="auto"/>
                <w:w w:val="86"/>
              </w:rPr>
              <w:t>September 30, 2020</w:t>
            </w: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center"/>
              <w:ind w:right="240"/>
              <w:spacing w:after="0" w:line="187"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320"/>
              <w:spacing w:after="0" w:line="187"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6"/>
                <w:szCs w:val="16"/>
                <w:color w:val="auto"/>
              </w:rPr>
            </w:pPr>
          </w:p>
        </w:tc>
        <w:tc>
          <w:tcPr>
            <w:tcW w:w="1040" w:type="dxa"/>
            <w:vAlign w:val="bottom"/>
            <w:gridSpan w:val="2"/>
          </w:tcPr>
          <w:p>
            <w:pPr>
              <w:jc w:val="center"/>
              <w:ind w:right="280"/>
              <w:spacing w:after="0" w:line="187" w:lineRule="exact"/>
              <w:rPr>
                <w:sz w:val="20"/>
                <w:szCs w:val="20"/>
                <w:color w:val="auto"/>
              </w:rPr>
            </w:pPr>
            <w:r>
              <w:rPr>
                <w:rFonts w:ascii="Arial" w:cs="Arial" w:eastAsia="Arial" w:hAnsi="Arial"/>
                <w:sz w:val="18"/>
                <w:szCs w:val="18"/>
                <w:b w:val="1"/>
                <w:bCs w:val="1"/>
                <w:color w:val="auto"/>
                <w:w w:val="88"/>
              </w:rPr>
              <w:t>Estimated</w:t>
            </w:r>
          </w:p>
        </w:tc>
        <w:tc>
          <w:tcPr>
            <w:tcW w:w="960" w:type="dxa"/>
            <w:vAlign w:val="bottom"/>
          </w:tcPr>
          <w:p>
            <w:pPr>
              <w:jc w:val="center"/>
              <w:spacing w:after="0" w:line="187" w:lineRule="exact"/>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Unrealized</w:t>
            </w:r>
          </w:p>
        </w:tc>
        <w:tc>
          <w:tcPr>
            <w:tcW w:w="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Fair</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Estimated</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7"/>
              </w:rPr>
              <w:t>Gains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56"/>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3880" w:type="dxa"/>
            <w:vAlign w:val="bottom"/>
            <w:gridSpan w:val="3"/>
          </w:tcPr>
          <w:p>
            <w:pPr>
              <w:spacing w:after="0"/>
              <w:rPr>
                <w:sz w:val="20"/>
                <w:szCs w:val="20"/>
                <w:color w:val="auto"/>
              </w:rPr>
            </w:pPr>
            <w:r>
              <w:rPr>
                <w:rFonts w:ascii="Arial" w:cs="Arial" w:eastAsia="Arial" w:hAnsi="Arial"/>
                <w:sz w:val="18"/>
                <w:szCs w:val="18"/>
                <w:b w:val="1"/>
                <w:bCs w:val="1"/>
                <w:color w:val="auto"/>
              </w:rPr>
              <w:t>Equity Securities:</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$ 14,260,019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325,070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(339,125)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14,245,964</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60" w:type="dxa"/>
            <w:vAlign w:val="bottom"/>
            <w:gridSpan w:val="2"/>
          </w:tcPr>
          <w:p>
            <w:pPr>
              <w:spacing w:after="0" w:line="199" w:lineRule="exact"/>
              <w:rPr>
                <w:sz w:val="20"/>
                <w:szCs w:val="20"/>
                <w:color w:val="auto"/>
              </w:rPr>
            </w:pPr>
            <w:r>
              <w:rPr>
                <w:rFonts w:ascii="Arial" w:cs="Arial" w:eastAsia="Arial" w:hAnsi="Arial"/>
                <w:sz w:val="18"/>
                <w:szCs w:val="18"/>
                <w:color w:val="auto"/>
              </w:rPr>
              <w:t>Common stocks, mutual funds,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and exchange traded funds</w:t>
            </w:r>
          </w:p>
        </w:tc>
        <w:tc>
          <w:tcPr>
            <w:tcW w:w="960" w:type="dxa"/>
            <w:vAlign w:val="bottom"/>
          </w:tcPr>
          <w:p>
            <w:pPr>
              <w:jc w:val="right"/>
              <w:spacing w:after="0"/>
              <w:rPr>
                <w:sz w:val="20"/>
                <w:szCs w:val="20"/>
                <w:color w:val="auto"/>
              </w:rPr>
            </w:pPr>
            <w:r>
              <w:rPr>
                <w:rFonts w:ascii="Arial" w:cs="Arial" w:eastAsia="Arial" w:hAnsi="Arial"/>
                <w:sz w:val="18"/>
                <w:szCs w:val="18"/>
                <w:color w:val="auto"/>
              </w:rPr>
              <w:t>16,040,820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777,813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(1,441,330)</w:t>
            </w:r>
          </w:p>
        </w:tc>
        <w:tc>
          <w:tcPr>
            <w:tcW w:w="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15,377,303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386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89"/>
              </w:rPr>
              <w:t>$ 30,300,839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97"/>
              </w:rPr>
              <w:t>1,102,883</w:t>
            </w: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line="204" w:lineRule="exact"/>
              <w:rPr>
                <w:sz w:val="20"/>
                <w:szCs w:val="20"/>
                <w:color w:val="auto"/>
              </w:rPr>
            </w:pPr>
            <w:r>
              <w:rPr>
                <w:rFonts w:ascii="Arial" w:cs="Arial" w:eastAsia="Arial" w:hAnsi="Arial"/>
                <w:sz w:val="13"/>
                <w:szCs w:val="13"/>
                <w:color w:val="auto"/>
              </w:rPr>
              <w:t>(1,780,455</w:t>
            </w:r>
            <w:r>
              <w:rPr>
                <w:rFonts w:ascii="Arial" w:cs="Arial" w:eastAsia="Arial" w:hAnsi="Arial"/>
                <w:sz w:val="23"/>
                <w:szCs w:val="23"/>
                <w:color w:val="auto"/>
                <w:vertAlign w:val="subscript"/>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80"/>
              <w:spacing w:after="0" w:line="205" w:lineRule="exact"/>
              <w:rPr>
                <w:sz w:val="20"/>
                <w:szCs w:val="20"/>
                <w:color w:val="auto"/>
              </w:rPr>
            </w:pPr>
            <w:r>
              <w:rPr>
                <w:rFonts w:ascii="Arial" w:cs="Arial" w:eastAsia="Arial" w:hAnsi="Arial"/>
                <w:sz w:val="18"/>
                <w:szCs w:val="18"/>
                <w:color w:val="auto"/>
                <w:w w:val="93"/>
              </w:rPr>
              <w:t>29,623,267</w:t>
            </w:r>
          </w:p>
        </w:tc>
        <w:tc>
          <w:tcPr>
            <w:tcW w:w="11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3"/>
                <w:szCs w:val="13"/>
                <w:color w:val="auto"/>
              </w:rPr>
              <w:t>100.0</w:t>
            </w:r>
            <w:r>
              <w:rPr>
                <w:rFonts w:ascii="Arial" w:cs="Arial" w:eastAsia="Arial" w:hAnsi="Arial"/>
                <w:sz w:val="23"/>
                <w:szCs w:val="23"/>
                <w:color w:val="auto"/>
                <w:vertAlign w:val="subscript"/>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2"/>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7"/>
          </w:tcPr>
          <w:p>
            <w:pPr>
              <w:jc w:val="center"/>
              <w:ind w:left="612"/>
              <w:spacing w:after="0"/>
              <w:rPr>
                <w:sz w:val="20"/>
                <w:szCs w:val="20"/>
                <w:color w:val="auto"/>
              </w:rPr>
            </w:pPr>
            <w:r>
              <w:rPr>
                <w:rFonts w:ascii="Arial" w:cs="Arial" w:eastAsia="Arial" w:hAnsi="Arial"/>
                <w:sz w:val="18"/>
                <w:szCs w:val="18"/>
                <w:b w:val="1"/>
                <w:bCs w:val="1"/>
                <w:color w:val="auto"/>
                <w:w w:val="87"/>
              </w:rPr>
              <w:t>December 31, 2019</w:t>
            </w: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center"/>
              <w:ind w:right="240"/>
              <w:spacing w:after="0" w:line="187"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320"/>
              <w:spacing w:after="0" w:line="187"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6"/>
                <w:szCs w:val="16"/>
                <w:color w:val="auto"/>
              </w:rPr>
            </w:pPr>
          </w:p>
        </w:tc>
        <w:tc>
          <w:tcPr>
            <w:tcW w:w="1040" w:type="dxa"/>
            <w:vAlign w:val="bottom"/>
            <w:gridSpan w:val="2"/>
          </w:tcPr>
          <w:p>
            <w:pPr>
              <w:jc w:val="center"/>
              <w:ind w:right="280"/>
              <w:spacing w:after="0" w:line="187" w:lineRule="exact"/>
              <w:rPr>
                <w:sz w:val="20"/>
                <w:szCs w:val="20"/>
                <w:color w:val="auto"/>
              </w:rPr>
            </w:pPr>
            <w:r>
              <w:rPr>
                <w:rFonts w:ascii="Arial" w:cs="Arial" w:eastAsia="Arial" w:hAnsi="Arial"/>
                <w:sz w:val="18"/>
                <w:szCs w:val="18"/>
                <w:b w:val="1"/>
                <w:bCs w:val="1"/>
                <w:color w:val="auto"/>
                <w:w w:val="88"/>
              </w:rPr>
              <w:t>Estimated</w:t>
            </w:r>
          </w:p>
        </w:tc>
        <w:tc>
          <w:tcPr>
            <w:tcW w:w="960" w:type="dxa"/>
            <w:vAlign w:val="bottom"/>
          </w:tcPr>
          <w:p>
            <w:pPr>
              <w:jc w:val="center"/>
              <w:spacing w:after="0" w:line="187" w:lineRule="exact"/>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Unrealized</w:t>
            </w:r>
          </w:p>
        </w:tc>
        <w:tc>
          <w:tcPr>
            <w:tcW w:w="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Fair</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Estimated</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7"/>
              </w:rPr>
              <w:t>Gains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56"/>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388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8,374,424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339,257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8,701,887</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Common stocks, mutual funds,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exchange traded funds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14,250,244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1,982,878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(273,627)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15,959,495</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3860" w:type="dxa"/>
            <w:vAlign w:val="bottom"/>
            <w:gridSpan w:val="2"/>
          </w:tcPr>
          <w:p>
            <w:pPr>
              <w:spacing w:after="0" w:line="205" w:lineRule="exact"/>
              <w:rPr>
                <w:sz w:val="20"/>
                <w:szCs w:val="20"/>
                <w:color w:val="auto"/>
              </w:rPr>
            </w:pPr>
            <w:r>
              <w:rPr>
                <w:rFonts w:ascii="Arial" w:cs="Arial" w:eastAsia="Arial" w:hAnsi="Arial"/>
                <w:sz w:val="18"/>
                <w:szCs w:val="18"/>
                <w:color w:val="auto"/>
              </w:rPr>
              <w:t>Total</w:t>
            </w:r>
          </w:p>
        </w:tc>
        <w:tc>
          <w:tcPr>
            <w:tcW w:w="960" w:type="dxa"/>
            <w:vAlign w:val="bottom"/>
          </w:tcPr>
          <w:p>
            <w:pPr>
              <w:jc w:val="right"/>
              <w:spacing w:after="0" w:line="205" w:lineRule="exact"/>
              <w:rPr>
                <w:sz w:val="20"/>
                <w:szCs w:val="20"/>
                <w:color w:val="auto"/>
              </w:rPr>
            </w:pPr>
            <w:r>
              <w:rPr>
                <w:rFonts w:ascii="Arial" w:cs="Arial" w:eastAsia="Arial" w:hAnsi="Arial"/>
                <w:sz w:val="18"/>
                <w:szCs w:val="18"/>
                <w:color w:val="auto"/>
                <w:w w:val="89"/>
              </w:rPr>
              <w:t>$ 22,624,668</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5" w:lineRule="exact"/>
              <w:rPr>
                <w:sz w:val="20"/>
                <w:szCs w:val="20"/>
                <w:color w:val="auto"/>
              </w:rPr>
            </w:pPr>
            <w:r>
              <w:rPr>
                <w:rFonts w:ascii="Arial" w:cs="Arial" w:eastAsia="Arial" w:hAnsi="Arial"/>
                <w:sz w:val="18"/>
                <w:szCs w:val="18"/>
                <w:color w:val="auto"/>
                <w:w w:val="97"/>
              </w:rPr>
              <w:t>2,322,135</w:t>
            </w:r>
          </w:p>
        </w:tc>
        <w:tc>
          <w:tcPr>
            <w:tcW w:w="80" w:type="dxa"/>
            <w:vAlign w:val="bottom"/>
          </w:tcPr>
          <w:p>
            <w:pPr>
              <w:spacing w:after="0"/>
              <w:rPr>
                <w:sz w:val="17"/>
                <w:szCs w:val="17"/>
                <w:color w:val="auto"/>
              </w:rPr>
            </w:pPr>
          </w:p>
        </w:tc>
        <w:tc>
          <w:tcPr>
            <w:tcW w:w="24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line="204" w:lineRule="exact"/>
              <w:rPr>
                <w:sz w:val="20"/>
                <w:szCs w:val="20"/>
                <w:color w:val="auto"/>
              </w:rPr>
            </w:pPr>
            <w:r>
              <w:rPr>
                <w:rFonts w:ascii="Arial" w:cs="Arial" w:eastAsia="Arial" w:hAnsi="Arial"/>
                <w:sz w:val="13"/>
                <w:szCs w:val="13"/>
                <w:color w:val="auto"/>
              </w:rPr>
              <w:t>(285,421</w:t>
            </w:r>
            <w:r>
              <w:rPr>
                <w:rFonts w:ascii="Arial" w:cs="Arial" w:eastAsia="Arial" w:hAnsi="Arial"/>
                <w:sz w:val="23"/>
                <w:szCs w:val="23"/>
                <w:color w:val="auto"/>
                <w:vertAlign w:val="subscript"/>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80"/>
              <w:spacing w:after="0" w:line="205" w:lineRule="exact"/>
              <w:rPr>
                <w:sz w:val="20"/>
                <w:szCs w:val="20"/>
                <w:color w:val="auto"/>
              </w:rPr>
            </w:pPr>
            <w:r>
              <w:rPr>
                <w:rFonts w:ascii="Arial" w:cs="Arial" w:eastAsia="Arial" w:hAnsi="Arial"/>
                <w:sz w:val="18"/>
                <w:szCs w:val="18"/>
                <w:color w:val="auto"/>
                <w:w w:val="93"/>
              </w:rPr>
              <w:t>24,661,382</w:t>
            </w:r>
          </w:p>
        </w:tc>
        <w:tc>
          <w:tcPr>
            <w:tcW w:w="1120" w:type="dxa"/>
            <w:vAlign w:val="bottom"/>
            <w:gridSpan w:val="2"/>
          </w:tcPr>
          <w:p>
            <w:pPr>
              <w:jc w:val="right"/>
              <w:ind w:right="20"/>
              <w:spacing w:after="0" w:line="204" w:lineRule="exact"/>
              <w:rPr>
                <w:sz w:val="20"/>
                <w:szCs w:val="20"/>
                <w:color w:val="auto"/>
              </w:rPr>
            </w:pPr>
            <w:r>
              <w:rPr>
                <w:rFonts w:ascii="Arial" w:cs="Arial" w:eastAsia="Arial" w:hAnsi="Arial"/>
                <w:sz w:val="13"/>
                <w:szCs w:val="13"/>
                <w:color w:val="auto"/>
              </w:rPr>
              <w:t>100.0</w:t>
            </w:r>
            <w:r>
              <w:rPr>
                <w:rFonts w:ascii="Arial" w:cs="Arial" w:eastAsia="Arial" w:hAnsi="Arial"/>
                <w:sz w:val="23"/>
                <w:szCs w:val="23"/>
                <w:color w:val="auto"/>
                <w:vertAlign w:val="subscript"/>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Other Investments</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a breakdown of the cost and estimated fair value of, and gross unrealized gains on, our other investments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December 31, 2019: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80" w:type="dxa"/>
            <w:vAlign w:val="bottom"/>
            <w:gridSpan w:val="9"/>
          </w:tcPr>
          <w:p>
            <w:pPr>
              <w:jc w:val="center"/>
              <w:ind w:right="180"/>
              <w:spacing w:after="0"/>
              <w:rPr>
                <w:sz w:val="20"/>
                <w:szCs w:val="20"/>
                <w:color w:val="auto"/>
              </w:rPr>
            </w:pPr>
            <w:r>
              <w:rPr>
                <w:rFonts w:ascii="Arial" w:cs="Arial" w:eastAsia="Arial" w:hAnsi="Arial"/>
                <w:sz w:val="18"/>
                <w:szCs w:val="18"/>
                <w:b w:val="1"/>
                <w:bCs w:val="1"/>
                <w:color w:val="auto"/>
                <w:w w:val="88"/>
              </w:rPr>
              <w:t>September 30, 2020</w:t>
            </w:r>
          </w:p>
        </w:tc>
        <w:tc>
          <w:tcPr>
            <w:tcW w:w="288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87"/>
              </w:rPr>
              <w:t>December 31, 2019</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gridSpan w:val="2"/>
          </w:tcPr>
          <w:p>
            <w:pPr>
              <w:jc w:val="center"/>
              <w:ind w:right="280"/>
              <w:spacing w:after="0" w:line="187"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center"/>
              <w:ind w:right="220"/>
              <w:spacing w:after="0" w:line="187"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Unrealized</w:t>
            </w:r>
          </w:p>
        </w:tc>
        <w:tc>
          <w:tcPr>
            <w:tcW w:w="8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Estimated</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Unrealized</w:t>
            </w:r>
          </w:p>
        </w:tc>
        <w:tc>
          <w:tcPr>
            <w:tcW w:w="8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Estimated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80" w:type="dxa"/>
            <w:vAlign w:val="bottom"/>
          </w:tcPr>
          <w:p>
            <w:pPr>
              <w:spacing w:after="0"/>
              <w:rPr>
                <w:sz w:val="19"/>
                <w:szCs w:val="19"/>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Gains</w:t>
            </w:r>
          </w:p>
        </w:tc>
        <w:tc>
          <w:tcPr>
            <w:tcW w:w="8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4"/>
              </w:rPr>
              <w:t>Cost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Gains</w:t>
            </w:r>
          </w:p>
        </w:tc>
        <w:tc>
          <w:tcPr>
            <w:tcW w:w="8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860" w:type="dxa"/>
            <w:vAlign w:val="bottom"/>
          </w:tcPr>
          <w:p>
            <w:pPr>
              <w:spacing w:after="0"/>
              <w:rPr>
                <w:sz w:val="24"/>
                <w:szCs w:val="24"/>
                <w:color w:val="auto"/>
              </w:rPr>
            </w:pPr>
          </w:p>
        </w:tc>
        <w:tc>
          <w:tcPr>
            <w:tcW w:w="3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Other Investments:</w:t>
            </w:r>
          </w:p>
        </w:tc>
        <w:tc>
          <w:tcPr>
            <w:tcW w:w="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Hedge fund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1,999,381</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829,697</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2,829,078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1,999,381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585,532</w:t>
            </w:r>
          </w:p>
        </w:tc>
        <w:tc>
          <w:tcPr>
            <w:tcW w:w="880" w:type="dxa"/>
            <w:vAlign w:val="bottom"/>
            <w:gridSpan w:val="2"/>
            <w:shd w:val="clear" w:color="auto" w:fill="CCEEFF"/>
          </w:tcPr>
          <w:p>
            <w:pPr>
              <w:ind w:lef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2,584,913</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3580" w:type="dxa"/>
            <w:vAlign w:val="bottom"/>
          </w:tcPr>
          <w:p>
            <w:pPr>
              <w:spacing w:after="0" w:line="205" w:lineRule="exact"/>
              <w:rPr>
                <w:sz w:val="20"/>
                <w:szCs w:val="20"/>
                <w:color w:val="auto"/>
              </w:rPr>
            </w:pPr>
            <w:r>
              <w:rPr>
                <w:rFonts w:ascii="Arial" w:cs="Arial" w:eastAsia="Arial" w:hAnsi="Arial"/>
                <w:sz w:val="18"/>
                <w:szCs w:val="18"/>
                <w:color w:val="auto"/>
              </w:rPr>
              <w:t>Total</w:t>
            </w:r>
          </w:p>
        </w:tc>
        <w:tc>
          <w:tcPr>
            <w:tcW w:w="80" w:type="dxa"/>
            <w:vAlign w:val="bottom"/>
          </w:tcPr>
          <w:p>
            <w:pPr>
              <w:spacing w:after="0"/>
              <w:rPr>
                <w:sz w:val="17"/>
                <w:szCs w:val="17"/>
                <w:color w:val="auto"/>
              </w:rPr>
            </w:pPr>
          </w:p>
        </w:tc>
        <w:tc>
          <w:tcPr>
            <w:tcW w:w="820" w:type="dxa"/>
            <w:vAlign w:val="bottom"/>
          </w:tcPr>
          <w:p>
            <w:pPr>
              <w:jc w:val="center"/>
              <w:spacing w:after="0" w:line="205"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1,999,381</w:t>
            </w:r>
          </w:p>
        </w:tc>
        <w:tc>
          <w:tcPr>
            <w:tcW w:w="80" w:type="dxa"/>
            <w:vAlign w:val="bottom"/>
          </w:tcPr>
          <w:p>
            <w:pPr>
              <w:spacing w:after="0"/>
              <w:rPr>
                <w:sz w:val="17"/>
                <w:szCs w:val="17"/>
                <w:color w:val="auto"/>
              </w:rPr>
            </w:pPr>
          </w:p>
        </w:tc>
        <w:tc>
          <w:tcPr>
            <w:tcW w:w="280" w:type="dxa"/>
            <w:vAlign w:val="bottom"/>
            <w:gridSpan w:val="2"/>
          </w:tcPr>
          <w:p>
            <w:pPr>
              <w:ind w:left="100"/>
              <w:spacing w:after="0" w:line="205"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5" w:lineRule="exact"/>
              <w:rPr>
                <w:sz w:val="20"/>
                <w:szCs w:val="20"/>
                <w:color w:val="auto"/>
              </w:rPr>
            </w:pPr>
            <w:r>
              <w:rPr>
                <w:rFonts w:ascii="Arial" w:cs="Arial" w:eastAsia="Arial" w:hAnsi="Arial"/>
                <w:sz w:val="18"/>
                <w:szCs w:val="18"/>
                <w:color w:val="auto"/>
                <w:w w:val="92"/>
              </w:rPr>
              <w:t>829,697</w:t>
            </w:r>
          </w:p>
        </w:tc>
        <w:tc>
          <w:tcPr>
            <w:tcW w:w="100" w:type="dxa"/>
            <w:vAlign w:val="bottom"/>
          </w:tcPr>
          <w:p>
            <w:pPr>
              <w:spacing w:after="0"/>
              <w:rPr>
                <w:sz w:val="17"/>
                <w:szCs w:val="17"/>
                <w:color w:val="auto"/>
              </w:rPr>
            </w:pPr>
          </w:p>
        </w:tc>
        <w:tc>
          <w:tcPr>
            <w:tcW w:w="1080" w:type="dxa"/>
            <w:vAlign w:val="bottom"/>
            <w:gridSpan w:val="3"/>
          </w:tcPr>
          <w:p>
            <w:pPr>
              <w:ind w:left="80"/>
              <w:spacing w:after="0" w:line="205"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2,829,078</w:t>
            </w:r>
          </w:p>
        </w:tc>
        <w:tc>
          <w:tcPr>
            <w:tcW w:w="800" w:type="dxa"/>
            <w:vAlign w:val="bottom"/>
          </w:tcPr>
          <w:p>
            <w:pPr>
              <w:jc w:val="center"/>
              <w:spacing w:after="0" w:line="205"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1,999,381</w:t>
            </w:r>
          </w:p>
        </w:tc>
        <w:tc>
          <w:tcPr>
            <w:tcW w:w="32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585,532</w:t>
            </w:r>
          </w:p>
        </w:tc>
        <w:tc>
          <w:tcPr>
            <w:tcW w:w="880" w:type="dxa"/>
            <w:vAlign w:val="bottom"/>
            <w:gridSpan w:val="2"/>
          </w:tcPr>
          <w:p>
            <w:pPr>
              <w:ind w:left="80"/>
              <w:spacing w:after="0" w:line="205" w:lineRule="exact"/>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2,584,913</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3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33"/>
        </w:trPr>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79"/>
              </w:rPr>
              <w:t>65</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Held-to-Maturity Securities</w:t>
      </w:r>
    </w:p>
    <w:p>
      <w:pPr>
        <w:spacing w:after="0" w:line="216"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The following table presents a breakdown of the amortized cost and estimated fair value of, and gross unrealized gains and losses on, investments in held-to-maturity securities as of September 30, 2020 and December 31,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September 30, 2020</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ind w:right="32"/>
              <w:spacing w:after="0" w:line="205" w:lineRule="exact"/>
              <w:rPr>
                <w:sz w:val="20"/>
                <w:szCs w:val="20"/>
                <w:color w:val="auto"/>
              </w:rPr>
            </w:pPr>
            <w:r>
              <w:rPr>
                <w:rFonts w:ascii="Arial" w:cs="Arial" w:eastAsia="Arial" w:hAnsi="Arial"/>
                <w:sz w:val="18"/>
                <w:szCs w:val="18"/>
                <w:b w:val="1"/>
                <w:bCs w:val="1"/>
                <w:color w:val="auto"/>
                <w:w w:val="88"/>
              </w:rPr>
              <w:t>Cost or</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ind w:left="40"/>
              <w:spacing w:after="0" w:line="205" w:lineRule="exact"/>
              <w:rPr>
                <w:sz w:val="20"/>
                <w:szCs w:val="20"/>
                <w:color w:val="auto"/>
              </w:rPr>
            </w:pPr>
            <w:r>
              <w:rPr>
                <w:rFonts w:ascii="Arial" w:cs="Arial" w:eastAsia="Arial" w:hAnsi="Arial"/>
                <w:sz w:val="18"/>
                <w:szCs w:val="18"/>
                <w:b w:val="1"/>
                <w:bCs w:val="1"/>
                <w:color w:val="auto"/>
                <w:w w:val="87"/>
              </w:rPr>
              <w:t>Gross Unrealized Losses</w:t>
            </w:r>
          </w:p>
        </w:tc>
        <w:tc>
          <w:tcPr>
            <w:tcW w:w="1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center"/>
              <w:spacing w:after="0" w:line="205" w:lineRule="exact"/>
              <w:rPr>
                <w:sz w:val="20"/>
                <w:szCs w:val="20"/>
                <w:color w:val="auto"/>
              </w:rPr>
            </w:pPr>
            <w:r>
              <w:rPr>
                <w:rFonts w:ascii="Arial" w:cs="Arial" w:eastAsia="Arial" w:hAnsi="Arial"/>
                <w:sz w:val="18"/>
                <w:szCs w:val="18"/>
                <w:b w:val="1"/>
                <w:bCs w:val="1"/>
                <w:color w:val="auto"/>
                <w:w w:val="88"/>
              </w:rPr>
              <w:t>Estimated</w:t>
            </w:r>
          </w:p>
        </w:tc>
        <w:tc>
          <w:tcPr>
            <w:tcW w:w="200" w:type="dxa"/>
            <w:vAlign w:val="bottom"/>
          </w:tcPr>
          <w:p>
            <w:pPr>
              <w:spacing w:after="0"/>
              <w:rPr>
                <w:sz w:val="17"/>
                <w:szCs w:val="17"/>
                <w:color w:val="auto"/>
              </w:rPr>
            </w:pPr>
          </w:p>
        </w:tc>
        <w:tc>
          <w:tcPr>
            <w:tcW w:w="7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spacing w:after="0" w:line="186" w:lineRule="exact"/>
              <w:rPr>
                <w:sz w:val="20"/>
                <w:szCs w:val="20"/>
                <w:color w:val="auto"/>
              </w:rPr>
            </w:pPr>
            <w:r>
              <w:rPr>
                <w:rFonts w:ascii="Arial" w:cs="Arial" w:eastAsia="Arial" w:hAnsi="Arial"/>
                <w:sz w:val="18"/>
                <w:szCs w:val="18"/>
                <w:b w:val="1"/>
                <w:bCs w:val="1"/>
                <w:color w:val="auto"/>
                <w:w w:val="90"/>
              </w:rPr>
              <w:t>Amortized</w:t>
            </w:r>
          </w:p>
        </w:tc>
        <w:tc>
          <w:tcPr>
            <w:tcW w:w="1220" w:type="dxa"/>
            <w:vAlign w:val="bottom"/>
            <w:gridSpan w:val="4"/>
          </w:tcPr>
          <w:p>
            <w:pPr>
              <w:ind w:left="200"/>
              <w:spacing w:after="0" w:line="186" w:lineRule="exact"/>
              <w:rPr>
                <w:sz w:val="20"/>
                <w:szCs w:val="20"/>
                <w:color w:val="auto"/>
              </w:rPr>
            </w:pPr>
            <w:r>
              <w:rPr>
                <w:rFonts w:ascii="Arial" w:cs="Arial" w:eastAsia="Arial" w:hAnsi="Arial"/>
                <w:sz w:val="18"/>
                <w:szCs w:val="18"/>
                <w:b w:val="1"/>
                <w:bCs w:val="1"/>
                <w:color w:val="auto"/>
              </w:rPr>
              <w:t>Unrealized</w:t>
            </w:r>
          </w:p>
        </w:tc>
        <w:tc>
          <w:tcPr>
            <w:tcW w:w="1140" w:type="dxa"/>
            <w:vAlign w:val="bottom"/>
            <w:gridSpan w:val="3"/>
          </w:tcPr>
          <w:p>
            <w:pPr>
              <w:spacing w:after="0" w:line="186" w:lineRule="exact"/>
              <w:rPr>
                <w:sz w:val="20"/>
                <w:szCs w:val="20"/>
                <w:color w:val="auto"/>
              </w:rPr>
            </w:pPr>
            <w:r>
              <w:rPr>
                <w:rFonts w:ascii="Arial" w:cs="Arial" w:eastAsia="Arial" w:hAnsi="Arial"/>
                <w:sz w:val="18"/>
                <w:szCs w:val="18"/>
                <w:b w:val="1"/>
                <w:bCs w:val="1"/>
                <w:color w:val="auto"/>
              </w:rPr>
              <w:t>Less than 12</w:t>
            </w:r>
          </w:p>
        </w:tc>
        <w:tc>
          <w:tcPr>
            <w:tcW w:w="1020" w:type="dxa"/>
            <w:vAlign w:val="bottom"/>
            <w:gridSpan w:val="2"/>
          </w:tcPr>
          <w:p>
            <w:pPr>
              <w:spacing w:after="0" w:line="186" w:lineRule="exact"/>
              <w:rPr>
                <w:sz w:val="20"/>
                <w:szCs w:val="20"/>
                <w:color w:val="auto"/>
              </w:rPr>
            </w:pPr>
            <w:r>
              <w:rPr>
                <w:rFonts w:ascii="Arial" w:cs="Arial" w:eastAsia="Arial" w:hAnsi="Arial"/>
                <w:sz w:val="18"/>
                <w:szCs w:val="18"/>
                <w:b w:val="1"/>
                <w:bCs w:val="1"/>
                <w:color w:val="auto"/>
                <w:w w:val="90"/>
              </w:rPr>
              <w:t>More than 12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32"/>
              <w:spacing w:after="0" w:line="186" w:lineRule="exact"/>
              <w:rPr>
                <w:sz w:val="20"/>
                <w:szCs w:val="20"/>
                <w:color w:val="auto"/>
              </w:rPr>
            </w:pPr>
            <w:r>
              <w:rPr>
                <w:rFonts w:ascii="Arial" w:cs="Arial" w:eastAsia="Arial" w:hAnsi="Arial"/>
                <w:sz w:val="18"/>
                <w:szCs w:val="18"/>
                <w:b w:val="1"/>
                <w:bCs w:val="1"/>
                <w:color w:val="auto"/>
                <w:w w:val="96"/>
              </w:rPr>
              <w:t>Fair</w:t>
            </w:r>
          </w:p>
        </w:tc>
        <w:tc>
          <w:tcPr>
            <w:tcW w:w="200" w:type="dxa"/>
            <w:vAlign w:val="bottom"/>
          </w:tcPr>
          <w:p>
            <w:pPr>
              <w:spacing w:after="0"/>
              <w:rPr>
                <w:sz w:val="16"/>
                <w:szCs w:val="16"/>
                <w:color w:val="auto"/>
              </w:rPr>
            </w:pPr>
          </w:p>
        </w:tc>
        <w:tc>
          <w:tcPr>
            <w:tcW w:w="940" w:type="dxa"/>
            <w:vAlign w:val="bottom"/>
            <w:gridSpan w:val="2"/>
          </w:tcPr>
          <w:p>
            <w:pPr>
              <w:jc w:val="center"/>
              <w:ind w:right="140"/>
              <w:spacing w:after="0" w:line="186" w:lineRule="exact"/>
              <w:rPr>
                <w:sz w:val="20"/>
                <w:szCs w:val="20"/>
                <w:color w:val="auto"/>
              </w:rPr>
            </w:pPr>
            <w:r>
              <w:rPr>
                <w:rFonts w:ascii="Arial" w:cs="Arial" w:eastAsia="Arial" w:hAnsi="Arial"/>
                <w:sz w:val="18"/>
                <w:szCs w:val="18"/>
                <w:b w:val="1"/>
                <w:bCs w:val="1"/>
                <w:color w:val="auto"/>
                <w:w w:val="88"/>
              </w:rPr>
              <w:t>Estimated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229"/>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19"/>
                <w:szCs w:val="19"/>
                <w:color w:val="auto"/>
              </w:rPr>
            </w:pPr>
          </w:p>
        </w:tc>
        <w:tc>
          <w:tcPr>
            <w:tcW w:w="72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Cost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Gains</w:t>
            </w:r>
          </w:p>
        </w:tc>
        <w:tc>
          <w:tcPr>
            <w:tcW w:w="120" w:type="dxa"/>
            <w:vAlign w:val="bottom"/>
          </w:tcPr>
          <w:p>
            <w:pPr>
              <w:spacing w:after="0"/>
              <w:rPr>
                <w:sz w:val="19"/>
                <w:szCs w:val="19"/>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Months</w:t>
            </w:r>
          </w:p>
        </w:tc>
        <w:tc>
          <w:tcPr>
            <w:tcW w:w="920" w:type="dxa"/>
            <w:vAlign w:val="bottom"/>
          </w:tcPr>
          <w:p>
            <w:pPr>
              <w:ind w:left="220"/>
              <w:spacing w:after="0"/>
              <w:rPr>
                <w:sz w:val="20"/>
                <w:szCs w:val="20"/>
                <w:color w:val="auto"/>
              </w:rPr>
            </w:pPr>
            <w:r>
              <w:rPr>
                <w:rFonts w:ascii="Arial" w:cs="Arial" w:eastAsia="Arial" w:hAnsi="Arial"/>
                <w:sz w:val="18"/>
                <w:szCs w:val="18"/>
                <w:b w:val="1"/>
                <w:bCs w:val="1"/>
                <w:color w:val="auto"/>
              </w:rPr>
              <w:t>Months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Pr>
          <w:p>
            <w:pPr>
              <w:spacing w:after="0"/>
              <w:rPr>
                <w:sz w:val="19"/>
                <w:szCs w:val="19"/>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729,583</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162,442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892,025</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Territories and Possessions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998,480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56,700</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1,055,180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Corporate and other bonds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5,641,545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334,412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(23,858)</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5,952,099</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7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gridSpan w:val="2"/>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gridSpan w:val="2"/>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$ 7,369,608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553,554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40"/>
              <w:spacing w:after="0" w:line="211" w:lineRule="exact"/>
              <w:rPr>
                <w:sz w:val="20"/>
                <w:szCs w:val="20"/>
                <w:color w:val="auto"/>
              </w:rPr>
            </w:pPr>
            <w:r>
              <w:rPr>
                <w:rFonts w:ascii="Arial" w:cs="Arial" w:eastAsia="Arial" w:hAnsi="Arial"/>
                <w:sz w:val="14"/>
                <w:szCs w:val="14"/>
                <w:color w:val="auto"/>
              </w:rPr>
              <w:t>(23,858</w:t>
            </w:r>
            <w:r>
              <w:rPr>
                <w:rFonts w:ascii="Arial" w:cs="Arial" w:eastAsia="Arial" w:hAnsi="Arial"/>
                <w:sz w:val="24"/>
                <w:szCs w:val="24"/>
                <w:color w:val="auto"/>
                <w:vertAlign w:val="subscript"/>
              </w:rPr>
              <w:t>)</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$ 7,899,304</w:t>
            </w:r>
          </w:p>
        </w:tc>
        <w:tc>
          <w:tcPr>
            <w:tcW w:w="1140" w:type="dxa"/>
            <w:vAlign w:val="bottom"/>
            <w:gridSpan w:val="3"/>
            <w:shd w:val="clear" w:color="auto" w:fill="CCEEFF"/>
          </w:tcPr>
          <w:p>
            <w:pPr>
              <w:jc w:val="right"/>
              <w:spacing w:after="0" w:line="211" w:lineRule="exact"/>
              <w:rPr>
                <w:sz w:val="20"/>
                <w:szCs w:val="20"/>
                <w:color w:val="auto"/>
              </w:rPr>
            </w:pPr>
            <w:r>
              <w:rPr>
                <w:rFonts w:ascii="Arial" w:cs="Arial" w:eastAsia="Arial" w:hAnsi="Arial"/>
                <w:sz w:val="14"/>
                <w:szCs w:val="14"/>
                <w:color w:val="auto"/>
              </w:rPr>
              <w:t>100.0</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7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2"/>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December 31, 2019</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ind w:right="32"/>
              <w:spacing w:after="0" w:line="205" w:lineRule="exact"/>
              <w:rPr>
                <w:sz w:val="20"/>
                <w:szCs w:val="20"/>
                <w:color w:val="auto"/>
              </w:rPr>
            </w:pPr>
            <w:r>
              <w:rPr>
                <w:rFonts w:ascii="Arial" w:cs="Arial" w:eastAsia="Arial" w:hAnsi="Arial"/>
                <w:sz w:val="18"/>
                <w:szCs w:val="18"/>
                <w:b w:val="1"/>
                <w:bCs w:val="1"/>
                <w:color w:val="auto"/>
                <w:w w:val="88"/>
              </w:rPr>
              <w:t>Cost or</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ind w:left="40"/>
              <w:spacing w:after="0" w:line="205" w:lineRule="exact"/>
              <w:rPr>
                <w:sz w:val="20"/>
                <w:szCs w:val="20"/>
                <w:color w:val="auto"/>
              </w:rPr>
            </w:pPr>
            <w:r>
              <w:rPr>
                <w:rFonts w:ascii="Arial" w:cs="Arial" w:eastAsia="Arial" w:hAnsi="Arial"/>
                <w:sz w:val="18"/>
                <w:szCs w:val="18"/>
                <w:b w:val="1"/>
                <w:bCs w:val="1"/>
                <w:color w:val="auto"/>
                <w:w w:val="87"/>
              </w:rPr>
              <w:t>Gross Unrealized Losses</w:t>
            </w:r>
          </w:p>
        </w:tc>
        <w:tc>
          <w:tcPr>
            <w:tcW w:w="1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center"/>
              <w:spacing w:after="0" w:line="205" w:lineRule="exact"/>
              <w:rPr>
                <w:sz w:val="20"/>
                <w:szCs w:val="20"/>
                <w:color w:val="auto"/>
              </w:rPr>
            </w:pPr>
            <w:r>
              <w:rPr>
                <w:rFonts w:ascii="Arial" w:cs="Arial" w:eastAsia="Arial" w:hAnsi="Arial"/>
                <w:sz w:val="18"/>
                <w:szCs w:val="18"/>
                <w:b w:val="1"/>
                <w:bCs w:val="1"/>
                <w:color w:val="auto"/>
                <w:w w:val="88"/>
              </w:rPr>
              <w:t>Estimated</w:t>
            </w:r>
          </w:p>
        </w:tc>
        <w:tc>
          <w:tcPr>
            <w:tcW w:w="200" w:type="dxa"/>
            <w:vAlign w:val="bottom"/>
          </w:tcPr>
          <w:p>
            <w:pPr>
              <w:spacing w:after="0"/>
              <w:rPr>
                <w:sz w:val="17"/>
                <w:szCs w:val="17"/>
                <w:color w:val="auto"/>
              </w:rPr>
            </w:pPr>
          </w:p>
        </w:tc>
        <w:tc>
          <w:tcPr>
            <w:tcW w:w="7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spacing w:after="0" w:line="186" w:lineRule="exact"/>
              <w:rPr>
                <w:sz w:val="20"/>
                <w:szCs w:val="20"/>
                <w:color w:val="auto"/>
              </w:rPr>
            </w:pPr>
            <w:r>
              <w:rPr>
                <w:rFonts w:ascii="Arial" w:cs="Arial" w:eastAsia="Arial" w:hAnsi="Arial"/>
                <w:sz w:val="18"/>
                <w:szCs w:val="18"/>
                <w:b w:val="1"/>
                <w:bCs w:val="1"/>
                <w:color w:val="auto"/>
                <w:w w:val="90"/>
              </w:rPr>
              <w:t>Amortized</w:t>
            </w:r>
          </w:p>
        </w:tc>
        <w:tc>
          <w:tcPr>
            <w:tcW w:w="1220" w:type="dxa"/>
            <w:vAlign w:val="bottom"/>
            <w:gridSpan w:val="4"/>
          </w:tcPr>
          <w:p>
            <w:pPr>
              <w:ind w:left="200"/>
              <w:spacing w:after="0" w:line="186" w:lineRule="exact"/>
              <w:rPr>
                <w:sz w:val="20"/>
                <w:szCs w:val="20"/>
                <w:color w:val="auto"/>
              </w:rPr>
            </w:pPr>
            <w:r>
              <w:rPr>
                <w:rFonts w:ascii="Arial" w:cs="Arial" w:eastAsia="Arial" w:hAnsi="Arial"/>
                <w:sz w:val="18"/>
                <w:szCs w:val="18"/>
                <w:b w:val="1"/>
                <w:bCs w:val="1"/>
                <w:color w:val="auto"/>
              </w:rPr>
              <w:t>Unrealized</w:t>
            </w:r>
          </w:p>
        </w:tc>
        <w:tc>
          <w:tcPr>
            <w:tcW w:w="1140" w:type="dxa"/>
            <w:vAlign w:val="bottom"/>
            <w:gridSpan w:val="3"/>
          </w:tcPr>
          <w:p>
            <w:pPr>
              <w:spacing w:after="0" w:line="186" w:lineRule="exact"/>
              <w:rPr>
                <w:sz w:val="20"/>
                <w:szCs w:val="20"/>
                <w:color w:val="auto"/>
              </w:rPr>
            </w:pPr>
            <w:r>
              <w:rPr>
                <w:rFonts w:ascii="Arial" w:cs="Arial" w:eastAsia="Arial" w:hAnsi="Arial"/>
                <w:sz w:val="18"/>
                <w:szCs w:val="18"/>
                <w:b w:val="1"/>
                <w:bCs w:val="1"/>
                <w:color w:val="auto"/>
              </w:rPr>
              <w:t>Less than 12</w:t>
            </w:r>
          </w:p>
        </w:tc>
        <w:tc>
          <w:tcPr>
            <w:tcW w:w="1020" w:type="dxa"/>
            <w:vAlign w:val="bottom"/>
            <w:gridSpan w:val="2"/>
          </w:tcPr>
          <w:p>
            <w:pPr>
              <w:spacing w:after="0" w:line="186" w:lineRule="exact"/>
              <w:rPr>
                <w:sz w:val="20"/>
                <w:szCs w:val="20"/>
                <w:color w:val="auto"/>
              </w:rPr>
            </w:pPr>
            <w:r>
              <w:rPr>
                <w:rFonts w:ascii="Arial" w:cs="Arial" w:eastAsia="Arial" w:hAnsi="Arial"/>
                <w:sz w:val="18"/>
                <w:szCs w:val="18"/>
                <w:b w:val="1"/>
                <w:bCs w:val="1"/>
                <w:color w:val="auto"/>
                <w:w w:val="90"/>
              </w:rPr>
              <w:t>More than 12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32"/>
              <w:spacing w:after="0" w:line="186" w:lineRule="exact"/>
              <w:rPr>
                <w:sz w:val="20"/>
                <w:szCs w:val="20"/>
                <w:color w:val="auto"/>
              </w:rPr>
            </w:pPr>
            <w:r>
              <w:rPr>
                <w:rFonts w:ascii="Arial" w:cs="Arial" w:eastAsia="Arial" w:hAnsi="Arial"/>
                <w:sz w:val="18"/>
                <w:szCs w:val="18"/>
                <w:b w:val="1"/>
                <w:bCs w:val="1"/>
                <w:color w:val="auto"/>
                <w:w w:val="96"/>
              </w:rPr>
              <w:t>Fair</w:t>
            </w:r>
          </w:p>
        </w:tc>
        <w:tc>
          <w:tcPr>
            <w:tcW w:w="200" w:type="dxa"/>
            <w:vAlign w:val="bottom"/>
          </w:tcPr>
          <w:p>
            <w:pPr>
              <w:spacing w:after="0"/>
              <w:rPr>
                <w:sz w:val="16"/>
                <w:szCs w:val="16"/>
                <w:color w:val="auto"/>
              </w:rPr>
            </w:pPr>
          </w:p>
        </w:tc>
        <w:tc>
          <w:tcPr>
            <w:tcW w:w="940" w:type="dxa"/>
            <w:vAlign w:val="bottom"/>
            <w:gridSpan w:val="2"/>
          </w:tcPr>
          <w:p>
            <w:pPr>
              <w:jc w:val="center"/>
              <w:ind w:right="140"/>
              <w:spacing w:after="0" w:line="186" w:lineRule="exact"/>
              <w:rPr>
                <w:sz w:val="20"/>
                <w:szCs w:val="20"/>
                <w:color w:val="auto"/>
              </w:rPr>
            </w:pPr>
            <w:r>
              <w:rPr>
                <w:rFonts w:ascii="Arial" w:cs="Arial" w:eastAsia="Arial" w:hAnsi="Arial"/>
                <w:sz w:val="18"/>
                <w:szCs w:val="18"/>
                <w:b w:val="1"/>
                <w:bCs w:val="1"/>
                <w:color w:val="auto"/>
                <w:w w:val="88"/>
              </w:rPr>
              <w:t>Estimated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229"/>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19"/>
                <w:szCs w:val="19"/>
                <w:color w:val="auto"/>
              </w:rPr>
            </w:pPr>
          </w:p>
        </w:tc>
        <w:tc>
          <w:tcPr>
            <w:tcW w:w="72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Cost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Gains</w:t>
            </w:r>
          </w:p>
        </w:tc>
        <w:tc>
          <w:tcPr>
            <w:tcW w:w="120" w:type="dxa"/>
            <w:vAlign w:val="bottom"/>
          </w:tcPr>
          <w:p>
            <w:pPr>
              <w:spacing w:after="0"/>
              <w:rPr>
                <w:sz w:val="19"/>
                <w:szCs w:val="19"/>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Months</w:t>
            </w:r>
          </w:p>
        </w:tc>
        <w:tc>
          <w:tcPr>
            <w:tcW w:w="920" w:type="dxa"/>
            <w:vAlign w:val="bottom"/>
          </w:tcPr>
          <w:p>
            <w:pPr>
              <w:ind w:left="220"/>
              <w:spacing w:after="0"/>
              <w:rPr>
                <w:sz w:val="20"/>
                <w:szCs w:val="20"/>
                <w:color w:val="auto"/>
              </w:rPr>
            </w:pPr>
            <w:r>
              <w:rPr>
                <w:rFonts w:ascii="Arial" w:cs="Arial" w:eastAsia="Arial" w:hAnsi="Arial"/>
                <w:sz w:val="18"/>
                <w:szCs w:val="18"/>
                <w:b w:val="1"/>
                <w:bCs w:val="1"/>
                <w:color w:val="auto"/>
              </w:rPr>
              <w:t>Months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Pr>
          <w:p>
            <w:pPr>
              <w:spacing w:after="0"/>
              <w:rPr>
                <w:sz w:val="19"/>
                <w:szCs w:val="19"/>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729,550</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151,002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880,552</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338" w:right="339" w:bottom="0" w:gutter="0" w:footer="0" w:header="0"/>
        </w:sectPr>
      </w:pPr>
    </w:p>
    <w:bookmarkStart w:id="42" w:name="page43"/>
    <w:bookmarkEnd w:id="42"/>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 States,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Territories and Possessions</w:t>
            </w:r>
          </w:p>
        </w:tc>
        <w:tc>
          <w:tcPr>
            <w:tcW w:w="820" w:type="dxa"/>
            <w:vAlign w:val="bottom"/>
          </w:tcPr>
          <w:p>
            <w:pPr>
              <w:jc w:val="right"/>
              <w:spacing w:after="0"/>
              <w:rPr>
                <w:sz w:val="20"/>
                <w:szCs w:val="20"/>
                <w:color w:val="auto"/>
              </w:rPr>
            </w:pPr>
            <w:r>
              <w:rPr>
                <w:rFonts w:ascii="Arial" w:cs="Arial" w:eastAsia="Arial" w:hAnsi="Arial"/>
                <w:sz w:val="18"/>
                <w:szCs w:val="18"/>
                <w:color w:val="auto"/>
              </w:rPr>
              <w:t>998,619</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51,021</w:t>
            </w:r>
          </w:p>
        </w:tc>
        <w:tc>
          <w:tcPr>
            <w:tcW w:w="3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1,049,640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Corporate and other bonds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2,097,783</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97,627</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2,194,575</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84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$ 3,825,952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  299,650</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jc w:val="right"/>
              <w:ind w:right="440"/>
              <w:spacing w:after="0" w:line="211" w:lineRule="exact"/>
              <w:rPr>
                <w:sz w:val="20"/>
                <w:szCs w:val="20"/>
                <w:color w:val="auto"/>
              </w:rPr>
            </w:pPr>
            <w:r>
              <w:rPr>
                <w:rFonts w:ascii="Arial" w:cs="Arial" w:eastAsia="Arial" w:hAnsi="Arial"/>
                <w:sz w:val="14"/>
                <w:szCs w:val="14"/>
                <w:color w:val="auto"/>
              </w:rPr>
              <w:t>(835</w:t>
            </w:r>
            <w:r>
              <w:rPr>
                <w:rFonts w:ascii="Arial" w:cs="Arial" w:eastAsia="Arial" w:hAnsi="Arial"/>
                <w:sz w:val="24"/>
                <w:szCs w:val="24"/>
                <w:color w:val="auto"/>
                <w:vertAlign w:val="subscript"/>
              </w:rPr>
              <w:t>)</w:t>
            </w:r>
            <w:r>
              <w:rPr>
                <w:rFonts w:ascii="Arial" w:cs="Arial" w:eastAsia="Arial" w:hAnsi="Arial"/>
                <w:sz w:val="14"/>
                <w:szCs w:val="14"/>
                <w:color w:val="auto"/>
              </w:rPr>
              <w:t xml:space="preserve">  $</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$ 4,124,767</w:t>
            </w:r>
          </w:p>
        </w:tc>
        <w:tc>
          <w:tcPr>
            <w:tcW w:w="1140" w:type="dxa"/>
            <w:vAlign w:val="bottom"/>
            <w:gridSpan w:val="3"/>
            <w:shd w:val="clear" w:color="auto" w:fill="CCEEFF"/>
          </w:tcPr>
          <w:p>
            <w:pPr>
              <w:jc w:val="right"/>
              <w:spacing w:after="0" w:line="211" w:lineRule="exact"/>
              <w:rPr>
                <w:sz w:val="20"/>
                <w:szCs w:val="20"/>
                <w:color w:val="auto"/>
              </w:rPr>
            </w:pPr>
            <w:r>
              <w:rPr>
                <w:rFonts w:ascii="Arial" w:cs="Arial" w:eastAsia="Arial" w:hAnsi="Arial"/>
                <w:sz w:val="14"/>
                <w:szCs w:val="14"/>
                <w:color w:val="auto"/>
              </w:rPr>
              <w:t>100.0</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840" w:type="dxa"/>
            <w:vAlign w:val="bottom"/>
            <w:shd w:val="clear" w:color="auto" w:fill="CCEEFF"/>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Held-to-maturity U.S. Treasury securities are held in trust pursuant to various states’ minimum fund requirements.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 summary of the amortized cost and fair value of our investments in held-to-maturity securities by contractual maturity as of September 30, 2020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is shown below:</w:t>
      </w:r>
    </w:p>
    <w:p>
      <w:pPr>
        <w:spacing w:after="0" w:line="198" w:lineRule="exact"/>
        <w:rPr>
          <w:sz w:val="20"/>
          <w:szCs w:val="20"/>
          <w:color w:val="auto"/>
        </w:rPr>
      </w:pPr>
    </w:p>
    <w:tbl>
      <w:tblPr>
        <w:tblLayout w:type="fixed"/>
        <w:tblInd w:w="8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5"/>
          </w:tcPr>
          <w:p>
            <w:pPr>
              <w:ind w:left="140"/>
              <w:spacing w:after="0"/>
              <w:rPr>
                <w:sz w:val="20"/>
                <w:szCs w:val="20"/>
                <w:color w:val="auto"/>
              </w:rPr>
            </w:pPr>
            <w:r>
              <w:rPr>
                <w:rFonts w:ascii="Arial" w:cs="Arial" w:eastAsia="Arial" w:hAnsi="Arial"/>
                <w:sz w:val="18"/>
                <w:szCs w:val="18"/>
                <w:b w:val="1"/>
                <w:bCs w:val="1"/>
                <w:color w:val="auto"/>
              </w:rPr>
              <w:t>September 30, 2020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7"/>
              </w:rPr>
              <w:t>December 31, 2019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gridSpan w:val="2"/>
          </w:tcPr>
          <w:p>
            <w:pPr>
              <w:jc w:val="right"/>
              <w:spacing w:after="0" w:line="187" w:lineRule="exact"/>
              <w:rPr>
                <w:sz w:val="20"/>
                <w:szCs w:val="20"/>
                <w:color w:val="auto"/>
              </w:rPr>
            </w:pPr>
            <w:r>
              <w:rPr>
                <w:rFonts w:ascii="Arial" w:cs="Arial" w:eastAsia="Arial" w:hAnsi="Arial"/>
                <w:sz w:val="18"/>
                <w:szCs w:val="18"/>
                <w:b w:val="1"/>
                <w:bCs w:val="1"/>
                <w:color w:val="auto"/>
                <w:w w:val="97"/>
              </w:rPr>
              <w:t>Amortized</w:t>
            </w: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2"/>
              <w:spacing w:after="0" w:line="187" w:lineRule="exact"/>
              <w:rPr>
                <w:sz w:val="20"/>
                <w:szCs w:val="20"/>
                <w:color w:val="auto"/>
              </w:rPr>
            </w:pPr>
            <w:r>
              <w:rPr>
                <w:rFonts w:ascii="Arial" w:cs="Arial" w:eastAsia="Arial" w:hAnsi="Arial"/>
                <w:sz w:val="18"/>
                <w:szCs w:val="18"/>
                <w:b w:val="1"/>
                <w:bCs w:val="1"/>
                <w:color w:val="auto"/>
                <w:w w:val="85"/>
              </w:rPr>
              <w:t>Estimated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gridSpan w:val="3"/>
          </w:tcPr>
          <w:p>
            <w:pPr>
              <w:jc w:val="right"/>
              <w:ind w:right="260"/>
              <w:spacing w:after="0" w:line="187" w:lineRule="exact"/>
              <w:rPr>
                <w:sz w:val="20"/>
                <w:szCs w:val="20"/>
                <w:color w:val="auto"/>
              </w:rPr>
            </w:pPr>
            <w:r>
              <w:rPr>
                <w:rFonts w:ascii="Arial" w:cs="Arial" w:eastAsia="Arial" w:hAnsi="Arial"/>
                <w:sz w:val="18"/>
                <w:szCs w:val="18"/>
                <w:b w:val="1"/>
                <w:bCs w:val="1"/>
                <w:color w:val="auto"/>
                <w:w w:val="97"/>
              </w:rPr>
              <w:t>Amortized</w:t>
            </w: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b w:val="1"/>
                <w:bCs w:val="1"/>
                <w:color w:val="auto"/>
                <w:w w:val="88"/>
              </w:rPr>
              <w:t>Estimated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Remaining Time to Maturity</w:t>
            </w:r>
          </w:p>
        </w:tc>
        <w:tc>
          <w:tcPr>
            <w:tcW w:w="180" w:type="dxa"/>
            <w:vAlign w:val="bottom"/>
          </w:tcPr>
          <w:p>
            <w:pPr>
              <w:spacing w:after="0"/>
              <w:rPr>
                <w:sz w:val="19"/>
                <w:szCs w:val="19"/>
                <w:color w:val="auto"/>
              </w:rPr>
            </w:pPr>
          </w:p>
        </w:tc>
        <w:tc>
          <w:tcPr>
            <w:tcW w:w="780" w:type="dxa"/>
            <w:vAlign w:val="bottom"/>
          </w:tcPr>
          <w:p>
            <w:pPr>
              <w:ind w:left="14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19"/>
                <w:szCs w:val="19"/>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Cost</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499,165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One to five years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2,597,739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2,793,089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2,099,268</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2,215,640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to ten years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1,499,837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1,710,586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620,134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655,923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More than 10 years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3,272,032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3,395,629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606,550</w:t>
            </w: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754,039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506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94"/>
              </w:rPr>
              <w:t>7,369,608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7,899,304</w:t>
            </w: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w w:val="94"/>
              </w:rPr>
              <w:t>3,825,952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4,124,767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Credit Rating of Fixed-Maturity Securities</w:t>
      </w:r>
    </w:p>
    <w:p>
      <w:pPr>
        <w:spacing w:after="0" w:line="216" w:lineRule="exact"/>
        <w:rPr>
          <w:sz w:val="20"/>
          <w:szCs w:val="20"/>
          <w:color w:val="auto"/>
        </w:rPr>
      </w:pPr>
    </w:p>
    <w:p>
      <w:pPr>
        <w:ind w:firstLine="634"/>
        <w:spacing w:after="0" w:line="263" w:lineRule="auto"/>
        <w:rPr>
          <w:sz w:val="20"/>
          <w:szCs w:val="20"/>
          <w:color w:val="auto"/>
        </w:rPr>
      </w:pPr>
      <w:r>
        <w:rPr>
          <w:rFonts w:ascii="Arial" w:cs="Arial" w:eastAsia="Arial" w:hAnsi="Arial"/>
          <w:sz w:val="18"/>
          <w:szCs w:val="18"/>
          <w:color w:val="auto"/>
        </w:rPr>
        <w:t>The table below summarizes the credit quality of our available-for-sale fixed-maturity securities as of September 30, 2020 and December 31, 2019 as rated by Standard &amp; Poor’s (or, if unavailable from Standard &amp; Poor’s, then Moody’s or Fitch):</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September 30, 2020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87" w:lineRule="exact"/>
              <w:rPr>
                <w:sz w:val="20"/>
                <w:szCs w:val="20"/>
                <w:color w:val="auto"/>
              </w:rPr>
            </w:pPr>
            <w:r>
              <w:rPr>
                <w:rFonts w:ascii="Arial" w:cs="Arial" w:eastAsia="Arial" w:hAnsi="Arial"/>
                <w:sz w:val="18"/>
                <w:szCs w:val="18"/>
                <w:b w:val="1"/>
                <w:bCs w:val="1"/>
                <w:color w:val="auto"/>
                <w:w w:val="88"/>
              </w:rPr>
              <w:t>Estimated</w:t>
            </w:r>
          </w:p>
        </w:tc>
        <w:tc>
          <w:tcPr>
            <w:tcW w:w="112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85"/>
              </w:rPr>
              <w:t>Percentage of</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40"/>
              <w:spacing w:after="0" w:line="187" w:lineRule="exact"/>
              <w:rPr>
                <w:sz w:val="20"/>
                <w:szCs w:val="20"/>
                <w:color w:val="auto"/>
              </w:rPr>
            </w:pPr>
            <w:r>
              <w:rPr>
                <w:rFonts w:ascii="Arial" w:cs="Arial" w:eastAsia="Arial" w:hAnsi="Arial"/>
                <w:sz w:val="18"/>
                <w:szCs w:val="18"/>
                <w:b w:val="1"/>
                <w:bCs w:val="1"/>
                <w:color w:val="auto"/>
                <w:w w:val="90"/>
              </w:rPr>
              <w:t>Estimated</w:t>
            </w:r>
          </w:p>
        </w:tc>
        <w:tc>
          <w:tcPr>
            <w:tcW w:w="110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85"/>
              </w:rPr>
              <w:t>Percentage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Fair</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Fair</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Rating</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3,069,330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7,061,100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50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municipal bonds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AAA</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1,428,866</w:t>
            </w:r>
          </w:p>
        </w:tc>
        <w:tc>
          <w:tcPr>
            <w:tcW w:w="2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1,996,676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AA</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3,871,079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8,809,480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A</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25,614,616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34,636,236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BBB</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98,202,271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89,501,460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tcPr>
          <w:p>
            <w:pPr>
              <w:ind w:left="380"/>
              <w:spacing w:after="0" w:line="205" w:lineRule="exact"/>
              <w:rPr>
                <w:sz w:val="20"/>
                <w:szCs w:val="20"/>
                <w:color w:val="auto"/>
              </w:rPr>
            </w:pPr>
            <w:r>
              <w:rPr>
                <w:rFonts w:ascii="Arial" w:cs="Arial" w:eastAsia="Arial" w:hAnsi="Arial"/>
                <w:sz w:val="18"/>
                <w:szCs w:val="18"/>
                <w:color w:val="auto"/>
              </w:rPr>
              <w:t>Total corporate and municipal bonds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w w:val="95"/>
              </w:rPr>
              <w:t>129,116,832</w:t>
            </w:r>
          </w:p>
        </w:tc>
        <w:tc>
          <w:tcPr>
            <w:tcW w:w="12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82.5%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w w:val="95"/>
              </w:rPr>
              <w:t>134,943,852</w:t>
            </w:r>
          </w:p>
        </w:tc>
        <w:tc>
          <w:tcPr>
            <w:tcW w:w="12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Residential mortgage backed securities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AAA</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5,423,422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2,976,306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AA</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14,526,160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18,440,382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2,402,063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2,471,761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BBB</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52,899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CCC</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986,888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1,174,273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CC</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58,271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86,461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15,917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17,813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170,272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215,015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 rated</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716,535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849,218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tcPr>
          <w:p>
            <w:pPr>
              <w:ind w:left="380"/>
              <w:spacing w:after="0" w:line="205" w:lineRule="exact"/>
              <w:rPr>
                <w:sz w:val="20"/>
                <w:szCs w:val="20"/>
                <w:color w:val="auto"/>
              </w:rPr>
            </w:pPr>
            <w:r>
              <w:rPr>
                <w:rFonts w:ascii="Arial" w:cs="Arial" w:eastAsia="Arial" w:hAnsi="Arial"/>
                <w:sz w:val="18"/>
                <w:szCs w:val="18"/>
                <w:color w:val="auto"/>
              </w:rPr>
              <w:t>Total residential mortgage backed securities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24,352,427</w:t>
            </w:r>
          </w:p>
        </w:tc>
        <w:tc>
          <w:tcPr>
            <w:tcW w:w="12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15.5%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26,231,229</w:t>
            </w:r>
          </w:p>
        </w:tc>
        <w:tc>
          <w:tcPr>
            <w:tcW w:w="12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0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156,538,589</w:t>
            </w:r>
          </w:p>
        </w:tc>
        <w:tc>
          <w:tcPr>
            <w:tcW w:w="220" w:type="dxa"/>
            <w:vAlign w:val="bottom"/>
          </w:tcPr>
          <w:p>
            <w:pPr>
              <w:spacing w:after="0"/>
              <w:rPr>
                <w:sz w:val="20"/>
                <w:szCs w:val="20"/>
                <w:color w:val="auto"/>
              </w:rPr>
            </w:pPr>
          </w:p>
        </w:tc>
        <w:tc>
          <w:tcPr>
            <w:tcW w:w="1260" w:type="dxa"/>
            <w:vAlign w:val="bottom"/>
            <w:gridSpan w:val="2"/>
          </w:tcPr>
          <w:p>
            <w:pPr>
              <w:jc w:val="right"/>
              <w:spacing w:after="0" w:line="211" w:lineRule="exact"/>
              <w:rPr>
                <w:sz w:val="20"/>
                <w:szCs w:val="20"/>
                <w:color w:val="auto"/>
              </w:rPr>
            </w:pPr>
            <w:r>
              <w:rPr>
                <w:rFonts w:ascii="Arial" w:cs="Arial" w:eastAsia="Arial" w:hAnsi="Arial"/>
                <w:sz w:val="14"/>
                <w:szCs w:val="14"/>
                <w:color w:val="auto"/>
              </w:rPr>
              <w:t>100.0</w:t>
            </w:r>
            <w:r>
              <w:rPr>
                <w:rFonts w:ascii="Arial" w:cs="Arial" w:eastAsia="Arial" w:hAnsi="Arial"/>
                <w:sz w:val="24"/>
                <w:szCs w:val="24"/>
                <w:color w:val="auto"/>
                <w:vertAlign w:val="subscript"/>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168,236,181</w:t>
            </w:r>
          </w:p>
        </w:tc>
        <w:tc>
          <w:tcPr>
            <w:tcW w:w="1260" w:type="dxa"/>
            <w:vAlign w:val="bottom"/>
            <w:gridSpan w:val="2"/>
          </w:tcPr>
          <w:p>
            <w:pPr>
              <w:jc w:val="right"/>
              <w:spacing w:after="0" w:line="211" w:lineRule="exact"/>
              <w:rPr>
                <w:sz w:val="20"/>
                <w:szCs w:val="20"/>
                <w:color w:val="auto"/>
              </w:rPr>
            </w:pPr>
            <w:r>
              <w:rPr>
                <w:rFonts w:ascii="Arial" w:cs="Arial" w:eastAsia="Arial" w:hAnsi="Arial"/>
                <w:sz w:val="14"/>
                <w:szCs w:val="14"/>
                <w:color w:val="auto"/>
              </w:rPr>
              <w:t>100.0</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633"/>
        </w:trPr>
        <w:tc>
          <w:tcPr>
            <w:tcW w:w="20" w:type="dxa"/>
            <w:vAlign w:val="bottom"/>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4520" w:type="dxa"/>
            <w:vAlign w:val="bottom"/>
            <w:gridSpan w:val="2"/>
          </w:tcPr>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summarizes the average yield by type of fixed-maturity security as of September 30, 2020 and December 31, 2019:</w:t>
      </w:r>
    </w:p>
    <w:p>
      <w:pPr>
        <w:spacing w:after="0" w:line="210" w:lineRule="exact"/>
        <w:rPr>
          <w:sz w:val="20"/>
          <w:szCs w:val="20"/>
          <w:color w:val="auto"/>
        </w:rPr>
      </w:pPr>
    </w:p>
    <w:tbl>
      <w:tblPr>
        <w:tblLayout w:type="fixed"/>
        <w:tblInd w:w="8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September</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December</w:t>
            </w:r>
          </w:p>
        </w:tc>
      </w:tr>
      <w:tr>
        <w:trPr>
          <w:trHeight w:val="211"/>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04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b w:val="1"/>
                <w:bCs w:val="1"/>
                <w:color w:val="auto"/>
              </w:rPr>
              <w:t>31,</w:t>
            </w:r>
          </w:p>
        </w:tc>
        <w:tc>
          <w:tcPr>
            <w:tcW w:w="160" w:type="dxa"/>
            <w:vAlign w:val="bottom"/>
          </w:tcPr>
          <w:p>
            <w:pPr>
              <w:spacing w:after="0"/>
              <w:rPr>
                <w:sz w:val="18"/>
                <w:szCs w:val="18"/>
                <w:color w:val="auto"/>
              </w:rPr>
            </w:pPr>
          </w:p>
        </w:tc>
      </w:tr>
      <w:tr>
        <w:trPr>
          <w:trHeight w:val="229"/>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104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960" w:type="dxa"/>
            <w:vAlign w:val="bottom"/>
          </w:tcPr>
          <w:p>
            <w:pPr>
              <w:jc w:val="right"/>
              <w:ind w:right="212"/>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7120" w:type="dxa"/>
            <w:vAlign w:val="bottom"/>
            <w:tcBorders>
              <w:top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U.S. Treasury securities and</w:t>
            </w:r>
          </w:p>
        </w:tc>
        <w:tc>
          <w:tcPr>
            <w:tcW w:w="8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corporations and agencies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r>
    </w:tbl>
    <w:p>
      <w:pPr>
        <w:spacing w:after="0" w:line="19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Political subdivisions of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-123190</wp:posOffset>
            </wp:positionV>
            <wp:extent cx="6062345" cy="143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62345" cy="143510"/>
                    </a:xfrm>
                    <a:prstGeom prst="rect">
                      <a:avLst/>
                    </a:prstGeom>
                    <a:noFill/>
                  </pic:spPr>
                </pic:pic>
              </a:graphicData>
            </a:graphic>
          </wp:anchor>
        </w:drawing>
      </w:r>
    </w:p>
    <w:p>
      <w:pPr>
        <w:sectPr>
          <w:pgSz w:w="11900" w:h="16868" w:orient="portrait"/>
          <w:cols w:equalWidth="0" w:num="1">
            <w:col w:w="11240"/>
          </w:cols>
          <w:pgMar w:left="320" w:top="140" w:right="339" w:bottom="0" w:gutter="0" w:footer="0" w:header="0"/>
        </w:sectPr>
      </w:pPr>
    </w:p>
    <w:bookmarkStart w:id="43" w:name="page44"/>
    <w:bookmarkEnd w:id="43"/>
    <w:tbl>
      <w:tblPr>
        <w:tblLayout w:type="fixed"/>
        <w:tblInd w:w="8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Territories and Possessions</w:t>
            </w:r>
          </w:p>
        </w:tc>
        <w:tc>
          <w:tcPr>
            <w:tcW w:w="15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3.07%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bonds</w:t>
            </w:r>
          </w:p>
        </w:tc>
        <w:tc>
          <w:tcPr>
            <w:tcW w:w="1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Industrial and miscellaneous</w:t>
            </w:r>
          </w:p>
        </w:tc>
        <w:tc>
          <w:tcPr>
            <w:tcW w:w="15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3.56%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backed securities</w:t>
            </w:r>
          </w:p>
        </w:tc>
        <w:tc>
          <w:tcPr>
            <w:tcW w:w="15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1.64%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3.23%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table below lists the weighted average maturity and effective duration in years on our fixed-maturity securities as of September 30, 2020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198" w:lineRule="exact"/>
        <w:rPr>
          <w:sz w:val="20"/>
          <w:szCs w:val="20"/>
          <w:color w:val="auto"/>
        </w:rPr>
      </w:pPr>
    </w:p>
    <w:tbl>
      <w:tblPr>
        <w:tblLayout w:type="fixed"/>
        <w:tblInd w:w="8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September</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December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30, 2020</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31, 2019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Weighted average effective maturity</w:t>
            </w:r>
          </w:p>
        </w:tc>
        <w:tc>
          <w:tcPr>
            <w:tcW w:w="114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5.3</w:t>
            </w:r>
          </w:p>
        </w:tc>
        <w:tc>
          <w:tcPr>
            <w:tcW w:w="104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final maturity</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Effective duration</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Fair Value Consideration</w:t>
      </w:r>
    </w:p>
    <w:p>
      <w:pPr>
        <w:spacing w:after="0" w:line="216" w:lineRule="exact"/>
        <w:rPr>
          <w:sz w:val="20"/>
          <w:szCs w:val="20"/>
          <w:color w:val="auto"/>
        </w:rPr>
      </w:pPr>
    </w:p>
    <w:p>
      <w:pPr>
        <w:jc w:val="both"/>
        <w:ind w:firstLine="634"/>
        <w:spacing w:after="0" w:line="264"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September 30, 2020 and December 31, 2019, 83% and 80%, respectively, of the investment portfolio recorded at fair value was priced based upon quoted market prices.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ind w:right="200" w:firstLine="594"/>
        <w:spacing w:after="0" w:line="263" w:lineRule="auto"/>
        <w:rPr>
          <w:sz w:val="20"/>
          <w:szCs w:val="20"/>
          <w:color w:val="auto"/>
        </w:rPr>
      </w:pPr>
      <w:r>
        <w:rPr>
          <w:rFonts w:ascii="Arial" w:cs="Arial" w:eastAsia="Arial" w:hAnsi="Arial"/>
          <w:sz w:val="18"/>
          <w:szCs w:val="18"/>
          <w:color w:val="auto"/>
        </w:rPr>
        <w:t>The table below summarizes the gross unrealized losses of our fixed-maturity securities available-for-sale and equity securities by length of time the security has continuously been in an unrealized loss position as of September 30, 2020 and December 31,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9"/>
          </w:tcPr>
          <w:p>
            <w:pPr>
              <w:ind w:left="80"/>
              <w:spacing w:after="0"/>
              <w:rPr>
                <w:sz w:val="20"/>
                <w:szCs w:val="20"/>
                <w:color w:val="auto"/>
              </w:rPr>
            </w:pPr>
            <w:r>
              <w:rPr>
                <w:rFonts w:ascii="Arial" w:cs="Arial" w:eastAsia="Arial" w:hAnsi="Arial"/>
                <w:sz w:val="18"/>
                <w:szCs w:val="18"/>
                <w:b w:val="1"/>
                <w:bCs w:val="1"/>
                <w:color w:val="auto"/>
              </w:rPr>
              <w:t>September 30, 2020</w:t>
            </w:r>
          </w:p>
        </w:tc>
        <w:tc>
          <w:tcPr>
            <w:tcW w:w="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gridSpan w:val="13"/>
          </w:tcPr>
          <w:p>
            <w:pPr>
              <w:ind w:left="560"/>
              <w:spacing w:after="0" w:line="205" w:lineRule="exact"/>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13"/>
          </w:tcPr>
          <w:p>
            <w:pPr>
              <w:jc w:val="center"/>
              <w:ind w:right="240"/>
              <w:spacing w:after="0" w:line="205" w:lineRule="exact"/>
              <w:rPr>
                <w:sz w:val="20"/>
                <w:szCs w:val="20"/>
                <w:color w:val="auto"/>
              </w:rPr>
            </w:pPr>
            <w:r>
              <w:rPr>
                <w:rFonts w:ascii="Arial" w:cs="Arial" w:eastAsia="Arial" w:hAnsi="Arial"/>
                <w:sz w:val="18"/>
                <w:szCs w:val="18"/>
                <w:b w:val="1"/>
                <w:bCs w:val="1"/>
                <w:color w:val="auto"/>
                <w:w w:val="87"/>
              </w:rPr>
              <w:t>12 months or more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ind w:left="620"/>
              <w:spacing w:after="0" w:line="205" w:lineRule="exact"/>
              <w:rPr>
                <w:sz w:val="20"/>
                <w:szCs w:val="20"/>
                <w:color w:val="auto"/>
              </w:rPr>
            </w:pPr>
            <w:r>
              <w:rPr>
                <w:rFonts w:ascii="Arial" w:cs="Arial" w:eastAsia="Arial" w:hAnsi="Arial"/>
                <w:sz w:val="18"/>
                <w:szCs w:val="18"/>
                <w:b w:val="1"/>
                <w:bCs w:val="1"/>
                <w:color w:val="auto"/>
                <w:w w:val="97"/>
              </w:rPr>
              <w:t>Total</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gridSpan w:val="4"/>
          </w:tcPr>
          <w:p>
            <w:pPr>
              <w:jc w:val="center"/>
              <w:ind w:right="40"/>
              <w:spacing w:after="0" w:line="186" w:lineRule="exact"/>
              <w:rPr>
                <w:sz w:val="20"/>
                <w:szCs w:val="20"/>
                <w:color w:val="auto"/>
              </w:rPr>
            </w:pPr>
            <w:r>
              <w:rPr>
                <w:rFonts w:ascii="Arial" w:cs="Arial" w:eastAsia="Arial" w:hAnsi="Arial"/>
                <w:sz w:val="18"/>
                <w:szCs w:val="18"/>
                <w:b w:val="1"/>
                <w:bCs w:val="1"/>
                <w:color w:val="auto"/>
                <w:w w:val="88"/>
              </w:rPr>
              <w:t>Estimated</w:t>
            </w: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center"/>
              <w:ind w:right="20"/>
              <w:spacing w:after="0" w:line="186" w:lineRule="exact"/>
              <w:rPr>
                <w:sz w:val="20"/>
                <w:szCs w:val="20"/>
                <w:color w:val="auto"/>
              </w:rPr>
            </w:pPr>
            <w:r>
              <w:rPr>
                <w:rFonts w:ascii="Arial" w:cs="Arial" w:eastAsia="Arial" w:hAnsi="Arial"/>
                <w:sz w:val="18"/>
                <w:szCs w:val="18"/>
                <w:b w:val="1"/>
                <w:bCs w:val="1"/>
                <w:color w:val="auto"/>
                <w:w w:val="86"/>
              </w:rPr>
              <w:t>No. of</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top w:val="single" w:sz="8" w:color="auto"/>
            </w:tcBorders>
            <w:gridSpan w:val="3"/>
          </w:tcPr>
          <w:p>
            <w:pPr>
              <w:jc w:val="center"/>
              <w:spacing w:after="0" w:line="186" w:lineRule="exact"/>
              <w:rPr>
                <w:sz w:val="20"/>
                <w:szCs w:val="20"/>
                <w:color w:val="auto"/>
              </w:rPr>
            </w:pPr>
            <w:r>
              <w:rPr>
                <w:rFonts w:ascii="Arial" w:cs="Arial" w:eastAsia="Arial" w:hAnsi="Arial"/>
                <w:sz w:val="18"/>
                <w:szCs w:val="18"/>
                <w:b w:val="1"/>
                <w:bCs w:val="1"/>
                <w:color w:val="auto"/>
                <w:w w:val="88"/>
              </w:rPr>
              <w:t>Estimated</w:t>
            </w: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center"/>
              <w:ind w:right="20"/>
              <w:spacing w:after="0" w:line="186" w:lineRule="exact"/>
              <w:rPr>
                <w:sz w:val="20"/>
                <w:szCs w:val="20"/>
                <w:color w:val="auto"/>
              </w:rPr>
            </w:pPr>
            <w:r>
              <w:rPr>
                <w:rFonts w:ascii="Arial" w:cs="Arial" w:eastAsia="Arial" w:hAnsi="Arial"/>
                <w:sz w:val="18"/>
                <w:szCs w:val="18"/>
                <w:b w:val="1"/>
                <w:bCs w:val="1"/>
                <w:color w:val="auto"/>
                <w:w w:val="86"/>
              </w:rPr>
              <w:t>No. of</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top w:val="single" w:sz="8" w:color="auto"/>
            </w:tcBorders>
            <w:gridSpan w:val="2"/>
          </w:tcPr>
          <w:p>
            <w:pPr>
              <w:jc w:val="center"/>
              <w:spacing w:after="0" w:line="186" w:lineRule="exact"/>
              <w:rPr>
                <w:sz w:val="20"/>
                <w:szCs w:val="20"/>
                <w:color w:val="auto"/>
              </w:rPr>
            </w:pPr>
            <w:r>
              <w:rPr>
                <w:rFonts w:ascii="Arial" w:cs="Arial" w:eastAsia="Arial" w:hAnsi="Arial"/>
                <w:sz w:val="18"/>
                <w:szCs w:val="18"/>
                <w:b w:val="1"/>
                <w:bCs w:val="1"/>
                <w:color w:val="auto"/>
                <w:w w:val="90"/>
              </w:rPr>
              <w:t>Estimated</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6"/>
              </w:rPr>
              <w:t>Fair</w:t>
            </w:r>
          </w:p>
        </w:tc>
        <w:tc>
          <w:tcPr>
            <w:tcW w:w="160" w:type="dxa"/>
            <w:vAlign w:val="bottom"/>
          </w:tcPr>
          <w:p>
            <w:pPr>
              <w:spacing w:after="0"/>
              <w:rPr>
                <w:sz w:val="18"/>
                <w:szCs w:val="18"/>
                <w:color w:val="auto"/>
              </w:rPr>
            </w:pPr>
          </w:p>
        </w:tc>
        <w:tc>
          <w:tcPr>
            <w:tcW w:w="880" w:type="dxa"/>
            <w:vAlign w:val="bottom"/>
            <w:gridSpan w:val="5"/>
          </w:tcPr>
          <w:p>
            <w:pPr>
              <w:spacing w:after="0"/>
              <w:rPr>
                <w:sz w:val="20"/>
                <w:szCs w:val="20"/>
                <w:color w:val="auto"/>
              </w:rPr>
            </w:pPr>
            <w:r>
              <w:rPr>
                <w:rFonts w:ascii="Arial" w:cs="Arial" w:eastAsia="Arial" w:hAnsi="Arial"/>
                <w:sz w:val="18"/>
                <w:szCs w:val="18"/>
                <w:b w:val="1"/>
                <w:bCs w:val="1"/>
                <w:color w:val="auto"/>
                <w:w w:val="94"/>
              </w:rPr>
              <w:t>Unrealized</w:t>
            </w:r>
          </w:p>
        </w:tc>
        <w:tc>
          <w:tcPr>
            <w:tcW w:w="140" w:type="dxa"/>
            <w:vAlign w:val="bottom"/>
          </w:tcPr>
          <w:p>
            <w:pPr>
              <w:spacing w:after="0"/>
              <w:rPr>
                <w:sz w:val="18"/>
                <w:szCs w:val="18"/>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3"/>
              </w:rPr>
              <w:t>Positions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Fair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5"/>
          </w:tcPr>
          <w:p>
            <w:pPr>
              <w:spacing w:after="0"/>
              <w:rPr>
                <w:sz w:val="20"/>
                <w:szCs w:val="20"/>
                <w:color w:val="auto"/>
              </w:rPr>
            </w:pPr>
            <w:r>
              <w:rPr>
                <w:rFonts w:ascii="Arial" w:cs="Arial" w:eastAsia="Arial" w:hAnsi="Arial"/>
                <w:sz w:val="18"/>
                <w:szCs w:val="18"/>
                <w:b w:val="1"/>
                <w:bCs w:val="1"/>
                <w:color w:val="auto"/>
              </w:rPr>
              <w:t>Unrealized</w:t>
            </w:r>
          </w:p>
        </w:tc>
        <w:tc>
          <w:tcPr>
            <w:tcW w:w="40" w:type="dxa"/>
            <w:vAlign w:val="bottom"/>
          </w:tcPr>
          <w:p>
            <w:pPr>
              <w:spacing w:after="0"/>
              <w:rPr>
                <w:sz w:val="18"/>
                <w:szCs w:val="18"/>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3"/>
              </w:rPr>
              <w:t>Positions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12"/>
              <w:spacing w:after="0"/>
              <w:rPr>
                <w:sz w:val="20"/>
                <w:szCs w:val="20"/>
                <w:color w:val="auto"/>
              </w:rPr>
            </w:pPr>
            <w:r>
              <w:rPr>
                <w:rFonts w:ascii="Arial" w:cs="Arial" w:eastAsia="Arial" w:hAnsi="Arial"/>
                <w:sz w:val="18"/>
                <w:szCs w:val="18"/>
                <w:b w:val="1"/>
                <w:bCs w:val="1"/>
                <w:color w:val="auto"/>
              </w:rPr>
              <w:t>Fair</w:t>
            </w:r>
          </w:p>
        </w:tc>
        <w:tc>
          <w:tcPr>
            <w:tcW w:w="1120" w:type="dxa"/>
            <w:vAlign w:val="bottom"/>
            <w:gridSpan w:val="4"/>
          </w:tcPr>
          <w:p>
            <w:pPr>
              <w:ind w:left="220"/>
              <w:spacing w:after="0"/>
              <w:rPr>
                <w:sz w:val="20"/>
                <w:szCs w:val="20"/>
                <w:color w:val="auto"/>
              </w:rPr>
            </w:pPr>
            <w:r>
              <w:rPr>
                <w:rFonts w:ascii="Arial" w:cs="Arial" w:eastAsia="Arial" w:hAnsi="Arial"/>
                <w:sz w:val="18"/>
                <w:szCs w:val="18"/>
                <w:b w:val="1"/>
                <w:bCs w:val="1"/>
                <w:color w:val="auto"/>
                <w:w w:val="96"/>
              </w:rPr>
              <w:t>Unrealized</w:t>
            </w:r>
          </w:p>
        </w:tc>
        <w:tc>
          <w:tcPr>
            <w:tcW w:w="0" w:type="dxa"/>
            <w:vAlign w:val="bottom"/>
          </w:tcPr>
          <w:p>
            <w:pPr>
              <w:spacing w:after="0"/>
              <w:rPr>
                <w:sz w:val="1"/>
                <w:szCs w:val="1"/>
                <w:color w:val="auto"/>
              </w:rPr>
            </w:pPr>
          </w:p>
        </w:tc>
      </w:tr>
      <w:tr>
        <w:trPr>
          <w:trHeight w:val="229"/>
        </w:trPr>
        <w:tc>
          <w:tcPr>
            <w:tcW w:w="2980" w:type="dxa"/>
            <w:vAlign w:val="bottom"/>
            <w:gridSpan w:val="3"/>
          </w:tcPr>
          <w:p>
            <w:pPr>
              <w:spacing w:after="0"/>
              <w:rPr>
                <w:sz w:val="20"/>
                <w:szCs w:val="20"/>
                <w:color w:val="auto"/>
              </w:rPr>
            </w:pPr>
            <w:r>
              <w:rPr>
                <w:rFonts w:ascii="Arial" w:cs="Arial" w:eastAsia="Arial" w:hAnsi="Arial"/>
                <w:sz w:val="18"/>
                <w:szCs w:val="18"/>
                <w:b w:val="1"/>
                <w:bCs w:val="1"/>
                <w:color w:val="auto"/>
              </w:rPr>
              <w:t>Category</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19"/>
                <w:szCs w:val="19"/>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Held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77"/>
              </w:rPr>
              <w:t>Losses</w:t>
            </w:r>
          </w:p>
        </w:tc>
        <w:tc>
          <w:tcPr>
            <w:tcW w:w="40" w:type="dxa"/>
            <w:vAlign w:val="bottom"/>
          </w:tcPr>
          <w:p>
            <w:pPr>
              <w:spacing w:after="0"/>
              <w:rPr>
                <w:sz w:val="19"/>
                <w:szCs w:val="19"/>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Held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8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Fixed-Maturity Securities: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obligations of U.S.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corporations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agencies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Political subdivisions of</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Possessions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522,450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(1,654)</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4,003,377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(38,491)</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5,020,026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(147,253)</w:t>
            </w:r>
          </w:p>
        </w:tc>
        <w:tc>
          <w:tcPr>
            <w:tcW w:w="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9,023,403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(185,744)</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fixed-maturity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4,525,827</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60" w:type="dxa"/>
            <w:vAlign w:val="bottom"/>
            <w:gridSpan w:val="4"/>
            <w:shd w:val="clear" w:color="auto" w:fill="CCEEFF"/>
          </w:tcPr>
          <w:p>
            <w:pPr>
              <w:jc w:val="right"/>
              <w:ind w:right="20"/>
              <w:spacing w:after="0" w:line="211" w:lineRule="exact"/>
              <w:rPr>
                <w:sz w:val="20"/>
                <w:szCs w:val="20"/>
                <w:color w:val="auto"/>
              </w:rPr>
            </w:pPr>
            <w:r>
              <w:rPr>
                <w:rFonts w:ascii="Arial" w:cs="Arial" w:eastAsia="Arial" w:hAnsi="Arial"/>
                <w:sz w:val="14"/>
                <w:szCs w:val="14"/>
                <w:color w:val="auto"/>
              </w:rPr>
              <w:t>(40,145</w:t>
            </w:r>
            <w:r>
              <w:rPr>
                <w:rFonts w:ascii="Arial" w:cs="Arial" w:eastAsia="Arial" w:hAnsi="Arial"/>
                <w:sz w:val="24"/>
                <w:szCs w:val="24"/>
                <w:color w:val="auto"/>
                <w:vertAlign w:val="subscript"/>
              </w:rPr>
              <w:t>)</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5,020,026</w:t>
            </w:r>
          </w:p>
        </w:tc>
        <w:tc>
          <w:tcPr>
            <w:tcW w:w="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ind w:right="80"/>
              <w:spacing w:after="0" w:line="211" w:lineRule="exact"/>
              <w:rPr>
                <w:sz w:val="20"/>
                <w:szCs w:val="20"/>
                <w:color w:val="auto"/>
              </w:rPr>
            </w:pPr>
            <w:r>
              <w:rPr>
                <w:rFonts w:ascii="Arial" w:cs="Arial" w:eastAsia="Arial" w:hAnsi="Arial"/>
                <w:sz w:val="14"/>
                <w:szCs w:val="14"/>
                <w:color w:val="auto"/>
              </w:rPr>
              <w:t>(147,253</w:t>
            </w:r>
            <w:r>
              <w:rPr>
                <w:rFonts w:ascii="Arial" w:cs="Arial" w:eastAsia="Arial" w:hAnsi="Arial"/>
                <w:sz w:val="24"/>
                <w:szCs w:val="24"/>
                <w:color w:val="auto"/>
                <w:vertAlign w:val="subscript"/>
              </w:rPr>
              <w:t>)</w:t>
            </w:r>
          </w:p>
        </w:tc>
        <w:tc>
          <w:tcPr>
            <w:tcW w:w="40" w:type="dxa"/>
            <w:vAlign w:val="bottom"/>
            <w:shd w:val="clear" w:color="auto" w:fill="CCEEFF"/>
          </w:tcPr>
          <w:p>
            <w:pPr>
              <w:spacing w:after="0"/>
              <w:rPr>
                <w:sz w:val="20"/>
                <w:szCs w:val="20"/>
                <w:color w:val="auto"/>
              </w:rPr>
            </w:pP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9,545,853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line="211" w:lineRule="exact"/>
              <w:rPr>
                <w:sz w:val="20"/>
                <w:szCs w:val="20"/>
                <w:color w:val="auto"/>
              </w:rPr>
            </w:pPr>
            <w:r>
              <w:rPr>
                <w:rFonts w:ascii="Arial" w:cs="Arial" w:eastAsia="Arial" w:hAnsi="Arial"/>
                <w:sz w:val="14"/>
                <w:szCs w:val="14"/>
                <w:color w:val="auto"/>
              </w:rPr>
              <w:t>(187,398</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633"/>
        </w:trPr>
        <w:tc>
          <w:tcPr>
            <w:tcW w:w="20" w:type="dxa"/>
            <w:vAlign w:val="bottom"/>
          </w:tcPr>
          <w:p>
            <w:pPr>
              <w:spacing w:after="0"/>
              <w:rPr>
                <w:sz w:val="24"/>
                <w:szCs w:val="24"/>
                <w:color w:val="auto"/>
              </w:rPr>
            </w:pPr>
          </w:p>
        </w:tc>
        <w:tc>
          <w:tcPr>
            <w:tcW w:w="28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69</w:t>
            </w:r>
          </w:p>
        </w:tc>
        <w:tc>
          <w:tcPr>
            <w:tcW w:w="1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980" w:type="dxa"/>
            <w:vAlign w:val="bottom"/>
            <w:gridSpan w:val="3"/>
          </w:tcPr>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9"/>
          </w:tcPr>
          <w:p>
            <w:pPr>
              <w:spacing w:after="0"/>
              <w:rPr>
                <w:sz w:val="20"/>
                <w:szCs w:val="20"/>
                <w:color w:val="auto"/>
              </w:rPr>
            </w:pPr>
            <w:r>
              <w:rPr>
                <w:rFonts w:ascii="Arial" w:cs="Arial" w:eastAsia="Arial" w:hAnsi="Arial"/>
                <w:sz w:val="18"/>
                <w:szCs w:val="18"/>
                <w:b w:val="1"/>
                <w:bCs w:val="1"/>
                <w:color w:val="auto"/>
              </w:rPr>
              <w:t>December 31, 2019</w:t>
            </w: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gridSpan w:val="13"/>
          </w:tcPr>
          <w:p>
            <w:pPr>
              <w:ind w:left="360"/>
              <w:spacing w:after="0" w:line="205" w:lineRule="exact"/>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9"/>
          </w:tcPr>
          <w:p>
            <w:pPr>
              <w:ind w:left="480"/>
              <w:spacing w:after="0" w:line="205" w:lineRule="exact"/>
              <w:rPr>
                <w:sz w:val="20"/>
                <w:szCs w:val="20"/>
                <w:color w:val="auto"/>
              </w:rPr>
            </w:pPr>
            <w:r>
              <w:rPr>
                <w:rFonts w:ascii="Arial" w:cs="Arial" w:eastAsia="Arial" w:hAnsi="Arial"/>
                <w:sz w:val="18"/>
                <w:szCs w:val="18"/>
                <w:b w:val="1"/>
                <w:bCs w:val="1"/>
                <w:color w:val="auto"/>
                <w:w w:val="87"/>
              </w:rPr>
              <w:t>12 months or more</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ind w:left="580"/>
              <w:spacing w:after="0" w:line="205" w:lineRule="exact"/>
              <w:rPr>
                <w:sz w:val="20"/>
                <w:szCs w:val="20"/>
                <w:color w:val="auto"/>
              </w:rPr>
            </w:pPr>
            <w:r>
              <w:rPr>
                <w:rFonts w:ascii="Arial" w:cs="Arial" w:eastAsia="Arial" w:hAnsi="Arial"/>
                <w:sz w:val="18"/>
                <w:szCs w:val="18"/>
                <w:b w:val="1"/>
                <w:bCs w:val="1"/>
                <w:color w:val="auto"/>
              </w:rPr>
              <w:t>Total</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gridSpan w:val="6"/>
          </w:tcPr>
          <w:p>
            <w:pPr>
              <w:jc w:val="right"/>
              <w:ind w:right="280"/>
              <w:spacing w:after="0" w:line="186" w:lineRule="exact"/>
              <w:rPr>
                <w:sz w:val="20"/>
                <w:szCs w:val="20"/>
                <w:color w:val="auto"/>
              </w:rPr>
            </w:pPr>
            <w:r>
              <w:rPr>
                <w:rFonts w:ascii="Arial" w:cs="Arial" w:eastAsia="Arial" w:hAnsi="Arial"/>
                <w:sz w:val="18"/>
                <w:szCs w:val="18"/>
                <w:b w:val="1"/>
                <w:bCs w:val="1"/>
                <w:color w:val="auto"/>
                <w:w w:val="95"/>
              </w:rPr>
              <w:t>Estimated</w:t>
            </w: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center"/>
              <w:ind w:right="72"/>
              <w:spacing w:after="0" w:line="186" w:lineRule="exact"/>
              <w:rPr>
                <w:sz w:val="20"/>
                <w:szCs w:val="20"/>
                <w:color w:val="auto"/>
              </w:rPr>
            </w:pPr>
            <w:r>
              <w:rPr>
                <w:rFonts w:ascii="Arial" w:cs="Arial" w:eastAsia="Arial" w:hAnsi="Arial"/>
                <w:sz w:val="18"/>
                <w:szCs w:val="18"/>
                <w:b w:val="1"/>
                <w:bCs w:val="1"/>
                <w:color w:val="auto"/>
                <w:w w:val="90"/>
              </w:rPr>
              <w:t>No. of</w:t>
            </w:r>
          </w:p>
        </w:tc>
        <w:tc>
          <w:tcPr>
            <w:tcW w:w="200" w:type="dxa"/>
            <w:vAlign w:val="bottom"/>
            <w:gridSpan w:val="2"/>
          </w:tcPr>
          <w:p>
            <w:pPr>
              <w:spacing w:after="0"/>
              <w:rPr>
                <w:sz w:val="16"/>
                <w:szCs w:val="16"/>
                <w:color w:val="auto"/>
              </w:rPr>
            </w:pPr>
          </w:p>
        </w:tc>
        <w:tc>
          <w:tcPr>
            <w:tcW w:w="980" w:type="dxa"/>
            <w:vAlign w:val="bottom"/>
            <w:tcBorders>
              <w:top w:val="single" w:sz="8" w:color="auto"/>
            </w:tcBorders>
            <w:gridSpan w:val="4"/>
          </w:tcPr>
          <w:p>
            <w:pPr>
              <w:jc w:val="center"/>
              <w:ind w:right="60"/>
              <w:spacing w:after="0" w:line="186" w:lineRule="exact"/>
              <w:rPr>
                <w:sz w:val="20"/>
                <w:szCs w:val="20"/>
                <w:color w:val="auto"/>
              </w:rPr>
            </w:pPr>
            <w:r>
              <w:rPr>
                <w:rFonts w:ascii="Arial" w:cs="Arial" w:eastAsia="Arial" w:hAnsi="Arial"/>
                <w:sz w:val="18"/>
                <w:szCs w:val="18"/>
                <w:b w:val="1"/>
                <w:bCs w:val="1"/>
                <w:color w:val="auto"/>
                <w:w w:val="88"/>
              </w:rPr>
              <w:t>Estimated</w:t>
            </w: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center"/>
              <w:ind w:right="12"/>
              <w:spacing w:after="0" w:line="186" w:lineRule="exact"/>
              <w:rPr>
                <w:sz w:val="20"/>
                <w:szCs w:val="20"/>
                <w:color w:val="auto"/>
              </w:rPr>
            </w:pPr>
            <w:r>
              <w:rPr>
                <w:rFonts w:ascii="Arial" w:cs="Arial" w:eastAsia="Arial" w:hAnsi="Arial"/>
                <w:sz w:val="18"/>
                <w:szCs w:val="18"/>
                <w:b w:val="1"/>
                <w:bCs w:val="1"/>
                <w:color w:val="auto"/>
                <w:w w:val="86"/>
              </w:rPr>
              <w:t>No. of</w:t>
            </w:r>
          </w:p>
        </w:tc>
        <w:tc>
          <w:tcPr>
            <w:tcW w:w="200" w:type="dxa"/>
            <w:vAlign w:val="bottom"/>
            <w:gridSpan w:val="2"/>
          </w:tcPr>
          <w:p>
            <w:pPr>
              <w:spacing w:after="0"/>
              <w:rPr>
                <w:sz w:val="16"/>
                <w:szCs w:val="16"/>
                <w:color w:val="auto"/>
              </w:rPr>
            </w:pPr>
          </w:p>
        </w:tc>
        <w:tc>
          <w:tcPr>
            <w:tcW w:w="900" w:type="dxa"/>
            <w:vAlign w:val="bottom"/>
            <w:tcBorders>
              <w:top w:val="single" w:sz="8" w:color="auto"/>
            </w:tcBorders>
            <w:gridSpan w:val="3"/>
          </w:tcPr>
          <w:p>
            <w:pPr>
              <w:ind w:left="60"/>
              <w:spacing w:after="0" w:line="186" w:lineRule="exact"/>
              <w:rPr>
                <w:sz w:val="20"/>
                <w:szCs w:val="20"/>
                <w:color w:val="auto"/>
              </w:rPr>
            </w:pPr>
            <w:r>
              <w:rPr>
                <w:rFonts w:ascii="Arial" w:cs="Arial" w:eastAsia="Arial" w:hAnsi="Arial"/>
                <w:sz w:val="18"/>
                <w:szCs w:val="18"/>
                <w:b w:val="1"/>
                <w:bCs w:val="1"/>
                <w:color w:val="auto"/>
                <w:w w:val="95"/>
              </w:rPr>
              <w:t>Estimated</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Fair</w:t>
            </w:r>
          </w:p>
        </w:tc>
        <w:tc>
          <w:tcPr>
            <w:tcW w:w="1040" w:type="dxa"/>
            <w:vAlign w:val="bottom"/>
            <w:gridSpan w:val="6"/>
          </w:tcPr>
          <w:p>
            <w:pPr>
              <w:spacing w:after="0"/>
              <w:rPr>
                <w:sz w:val="20"/>
                <w:szCs w:val="20"/>
                <w:color w:val="auto"/>
              </w:rPr>
            </w:pPr>
            <w:r>
              <w:rPr>
                <w:rFonts w:ascii="Arial" w:cs="Arial" w:eastAsia="Arial" w:hAnsi="Arial"/>
                <w:sz w:val="18"/>
                <w:szCs w:val="18"/>
                <w:b w:val="1"/>
                <w:bCs w:val="1"/>
                <w:color w:val="auto"/>
              </w:rPr>
              <w:t>Unrealized</w:t>
            </w:r>
          </w:p>
        </w:tc>
        <w:tc>
          <w:tcPr>
            <w:tcW w:w="9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3"/>
              </w:rPr>
              <w:t>Positions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40" w:type="dxa"/>
            <w:vAlign w:val="bottom"/>
          </w:tcPr>
          <w:p>
            <w:pPr>
              <w:spacing w:after="0"/>
              <w:rPr>
                <w:sz w:val="18"/>
                <w:szCs w:val="18"/>
                <w:color w:val="auto"/>
              </w:rPr>
            </w:pPr>
          </w:p>
        </w:tc>
        <w:tc>
          <w:tcPr>
            <w:tcW w:w="106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0"/>
              </w:rPr>
              <w:t>Unrealized</w:t>
            </w:r>
          </w:p>
        </w:tc>
        <w:tc>
          <w:tcPr>
            <w:tcW w:w="9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3"/>
              </w:rPr>
              <w:t>Positions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b w:val="1"/>
                <w:bCs w:val="1"/>
                <w:color w:val="auto"/>
              </w:rPr>
              <w:t>Fair</w:t>
            </w:r>
          </w:p>
        </w:tc>
        <w:tc>
          <w:tcPr>
            <w:tcW w:w="1120" w:type="dxa"/>
            <w:vAlign w:val="bottom"/>
            <w:gridSpan w:val="4"/>
          </w:tcPr>
          <w:p>
            <w:pPr>
              <w:ind w:left="220"/>
              <w:spacing w:after="0"/>
              <w:rPr>
                <w:sz w:val="20"/>
                <w:szCs w:val="20"/>
                <w:color w:val="auto"/>
              </w:rPr>
            </w:pPr>
            <w:r>
              <w:rPr>
                <w:rFonts w:ascii="Arial" w:cs="Arial" w:eastAsia="Arial" w:hAnsi="Arial"/>
                <w:sz w:val="18"/>
                <w:szCs w:val="18"/>
                <w:b w:val="1"/>
                <w:bCs w:val="1"/>
                <w:color w:val="auto"/>
                <w:w w:val="96"/>
              </w:rPr>
              <w:t>Unrealized</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Category</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Value</w:t>
            </w:r>
          </w:p>
        </w:tc>
        <w:tc>
          <w:tcPr>
            <w:tcW w:w="220" w:type="dxa"/>
            <w:vAlign w:val="bottom"/>
            <w:gridSpan w:val="2"/>
          </w:tcPr>
          <w:p>
            <w:pPr>
              <w:spacing w:after="0"/>
              <w:rPr>
                <w:sz w:val="19"/>
                <w:szCs w:val="19"/>
                <w:color w:val="auto"/>
              </w:rPr>
            </w:pPr>
          </w:p>
        </w:tc>
        <w:tc>
          <w:tcPr>
            <w:tcW w:w="8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w w:val="99"/>
              </w:rPr>
              <w:t>Losses</w:t>
            </w:r>
          </w:p>
        </w:tc>
        <w:tc>
          <w:tcPr>
            <w:tcW w:w="2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2"/>
              </w:rPr>
              <w:t>Held</w:t>
            </w:r>
          </w:p>
        </w:tc>
        <w:tc>
          <w:tcPr>
            <w:tcW w:w="200" w:type="dxa"/>
            <w:vAlign w:val="bottom"/>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center"/>
              <w:ind w:right="72"/>
              <w:spacing w:after="0"/>
              <w:rPr>
                <w:sz w:val="20"/>
                <w:szCs w:val="20"/>
                <w:color w:val="auto"/>
              </w:rPr>
            </w:pPr>
            <w:r>
              <w:rPr>
                <w:rFonts w:ascii="Arial" w:cs="Arial" w:eastAsia="Arial" w:hAnsi="Arial"/>
                <w:sz w:val="18"/>
                <w:szCs w:val="18"/>
                <w:b w:val="1"/>
                <w:bCs w:val="1"/>
                <w:color w:val="auto"/>
                <w:w w:val="87"/>
              </w:rPr>
              <w:t>Value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77"/>
              </w:rPr>
              <w:t>Losses</w:t>
            </w:r>
          </w:p>
        </w:tc>
        <w:tc>
          <w:tcPr>
            <w:tcW w:w="220" w:type="dxa"/>
            <w:vAlign w:val="bottom"/>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2"/>
              </w:rPr>
              <w:t>Held</w:t>
            </w:r>
          </w:p>
        </w:tc>
        <w:tc>
          <w:tcPr>
            <w:tcW w:w="200" w:type="dxa"/>
            <w:vAlign w:val="bottom"/>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5"/>
              </w:rPr>
              <w:t>Value</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Fixed-Maturity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135495" cy="2273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5495" cy="227330"/>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and obligations of 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government corporations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and agencies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Political subdivisions of</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States, Territories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Possessions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3,067,428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(11,316)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3,067,428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(11,316)</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bonds industrial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3,730,478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(16,685)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1,300,915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(13,473)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5,031,393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(30,158)</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and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5,862,636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(68,793)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13,534,768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(276,451)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19,397,404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(345,244)</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 fixed-maturity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12,660,542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line="211" w:lineRule="exact"/>
              <w:rPr>
                <w:sz w:val="20"/>
                <w:szCs w:val="20"/>
                <w:color w:val="auto"/>
              </w:rPr>
            </w:pPr>
            <w:r>
              <w:rPr>
                <w:rFonts w:ascii="Arial" w:cs="Arial" w:eastAsia="Arial" w:hAnsi="Arial"/>
                <w:sz w:val="14"/>
                <w:szCs w:val="14"/>
                <w:color w:val="auto"/>
              </w:rPr>
              <w:t>(96,794</w:t>
            </w:r>
            <w:r>
              <w:rPr>
                <w:rFonts w:ascii="Arial" w:cs="Arial" w:eastAsia="Arial" w:hAnsi="Arial"/>
                <w:sz w:val="24"/>
                <w:szCs w:val="24"/>
                <w:color w:val="auto"/>
                <w:vertAlign w:val="subscript"/>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14,835,683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line="211" w:lineRule="exact"/>
              <w:rPr>
                <w:sz w:val="20"/>
                <w:szCs w:val="20"/>
                <w:color w:val="auto"/>
              </w:rPr>
            </w:pPr>
            <w:r>
              <w:rPr>
                <w:rFonts w:ascii="Arial" w:cs="Arial" w:eastAsia="Arial" w:hAnsi="Arial"/>
                <w:sz w:val="14"/>
                <w:szCs w:val="14"/>
                <w:color w:val="auto"/>
              </w:rPr>
              <w:t>(289,924</w:t>
            </w:r>
            <w:r>
              <w:rPr>
                <w:rFonts w:ascii="Arial" w:cs="Arial" w:eastAsia="Arial" w:hAnsi="Arial"/>
                <w:sz w:val="24"/>
                <w:szCs w:val="24"/>
                <w:color w:val="auto"/>
                <w:vertAlign w:val="subscript"/>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27,496,225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line="211" w:lineRule="exact"/>
              <w:rPr>
                <w:sz w:val="20"/>
                <w:szCs w:val="20"/>
                <w:color w:val="auto"/>
              </w:rPr>
            </w:pPr>
            <w:r>
              <w:rPr>
                <w:rFonts w:ascii="Arial" w:cs="Arial" w:eastAsia="Arial" w:hAnsi="Arial"/>
                <w:sz w:val="14"/>
                <w:szCs w:val="14"/>
                <w:color w:val="auto"/>
              </w:rPr>
              <w:t>(386,718</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633"/>
        </w:trPr>
        <w:tc>
          <w:tcPr>
            <w:tcW w:w="20" w:type="dxa"/>
            <w:vAlign w:val="bottom"/>
          </w:tcPr>
          <w:p>
            <w:pPr>
              <w:spacing w:after="0"/>
              <w:rPr>
                <w:sz w:val="24"/>
                <w:szCs w:val="24"/>
                <w:color w:val="auto"/>
              </w:rPr>
            </w:pPr>
          </w:p>
        </w:tc>
        <w:tc>
          <w:tcPr>
            <w:tcW w:w="28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70</w:t>
            </w:r>
          </w:p>
        </w:tc>
        <w:tc>
          <w:tcPr>
            <w:tcW w:w="2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880" w:type="dxa"/>
            <w:vAlign w:val="bottom"/>
            <w:gridSpan w:val="2"/>
          </w:tcPr>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firstLine="634"/>
        <w:spacing w:after="0" w:line="248" w:lineRule="auto"/>
        <w:rPr>
          <w:sz w:val="20"/>
          <w:szCs w:val="20"/>
          <w:color w:val="auto"/>
        </w:rPr>
      </w:pPr>
      <w:r>
        <w:rPr>
          <w:rFonts w:ascii="Arial" w:cs="Arial" w:eastAsia="Arial" w:hAnsi="Arial"/>
          <w:sz w:val="18"/>
          <w:szCs w:val="18"/>
          <w:color w:val="auto"/>
        </w:rPr>
        <w:t>There were 19 securities at September 30, 2020 that accounted for the gross unrealized loss of our fixed-maturity securities available-for-sale, none of which were deemed by us to be other than temporarily impaired. There were 39 securities at December 31, 2019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216"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94" w:lineRule="exact"/>
        <w:rPr>
          <w:sz w:val="20"/>
          <w:szCs w:val="20"/>
          <w:color w:val="auto"/>
        </w:rPr>
      </w:pPr>
    </w:p>
    <w:p>
      <w:pPr>
        <w:jc w:val="both"/>
        <w:ind w:firstLine="634"/>
        <w:spacing w:after="0" w:line="292" w:lineRule="auto"/>
        <w:rPr>
          <w:sz w:val="20"/>
          <w:szCs w:val="20"/>
          <w:color w:val="auto"/>
        </w:rPr>
      </w:pPr>
      <w:r>
        <w:rPr>
          <w:rFonts w:ascii="Arial" w:cs="Arial" w:eastAsia="Arial" w:hAnsi="Arial"/>
          <w:sz w:val="17"/>
          <w:szCs w:val="17"/>
          <w:color w:val="auto"/>
        </w:rPr>
        <w:t>For the nine months ended September 30, 2020, the primary source of cash flow for our holding company was the dividends received from KICO, subject to statutory restrictions. For the nine months ended September 30, 2020, KICO paid dividends of $5,000,000 to us.</w:t>
      </w:r>
    </w:p>
    <w:p>
      <w:pPr>
        <w:spacing w:after="0" w:line="158" w:lineRule="exact"/>
        <w:rPr>
          <w:sz w:val="20"/>
          <w:szCs w:val="20"/>
          <w:color w:val="auto"/>
        </w:rPr>
      </w:pPr>
    </w:p>
    <w:p>
      <w:pPr>
        <w:jc w:val="both"/>
        <w:ind w:firstLine="634"/>
        <w:spacing w:after="0" w:line="303" w:lineRule="auto"/>
        <w:rPr>
          <w:sz w:val="20"/>
          <w:szCs w:val="20"/>
          <w:color w:val="auto"/>
        </w:rPr>
      </w:pPr>
      <w:r>
        <w:rPr>
          <w:rFonts w:ascii="Arial" w:cs="Arial" w:eastAsia="Arial" w:hAnsi="Arial"/>
          <w:sz w:val="15"/>
          <w:szCs w:val="15"/>
          <w:color w:val="auto"/>
        </w:rPr>
        <w:t>KICO is a member of the Federal Home Loan Bank of New York (“FHLBNY”),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to our condensed consolidated financial statements – Investments, for eligible collateral held in a designated custodian account available for future advances. Advances are limited to 5% of KICO’s net admitted assets as of the end of the previous quarter, which is June 30, 2020, and are due and payable within 90 days of borrowing. The maximum allowable advance as of September 30, 2020, based on the net admitted assets as of June 30, 2020, was approximately $11,732,000. Advances are limited to 85% of the amount of available collateral, which was approximately $5,683,000 as of September 30, 2020. There were no borrowings under this facility during the nine months ended September 30, 2020.</w:t>
      </w:r>
    </w:p>
    <w:p>
      <w:pPr>
        <w:spacing w:after="0" w:line="159" w:lineRule="exact"/>
        <w:rPr>
          <w:sz w:val="20"/>
          <w:szCs w:val="20"/>
          <w:color w:val="auto"/>
        </w:rPr>
      </w:pPr>
    </w:p>
    <w:p>
      <w:pPr>
        <w:jc w:val="both"/>
        <w:ind w:firstLine="634"/>
        <w:spacing w:after="0" w:line="292" w:lineRule="auto"/>
        <w:rPr>
          <w:sz w:val="20"/>
          <w:szCs w:val="20"/>
          <w:color w:val="auto"/>
        </w:rPr>
      </w:pPr>
      <w:r>
        <w:rPr>
          <w:rFonts w:ascii="Arial" w:cs="Arial" w:eastAsia="Arial" w:hAnsi="Arial"/>
          <w:sz w:val="17"/>
          <w:szCs w:val="17"/>
          <w:color w:val="auto"/>
        </w:rPr>
        <w:t>As of September 30, 2020, invested assets and cash in our holding company totaled approximately $2,102,000. If the aforementioned sources of cash flow currently available are insufficient to cover our holding company cash requirements, we will seek to obtain additional financing.</w:t>
      </w:r>
    </w:p>
    <w:p>
      <w:pPr>
        <w:spacing w:after="0" w:line="158"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8"/>
          <w:szCs w:val="18"/>
          <w:color w:val="auto"/>
        </w:rPr>
        <w:t>Cash flow and liquidity are categorized into three sources: (1) operating activities; (2) investing activities; and (3) financing activities, which are shown in the following table:</w:t>
      </w:r>
    </w:p>
    <w:p>
      <w:pPr>
        <w:spacing w:after="0" w:line="385" w:lineRule="exact"/>
        <w:rPr>
          <w:sz w:val="20"/>
          <w:szCs w:val="20"/>
          <w:color w:val="auto"/>
        </w:rPr>
      </w:pPr>
    </w:p>
    <w:tbl>
      <w:tblPr>
        <w:tblLayout w:type="fixed"/>
        <w:tblInd w:w="860" w:type="dxa"/>
        <w:tblCellMar>
          <w:top w:w="0" w:type="dxa"/>
          <w:left w:w="0" w:type="dxa"/>
          <w:bottom w:w="0" w:type="dxa"/>
          <w:right w:w="0" w:type="dxa"/>
        </w:tblCellMar>
      </w:tblPr>
      <w:tr>
        <w:trPr>
          <w:trHeight w:val="229"/>
        </w:trPr>
        <w:tc>
          <w:tcPr>
            <w:tcW w:w="7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Nine Months Ended September 30,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04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7260" w:type="dxa"/>
            <w:vAlign w:val="bottom"/>
            <w:gridSpan w:val="2"/>
          </w:tcPr>
          <w:p>
            <w:pPr>
              <w:spacing w:after="0"/>
              <w:rPr>
                <w:sz w:val="20"/>
                <w:szCs w:val="20"/>
                <w:color w:val="auto"/>
              </w:rPr>
            </w:pPr>
            <w:r>
              <w:rPr>
                <w:rFonts w:ascii="Arial" w:cs="Arial" w:eastAsia="Arial" w:hAnsi="Arial"/>
                <w:sz w:val="18"/>
                <w:szCs w:val="18"/>
                <w:color w:val="auto"/>
              </w:rPr>
              <w:t>Cash flows (used in) provided by:</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(9,465,006)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$ 19,537,965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3,927,739</w:t>
            </w:r>
          </w:p>
        </w:tc>
        <w:tc>
          <w:tcPr>
            <w:tcW w:w="1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(12,085,316)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(2,466,115)</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(2,952,002)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7240" w:type="dxa"/>
            <w:vAlign w:val="bottom"/>
          </w:tcPr>
          <w:p>
            <w:pPr>
              <w:spacing w:after="0" w:line="205" w:lineRule="exact"/>
              <w:rPr>
                <w:sz w:val="20"/>
                <w:szCs w:val="20"/>
                <w:color w:val="auto"/>
              </w:rPr>
            </w:pPr>
            <w:r>
              <w:rPr>
                <w:rFonts w:ascii="Arial" w:cs="Arial" w:eastAsia="Arial" w:hAnsi="Arial"/>
                <w:sz w:val="18"/>
                <w:szCs w:val="18"/>
                <w:b w:val="1"/>
                <w:bCs w:val="1"/>
                <w:color w:val="auto"/>
              </w:rPr>
              <w:t>Net (decrease) increase in cash and cash equivalents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w w:val="93"/>
              </w:rPr>
              <w:t>(8,003,382)</w:t>
            </w:r>
          </w:p>
        </w:tc>
        <w:tc>
          <w:tcPr>
            <w:tcW w:w="104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4,500,647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32,391,485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21,138,403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7240" w:type="dxa"/>
            <w:vAlign w:val="bottom"/>
          </w:tcPr>
          <w:p>
            <w:pPr>
              <w:spacing w:after="0" w:line="205" w:lineRule="exact"/>
              <w:rPr>
                <w:sz w:val="20"/>
                <w:szCs w:val="20"/>
                <w:color w:val="auto"/>
              </w:rPr>
            </w:pPr>
            <w:r>
              <w:rPr>
                <w:rFonts w:ascii="Arial" w:cs="Arial" w:eastAsia="Arial" w:hAnsi="Arial"/>
                <w:sz w:val="18"/>
                <w:szCs w:val="18"/>
                <w:b w:val="1"/>
                <w:bCs w:val="1"/>
                <w:color w:val="auto"/>
              </w:rPr>
              <w:t>Cash and cash equivalents, end of period</w:t>
            </w:r>
          </w:p>
        </w:tc>
        <w:tc>
          <w:tcPr>
            <w:tcW w:w="22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5" w:lineRule="exact"/>
              <w:rPr>
                <w:sz w:val="20"/>
                <w:szCs w:val="20"/>
                <w:color w:val="auto"/>
              </w:rPr>
            </w:pPr>
            <w:r>
              <w:rPr>
                <w:rFonts w:ascii="Arial" w:cs="Arial" w:eastAsia="Arial" w:hAnsi="Arial"/>
                <w:sz w:val="18"/>
                <w:szCs w:val="18"/>
                <w:color w:val="auto"/>
                <w:w w:val="88"/>
              </w:rPr>
              <w:t>24,388,103</w:t>
            </w:r>
          </w:p>
        </w:tc>
        <w:tc>
          <w:tcPr>
            <w:tcW w:w="100" w:type="dxa"/>
            <w:vAlign w:val="bottom"/>
          </w:tcPr>
          <w:p>
            <w:pPr>
              <w:spacing w:after="0"/>
              <w:rPr>
                <w:sz w:val="17"/>
                <w:szCs w:val="17"/>
                <w:color w:val="auto"/>
              </w:rPr>
            </w:pPr>
          </w:p>
        </w:tc>
        <w:tc>
          <w:tcPr>
            <w:tcW w:w="1140" w:type="dxa"/>
            <w:vAlign w:val="bottom"/>
            <w:gridSpan w:val="3"/>
          </w:tcPr>
          <w:p>
            <w:pPr>
              <w:jc w:val="right"/>
              <w:ind w:right="100"/>
              <w:spacing w:after="0" w:line="205" w:lineRule="exact"/>
              <w:rPr>
                <w:sz w:val="20"/>
                <w:szCs w:val="20"/>
                <w:color w:val="auto"/>
              </w:rPr>
            </w:pPr>
            <w:r>
              <w:rPr>
                <w:rFonts w:ascii="Arial" w:cs="Arial" w:eastAsia="Arial" w:hAnsi="Arial"/>
                <w:sz w:val="18"/>
                <w:szCs w:val="18"/>
                <w:color w:val="auto"/>
                <w:w w:val="97"/>
              </w:rPr>
              <w:t>$ 25,639,050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0" w:right="339" w:bottom="0" w:gutter="0" w:footer="0" w:header="0"/>
        </w:sectPr>
      </w:pPr>
    </w:p>
    <w:bookmarkStart w:id="45" w:name="page46"/>
    <w:bookmarkEnd w:id="45"/>
    <w:p>
      <w:pPr>
        <w:spacing w:after="0" w:line="45"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Net cash used in operating activities was $9,465,000 in Nine Months 2020 as compared to $19,538,000 provided by operating activities in Nine Months 2019. The $29,003,000 decrease in cash flows provided by operating activities in Nine Months 2020 was primarily a result of a decrease in cash arising from net fluctuations in assets and liabilities, partially offset by a decrease in net loss (adjusted for non-cash items) of $14,752,000. The net fluctuations in assets and liabilities are related to operating activities of KICO as affected by growth or declines in its operations, payments on claims and changes in quota share ceding rates which are described above.</w:t>
      </w:r>
    </w:p>
    <w:p>
      <w:pPr>
        <w:spacing w:after="0" w:line="194"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Net cash provided by investing activities was $3,928,000 in Nine Months 2020 compared to $12,085,000 used in investing activities in Nine Months 2019. The $16,013,000 increase in net cash provided by investing activities was the result of a $25,093,000 increase in disposal of invested assets, partially offset by a $10,073,000 increase in acquisitions of invested assets in Nine Months 2020.</w:t>
      </w:r>
    </w:p>
    <w:p>
      <w:pPr>
        <w:spacing w:after="0" w:line="188"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Net cash used in financing activities was $2,466,000 in Nine Months 2020 compared to $2,952,000 used in Nine Months 2019. The $486,000 decrease in net cash used in financing activities was attributable to a $1,297,000 reduction in dividends paid, partially offset by $802,000 purchases of treasury stock in Nine Months 2020 compared to Nine Months 2019.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22"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Through June 30, 2019, our quota share reinsurance treaties were on a July 1 through June 30 fiscal year basis. Effective December 15, 2019, we entered into a quota share reinsurance treaty for our personal lines business covering the period from December 15, 2019 through December 31, 2020 (“2019/2020 Treaty”).</w:t>
      </w:r>
    </w:p>
    <w:p>
      <w:pPr>
        <w:spacing w:after="0" w:line="188" w:lineRule="exact"/>
        <w:rPr>
          <w:sz w:val="20"/>
          <w:szCs w:val="20"/>
          <w:color w:val="auto"/>
        </w:rPr>
      </w:pPr>
    </w:p>
    <w:p>
      <w:pPr>
        <w:ind w:right="100" w:firstLine="594"/>
        <w:spacing w:after="0" w:line="270" w:lineRule="auto"/>
        <w:rPr>
          <w:sz w:val="20"/>
          <w:szCs w:val="20"/>
          <w:color w:val="auto"/>
        </w:rPr>
      </w:pPr>
      <w:r>
        <w:rPr>
          <w:rFonts w:ascii="Arial" w:cs="Arial" w:eastAsia="Arial" w:hAnsi="Arial"/>
          <w:sz w:val="17"/>
          <w:szCs w:val="17"/>
          <w:color w:val="auto"/>
        </w:rPr>
        <w:t>Our quota share reinsurance treaties in effect during Nine Months 2020 and Nine Months 2019 for our personal lines business, which primarily consists of homeowners’ policies, were covered under the 2019/2020 Treaty and under a treaty covering a two-year period from July 1, 2017 through June 30, 2019 (“2017/2019 Treaty”). The treaty in effect during Three Months 2019 (run-off period) and Nine Months 2019 through June 30, 2019 (together with the run-off period) was covered under the July 1, 2018 through June 30, 2019 treaty year (“2018/2019 Treaty Year”).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Effective July 1, 2019, our 2017/2019 Treaty and commercial umbrella treaty expired on a run-off basis; these treaties were not renewed. We entered into new excess of loss and catastrophe reinsurance treaties effective July 1, 2020. Material terms for our reinsurance treaties in effect for the treaty years shown below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8"/>
                <w:szCs w:val="18"/>
                <w:b w:val="1"/>
                <w:bCs w:val="1"/>
                <w:color w:val="auto"/>
                <w:w w:val="95"/>
              </w:rPr>
              <w:t>Treaty Year</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3"/>
          </w:tcPr>
          <w:p>
            <w:pPr>
              <w:spacing w:after="0" w:line="187" w:lineRule="exact"/>
              <w:rPr>
                <w:sz w:val="20"/>
                <w:szCs w:val="20"/>
                <w:color w:val="auto"/>
              </w:rPr>
            </w:pPr>
            <w:r>
              <w:rPr>
                <w:rFonts w:ascii="Arial" w:cs="Arial" w:eastAsia="Arial" w:hAnsi="Arial"/>
                <w:sz w:val="18"/>
                <w:szCs w:val="18"/>
                <w:b w:val="1"/>
                <w:bCs w:val="1"/>
                <w:color w:val="auto"/>
                <w:w w:val="98"/>
              </w:rPr>
              <w:t>December 15, 2019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400"/>
              <w:spacing w:after="0" w:line="187" w:lineRule="exact"/>
              <w:rPr>
                <w:sz w:val="20"/>
                <w:szCs w:val="20"/>
                <w:color w:val="auto"/>
              </w:rPr>
            </w:pPr>
            <w:r>
              <w:rPr>
                <w:rFonts w:ascii="Arial" w:cs="Arial" w:eastAsia="Arial" w:hAnsi="Arial"/>
                <w:sz w:val="18"/>
                <w:szCs w:val="18"/>
                <w:b w:val="1"/>
                <w:bCs w:val="1"/>
                <w:color w:val="auto"/>
                <w:w w:val="88"/>
              </w:rPr>
              <w:t>July 1, 2019</w:t>
            </w:r>
          </w:p>
        </w:tc>
        <w:tc>
          <w:tcPr>
            <w:tcW w:w="100" w:type="dxa"/>
            <w:vAlign w:val="bottom"/>
          </w:tcPr>
          <w:p>
            <w:pPr>
              <w:spacing w:after="0"/>
              <w:rPr>
                <w:sz w:val="16"/>
                <w:szCs w:val="16"/>
                <w:color w:val="auto"/>
              </w:rPr>
            </w:pPr>
          </w:p>
        </w:tc>
        <w:tc>
          <w:tcPr>
            <w:tcW w:w="1000" w:type="dxa"/>
            <w:vAlign w:val="bottom"/>
          </w:tcPr>
          <w:p>
            <w:pPr>
              <w:jc w:val="center"/>
              <w:ind w:right="12"/>
              <w:spacing w:after="0" w:line="187" w:lineRule="exact"/>
              <w:rPr>
                <w:sz w:val="20"/>
                <w:szCs w:val="20"/>
                <w:color w:val="auto"/>
              </w:rPr>
            </w:pPr>
            <w:r>
              <w:rPr>
                <w:rFonts w:ascii="Arial" w:cs="Arial" w:eastAsia="Arial" w:hAnsi="Arial"/>
                <w:sz w:val="18"/>
                <w:szCs w:val="18"/>
                <w:b w:val="1"/>
                <w:bCs w:val="1"/>
                <w:color w:val="auto"/>
                <w:w w:val="88"/>
              </w:rPr>
              <w:t>July 1, 2018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to</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to</w:t>
            </w: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to</w:t>
            </w:r>
          </w:p>
        </w:tc>
        <w:tc>
          <w:tcPr>
            <w:tcW w:w="0" w:type="dxa"/>
            <w:vAlign w:val="bottom"/>
          </w:tcPr>
          <w:p>
            <w:pPr>
              <w:spacing w:after="0"/>
              <w:rPr>
                <w:sz w:val="1"/>
                <w:szCs w:val="1"/>
                <w:color w:val="auto"/>
              </w:rPr>
            </w:pPr>
          </w:p>
        </w:tc>
      </w:tr>
      <w:tr>
        <w:trPr>
          <w:trHeight w:val="229"/>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8"/>
              </w:rPr>
              <w:t>December 31, 2020</w:t>
            </w:r>
          </w:p>
        </w:tc>
        <w:tc>
          <w:tcPr>
            <w:tcW w:w="1680" w:type="dxa"/>
            <w:vAlign w:val="bottom"/>
            <w:gridSpan w:val="4"/>
          </w:tcPr>
          <w:p>
            <w:pPr>
              <w:ind w:left="60"/>
              <w:spacing w:after="0"/>
              <w:rPr>
                <w:sz w:val="20"/>
                <w:szCs w:val="20"/>
                <w:color w:val="auto"/>
              </w:rPr>
            </w:pPr>
            <w:r>
              <w:rPr>
                <w:rFonts w:ascii="Arial" w:cs="Arial" w:eastAsia="Arial" w:hAnsi="Arial"/>
                <w:sz w:val="18"/>
                <w:szCs w:val="18"/>
                <w:b w:val="1"/>
                <w:bCs w:val="1"/>
                <w:color w:val="auto"/>
                <w:w w:val="98"/>
              </w:rPr>
              <w:t>December 14, 2019</w:t>
            </w: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June 30, 2019</w:t>
            </w:r>
          </w:p>
        </w:tc>
        <w:tc>
          <w:tcPr>
            <w:tcW w:w="0" w:type="dxa"/>
            <w:vAlign w:val="bottom"/>
          </w:tcPr>
          <w:p>
            <w:pPr>
              <w:spacing w:after="0"/>
              <w:rPr>
                <w:sz w:val="1"/>
                <w:szCs w:val="1"/>
                <w:color w:val="auto"/>
              </w:rPr>
            </w:pPr>
          </w:p>
        </w:tc>
      </w:tr>
      <w:tr>
        <w:trPr>
          <w:trHeight w:val="404"/>
        </w:trPr>
        <w:tc>
          <w:tcPr>
            <w:tcW w:w="3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540" w:type="dxa"/>
            <w:vAlign w:val="bottom"/>
            <w:gridSpan w:val="2"/>
          </w:tcPr>
          <w:p>
            <w:pPr>
              <w:spacing w:after="0"/>
              <w:rPr>
                <w:sz w:val="20"/>
                <w:szCs w:val="20"/>
                <w:color w:val="auto"/>
              </w:rPr>
            </w:pPr>
            <w:r>
              <w:rPr>
                <w:rFonts w:ascii="Arial" w:cs="Arial" w:eastAsia="Arial" w:hAnsi="Arial"/>
                <w:sz w:val="18"/>
                <w:szCs w:val="18"/>
                <w:color w:val="auto"/>
              </w:rPr>
              <w:t>Homeowners, dwelling fire and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and canine legal liability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 ceded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None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w w:val="99"/>
              </w:rPr>
              <w:t>Treaty Year</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20"/>
              <w:spacing w:after="0" w:line="187" w:lineRule="exact"/>
              <w:rPr>
                <w:sz w:val="20"/>
                <w:szCs w:val="20"/>
                <w:color w:val="auto"/>
              </w:rPr>
            </w:pPr>
            <w:r>
              <w:rPr>
                <w:rFonts w:ascii="Arial" w:cs="Arial" w:eastAsia="Arial" w:hAnsi="Arial"/>
                <w:sz w:val="18"/>
                <w:szCs w:val="18"/>
                <w:b w:val="1"/>
                <w:bCs w:val="1"/>
                <w:color w:val="auto"/>
                <w:w w:val="93"/>
              </w:rPr>
              <w:t>January 1, 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480"/>
              <w:spacing w:after="0" w:line="187" w:lineRule="exact"/>
              <w:rPr>
                <w:sz w:val="20"/>
                <w:szCs w:val="20"/>
                <w:color w:val="auto"/>
              </w:rPr>
            </w:pPr>
            <w:r>
              <w:rPr>
                <w:rFonts w:ascii="Arial" w:cs="Arial" w:eastAsia="Arial" w:hAnsi="Arial"/>
                <w:sz w:val="18"/>
                <w:szCs w:val="18"/>
                <w:b w:val="1"/>
                <w:bCs w:val="1"/>
                <w:color w:val="auto"/>
                <w:w w:val="94"/>
              </w:rPr>
              <w:t>July 1, 2020</w:t>
            </w:r>
          </w:p>
        </w:tc>
        <w:tc>
          <w:tcPr>
            <w:tcW w:w="1620" w:type="dxa"/>
            <w:vAlign w:val="bottom"/>
            <w:gridSpan w:val="3"/>
          </w:tcPr>
          <w:p>
            <w:pPr>
              <w:spacing w:after="0" w:line="187" w:lineRule="exact"/>
              <w:rPr>
                <w:sz w:val="20"/>
                <w:szCs w:val="20"/>
                <w:color w:val="auto"/>
              </w:rPr>
            </w:pPr>
            <w:r>
              <w:rPr>
                <w:rFonts w:ascii="Arial" w:cs="Arial" w:eastAsia="Arial" w:hAnsi="Arial"/>
                <w:sz w:val="18"/>
                <w:szCs w:val="18"/>
                <w:b w:val="1"/>
                <w:bCs w:val="1"/>
                <w:color w:val="auto"/>
                <w:w w:val="98"/>
              </w:rPr>
              <w:t>December 15, 2019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400"/>
              <w:spacing w:after="0" w:line="187" w:lineRule="exact"/>
              <w:rPr>
                <w:sz w:val="20"/>
                <w:szCs w:val="20"/>
                <w:color w:val="auto"/>
              </w:rPr>
            </w:pPr>
            <w:r>
              <w:rPr>
                <w:rFonts w:ascii="Arial" w:cs="Arial" w:eastAsia="Arial" w:hAnsi="Arial"/>
                <w:sz w:val="18"/>
                <w:szCs w:val="18"/>
                <w:b w:val="1"/>
                <w:bCs w:val="1"/>
                <w:color w:val="auto"/>
                <w:w w:val="88"/>
              </w:rPr>
              <w:t>July 1, 2019</w:t>
            </w:r>
          </w:p>
        </w:tc>
        <w:tc>
          <w:tcPr>
            <w:tcW w:w="100" w:type="dxa"/>
            <w:vAlign w:val="bottom"/>
          </w:tcPr>
          <w:p>
            <w:pPr>
              <w:spacing w:after="0"/>
              <w:rPr>
                <w:sz w:val="16"/>
                <w:szCs w:val="16"/>
                <w:color w:val="auto"/>
              </w:rPr>
            </w:pPr>
          </w:p>
        </w:tc>
        <w:tc>
          <w:tcPr>
            <w:tcW w:w="1000" w:type="dxa"/>
            <w:vAlign w:val="bottom"/>
          </w:tcPr>
          <w:p>
            <w:pPr>
              <w:jc w:val="center"/>
              <w:ind w:right="12"/>
              <w:spacing w:after="0" w:line="187" w:lineRule="exact"/>
              <w:rPr>
                <w:sz w:val="20"/>
                <w:szCs w:val="20"/>
                <w:color w:val="auto"/>
              </w:rPr>
            </w:pPr>
            <w:r>
              <w:rPr>
                <w:rFonts w:ascii="Arial" w:cs="Arial" w:eastAsia="Arial" w:hAnsi="Arial"/>
                <w:sz w:val="18"/>
                <w:szCs w:val="18"/>
                <w:b w:val="1"/>
                <w:bCs w:val="1"/>
                <w:color w:val="auto"/>
                <w:w w:val="88"/>
              </w:rPr>
              <w:t>July 1, 2018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to</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to</w:t>
            </w:r>
          </w:p>
        </w:tc>
        <w:tc>
          <w:tcPr>
            <w:tcW w:w="1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to</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to</w:t>
            </w: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to</w:t>
            </w:r>
          </w:p>
        </w:tc>
        <w:tc>
          <w:tcPr>
            <w:tcW w:w="0" w:type="dxa"/>
            <w:vAlign w:val="bottom"/>
          </w:tcPr>
          <w:p>
            <w:pPr>
              <w:spacing w:after="0"/>
              <w:rPr>
                <w:sz w:val="1"/>
                <w:szCs w:val="1"/>
                <w:color w:val="auto"/>
              </w:rPr>
            </w:pPr>
          </w:p>
        </w:tc>
      </w:tr>
      <w:tr>
        <w:trPr>
          <w:trHeight w:val="229"/>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19"/>
                <w:szCs w:val="19"/>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June 30, 2021</w:t>
            </w:r>
          </w:p>
        </w:tc>
        <w:tc>
          <w:tcPr>
            <w:tcW w:w="174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December 31, 2020</w:t>
            </w:r>
          </w:p>
        </w:tc>
        <w:tc>
          <w:tcPr>
            <w:tcW w:w="14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 2020</w:t>
            </w:r>
          </w:p>
        </w:tc>
        <w:tc>
          <w:tcPr>
            <w:tcW w:w="1680" w:type="dxa"/>
            <w:vAlign w:val="bottom"/>
            <w:gridSpan w:val="4"/>
          </w:tcPr>
          <w:p>
            <w:pPr>
              <w:ind w:left="60"/>
              <w:spacing w:after="0"/>
              <w:rPr>
                <w:sz w:val="20"/>
                <w:szCs w:val="20"/>
                <w:color w:val="auto"/>
              </w:rPr>
            </w:pPr>
            <w:r>
              <w:rPr>
                <w:rFonts w:ascii="Arial" w:cs="Arial" w:eastAsia="Arial" w:hAnsi="Arial"/>
                <w:sz w:val="18"/>
                <w:szCs w:val="18"/>
                <w:b w:val="1"/>
                <w:bCs w:val="1"/>
                <w:color w:val="auto"/>
                <w:w w:val="98"/>
              </w:rPr>
              <w:t>December 14, 2019</w:t>
            </w: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June 30, 2019</w:t>
            </w:r>
          </w:p>
        </w:tc>
        <w:tc>
          <w:tcPr>
            <w:tcW w:w="0" w:type="dxa"/>
            <w:vAlign w:val="bottom"/>
          </w:tcPr>
          <w:p>
            <w:pPr>
              <w:spacing w:after="0"/>
              <w:rPr>
                <w:sz w:val="1"/>
                <w:szCs w:val="1"/>
                <w:color w:val="auto"/>
              </w:rPr>
            </w:pPr>
          </w:p>
        </w:tc>
      </w:tr>
      <w:tr>
        <w:trPr>
          <w:trHeight w:val="404"/>
        </w:trPr>
        <w:tc>
          <w:tcPr>
            <w:tcW w:w="3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Personal Lines:</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540" w:type="dxa"/>
            <w:vAlign w:val="bottom"/>
            <w:gridSpan w:val="2"/>
          </w:tcPr>
          <w:p>
            <w:pPr>
              <w:spacing w:after="0"/>
              <w:rPr>
                <w:sz w:val="20"/>
                <w:szCs w:val="20"/>
                <w:color w:val="auto"/>
              </w:rPr>
            </w:pPr>
            <w:r>
              <w:rPr>
                <w:rFonts w:ascii="Arial" w:cs="Arial" w:eastAsia="Arial" w:hAnsi="Arial"/>
                <w:sz w:val="18"/>
                <w:szCs w:val="18"/>
                <w:color w:val="auto"/>
              </w:rPr>
              <w:t>Homeowners, dwelling fire and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and canine legal liability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ind w:left="38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Risk retained on intial</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$1,000,000 of losses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6"/>
              </w:rPr>
              <w:t>NA (7)</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750,000</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tcPr>
          <w:p>
            <w:pPr>
              <w:ind w:left="380"/>
              <w:spacing w:after="0" w:line="199" w:lineRule="exact"/>
              <w:rPr>
                <w:sz w:val="20"/>
                <w:szCs w:val="20"/>
                <w:color w:val="auto"/>
              </w:rPr>
            </w:pPr>
            <w:r>
              <w:rPr>
                <w:rFonts w:ascii="Arial" w:cs="Arial" w:eastAsia="Arial" w:hAnsi="Arial"/>
                <w:sz w:val="18"/>
                <w:szCs w:val="18"/>
                <w:color w:val="auto"/>
              </w:rPr>
              <w:t>Losses per occurrence subject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tcPr>
          <w:p>
            <w:pPr>
              <w:ind w:left="580"/>
              <w:spacing w:after="0"/>
              <w:rPr>
                <w:sz w:val="20"/>
                <w:szCs w:val="20"/>
                <w:color w:val="auto"/>
              </w:rPr>
            </w:pPr>
            <w:r>
              <w:rPr>
                <w:rFonts w:ascii="Arial" w:cs="Arial" w:eastAsia="Arial" w:hAnsi="Arial"/>
                <w:sz w:val="18"/>
                <w:szCs w:val="18"/>
                <w:color w:val="auto"/>
              </w:rPr>
              <w:t>to quota share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ind w:left="580"/>
              <w:spacing w:after="0"/>
              <w:rPr>
                <w:sz w:val="20"/>
                <w:szCs w:val="20"/>
                <w:color w:val="auto"/>
              </w:rPr>
            </w:pPr>
            <w:r>
              <w:rPr>
                <w:rFonts w:ascii="Arial" w:cs="Arial" w:eastAsia="Arial" w:hAnsi="Arial"/>
                <w:sz w:val="18"/>
                <w:szCs w:val="18"/>
                <w:color w:val="auto"/>
              </w:rPr>
              <w:t>reinsurance coverage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NA (7)</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1,000,000</w:t>
            </w: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None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Expiration date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December 31, 2020</w:t>
            </w:r>
          </w:p>
        </w:tc>
        <w:tc>
          <w:tcPr>
            <w:tcW w:w="16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7"/>
              </w:rPr>
              <w:t>December 31, 2020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June 30, 2019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tcPr>
          <w:p>
            <w:pPr>
              <w:ind w:left="380"/>
              <w:spacing w:after="0" w:line="199" w:lineRule="exact"/>
              <w:rPr>
                <w:sz w:val="20"/>
                <w:szCs w:val="20"/>
                <w:color w:val="auto"/>
              </w:rPr>
            </w:pPr>
            <w:r>
              <w:rPr>
                <w:rFonts w:ascii="Arial" w:cs="Arial" w:eastAsia="Arial" w:hAnsi="Arial"/>
                <w:sz w:val="18"/>
                <w:szCs w:val="18"/>
                <w:color w:val="auto"/>
              </w:rPr>
              <w:t>Excess of loss coverage and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tcPr>
          <w:p>
            <w:pPr>
              <w:ind w:left="580"/>
              <w:spacing w:after="0"/>
              <w:rPr>
                <w:sz w:val="20"/>
                <w:szCs w:val="20"/>
                <w:color w:val="auto"/>
              </w:rPr>
            </w:pPr>
            <w:r>
              <w:rPr>
                <w:rFonts w:ascii="Arial" w:cs="Arial" w:eastAsia="Arial" w:hAnsi="Arial"/>
                <w:sz w:val="18"/>
                <w:szCs w:val="18"/>
                <w:color w:val="auto"/>
              </w:rPr>
              <w:t>facultative facility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ind w:left="580"/>
              <w:spacing w:after="0"/>
              <w:rPr>
                <w:sz w:val="20"/>
                <w:szCs w:val="20"/>
                <w:color w:val="auto"/>
              </w:rPr>
            </w:pPr>
            <w:r>
              <w:rPr>
                <w:rFonts w:ascii="Arial" w:cs="Arial" w:eastAsia="Arial" w:hAnsi="Arial"/>
                <w:sz w:val="18"/>
                <w:szCs w:val="18"/>
                <w:color w:val="auto"/>
              </w:rPr>
              <w:t>coverage (1)</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8,000,000</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8,000,000</w:t>
            </w: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9,000,000</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in excess of</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in excess of</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in excess of</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in excess of</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in excess of</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1,000,000</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reinsurance coverage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 occurrence (7)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8,000,000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9,250,000</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9,100,000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tcPr>
          <w:p>
            <w:pPr>
              <w:ind w:left="180"/>
              <w:spacing w:after="0" w:line="199" w:lineRule="exact"/>
              <w:rPr>
                <w:sz w:val="20"/>
                <w:szCs w:val="20"/>
                <w:color w:val="auto"/>
              </w:rPr>
            </w:pPr>
            <w:r>
              <w:rPr>
                <w:rFonts w:ascii="Arial" w:cs="Arial" w:eastAsia="Arial" w:hAnsi="Arial"/>
                <w:sz w:val="18"/>
                <w:szCs w:val="18"/>
                <w:color w:val="auto"/>
              </w:rPr>
              <w:t>Losses per occurrence subject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ind w:left="380"/>
              <w:spacing w:after="0"/>
              <w:rPr>
                <w:sz w:val="20"/>
                <w:szCs w:val="20"/>
                <w:color w:val="auto"/>
              </w:rPr>
            </w:pPr>
            <w:r>
              <w:rPr>
                <w:rFonts w:ascii="Arial" w:cs="Arial" w:eastAsia="Arial" w:hAnsi="Arial"/>
                <w:sz w:val="18"/>
                <w:szCs w:val="18"/>
                <w:color w:val="auto"/>
              </w:rPr>
              <w:t>to reinsurance coverage</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8,000,000</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9,000,000</w:t>
            </w: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10,000,000</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Expiration date (7)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June 30, 2021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June 30, 2021</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June 30, 2020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June 30, 2020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June 30, 2019</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Catastrophe Reinsurance: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tcPr>
          <w:p>
            <w:pPr>
              <w:ind w:left="180"/>
              <w:spacing w:after="0" w:line="199" w:lineRule="exact"/>
              <w:rPr>
                <w:sz w:val="20"/>
                <w:szCs w:val="20"/>
                <w:color w:val="auto"/>
              </w:rPr>
            </w:pPr>
            <w:r>
              <w:rPr>
                <w:rFonts w:ascii="Arial" w:cs="Arial" w:eastAsia="Arial" w:hAnsi="Arial"/>
                <w:sz w:val="18"/>
                <w:szCs w:val="18"/>
                <w:color w:val="auto"/>
              </w:rPr>
              <w:t>Initial loss subject to personal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ind w:left="380"/>
              <w:spacing w:after="0"/>
              <w:rPr>
                <w:sz w:val="20"/>
                <w:szCs w:val="20"/>
                <w:color w:val="auto"/>
              </w:rPr>
            </w:pPr>
            <w:r>
              <w:rPr>
                <w:rFonts w:ascii="Arial" w:cs="Arial" w:eastAsia="Arial" w:hAnsi="Arial"/>
                <w:sz w:val="18"/>
                <w:szCs w:val="18"/>
                <w:color w:val="auto"/>
              </w:rPr>
              <w:t>lines quota share treaty</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NA (7)</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7,500,000</w:t>
            </w: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7,500,000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None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 retained per catastrophe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occurrence (2) (7)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5,625,000</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Catastrophe loss coverage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83" w:orient="portrait"/>
          <w:cols w:equalWidth="0" w:num="1">
            <w:col w:w="11240"/>
          </w:cols>
          <w:pgMar w:left="320" w:top="338" w:right="339" w:bottom="0" w:gutter="0" w:footer="0" w:header="0"/>
        </w:sectPr>
      </w:pPr>
    </w:p>
    <w:bookmarkStart w:id="46" w:name="page47"/>
    <w:bookmarkEnd w:id="46"/>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40" w:type="dxa"/>
            <w:vAlign w:val="bottom"/>
          </w:tcPr>
          <w:p>
            <w:pPr>
              <w:ind w:left="400"/>
              <w:spacing w:after="0"/>
              <w:rPr>
                <w:sz w:val="20"/>
                <w:szCs w:val="20"/>
                <w:color w:val="auto"/>
              </w:rPr>
            </w:pPr>
            <w:r>
              <w:rPr>
                <w:rFonts w:ascii="Arial" w:cs="Arial" w:eastAsia="Arial" w:hAnsi="Arial"/>
                <w:sz w:val="18"/>
                <w:szCs w:val="18"/>
                <w:color w:val="auto"/>
              </w:rPr>
              <w:t>in excess of</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3"/>
        </w:trPr>
        <w:tc>
          <w:tcPr>
            <w:tcW w:w="3540" w:type="dxa"/>
            <w:vAlign w:val="bottom"/>
          </w:tcPr>
          <w:p>
            <w:pPr>
              <w:ind w:left="400"/>
              <w:spacing w:after="0"/>
              <w:rPr>
                <w:sz w:val="20"/>
                <w:szCs w:val="20"/>
                <w:color w:val="auto"/>
              </w:rPr>
            </w:pPr>
            <w:r>
              <w:rPr>
                <w:rFonts w:ascii="Arial" w:cs="Arial" w:eastAsia="Arial" w:hAnsi="Arial"/>
                <w:sz w:val="18"/>
                <w:szCs w:val="18"/>
                <w:color w:val="auto"/>
              </w:rPr>
              <w:t>quota share coverage (3) (7)</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   475,000,000</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475,000,000</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602,500,000</w:t>
            </w:r>
          </w:p>
        </w:tc>
        <w:tc>
          <w:tcPr>
            <w:tcW w:w="4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602,500,000</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w w:val="99"/>
              </w:rPr>
              <w:t>$  445,000,000</w:t>
            </w:r>
          </w:p>
        </w:tc>
      </w:tr>
      <w:tr>
        <w:trPr>
          <w:trHeight w:val="212"/>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Reinstatement premium</w:t>
            </w: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1"/>
        </w:trPr>
        <w:tc>
          <w:tcPr>
            <w:tcW w:w="3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protection (4) (5) (6)</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Yes</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Yes</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Yes</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Yes</w:t>
            </w:r>
          </w:p>
        </w:tc>
        <w:tc>
          <w:tcPr>
            <w:tcW w:w="1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Yes</w:t>
            </w:r>
          </w:p>
        </w:tc>
      </w:tr>
    </w:tbl>
    <w:p>
      <w:pPr>
        <w:spacing w:after="0" w:line="199" w:lineRule="exact"/>
        <w:rPr>
          <w:sz w:val="20"/>
          <w:szCs w:val="20"/>
          <w:color w:val="auto"/>
        </w:rPr>
      </w:pPr>
    </w:p>
    <w:p>
      <w:pPr>
        <w:ind w:left="460" w:right="20" w:hanging="454"/>
        <w:spacing w:after="0" w:line="251"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personal lines, includes the addition of an automatic facultative facility allowing KICO to obtain homeowners single risk coverage up to $10,000,000 in total insured value, which covers direct losses from $3,500,000 to $10,000,000.</w:t>
      </w:r>
    </w:p>
    <w:p>
      <w:pPr>
        <w:spacing w:after="0" w:line="1" w:lineRule="exact"/>
        <w:rPr>
          <w:rFonts w:ascii="Arial" w:cs="Arial" w:eastAsia="Arial" w:hAnsi="Arial"/>
          <w:sz w:val="18"/>
          <w:szCs w:val="18"/>
          <w:color w:val="auto"/>
        </w:rPr>
      </w:pPr>
    </w:p>
    <w:p>
      <w:pPr>
        <w:ind w:left="460" w:hanging="454"/>
        <w:spacing w:after="0" w:line="24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Plus losses in excess of catastrophe coverage. Effective July 1, 2020, no reinsurance coverage for the $2,500,000 gap between quota share limit of $7,500,000 and first $10,000,000 layer of catastrophe coverage (see note (7) below).</w:t>
      </w:r>
    </w:p>
    <w:p>
      <w:pPr>
        <w:spacing w:after="0" w:line="1" w:lineRule="exact"/>
        <w:rPr>
          <w:rFonts w:ascii="Arial" w:cs="Arial" w:eastAsia="Arial" w:hAnsi="Arial"/>
          <w:sz w:val="18"/>
          <w:szCs w:val="18"/>
          <w:color w:val="auto"/>
        </w:rPr>
      </w:pPr>
    </w:p>
    <w:p>
      <w:pPr>
        <w:ind w:left="460" w:hanging="454"/>
        <w:spacing w:after="0" w:line="24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Catastrophe coverage is limited on an annual basis to two times the per occurrence amounts. Duration of 168 consecutive hours for a catastrophe occurrence from windstorm, hail, tornado, hurricane and cyclone.</w:t>
      </w:r>
    </w:p>
    <w:p>
      <w:pPr>
        <w:spacing w:after="0" w:line="1" w:lineRule="exact"/>
        <w:rPr>
          <w:rFonts w:ascii="Arial" w:cs="Arial" w:eastAsia="Arial" w:hAnsi="Arial"/>
          <w:sz w:val="18"/>
          <w:szCs w:val="18"/>
          <w:color w:val="auto"/>
        </w:rPr>
      </w:pPr>
    </w:p>
    <w:p>
      <w:pPr>
        <w:ind w:left="460" w:hanging="454"/>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July 1, 2018, reinstatement premium protection for $210,000,000 of catastrophe coverage in excess of $5,000,000.</w:t>
      </w:r>
    </w:p>
    <w:p>
      <w:pPr>
        <w:spacing w:after="0" w:line="4" w:lineRule="exact"/>
        <w:rPr>
          <w:rFonts w:ascii="Arial" w:cs="Arial" w:eastAsia="Arial" w:hAnsi="Arial"/>
          <w:sz w:val="18"/>
          <w:szCs w:val="18"/>
          <w:color w:val="auto"/>
        </w:rPr>
      </w:pPr>
    </w:p>
    <w:p>
      <w:pPr>
        <w:ind w:left="460" w:hanging="454"/>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July 1, 2019, reinstatement premium protection for $292,500,000 of catastrophe coverage in excess of $7,500,000.</w:t>
      </w:r>
    </w:p>
    <w:p>
      <w:pPr>
        <w:spacing w:after="0" w:line="4" w:lineRule="exact"/>
        <w:rPr>
          <w:rFonts w:ascii="Arial" w:cs="Arial" w:eastAsia="Arial" w:hAnsi="Arial"/>
          <w:sz w:val="18"/>
          <w:szCs w:val="18"/>
          <w:color w:val="auto"/>
        </w:rPr>
      </w:pPr>
    </w:p>
    <w:p>
      <w:pPr>
        <w:ind w:left="460" w:hanging="454"/>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July 1, 2020, reinstatement premium protection for $70,000,000 of catastrophe coverage in excess of $10,000,000.</w:t>
      </w:r>
    </w:p>
    <w:p>
      <w:pPr>
        <w:spacing w:after="0" w:line="4" w:lineRule="exact"/>
        <w:rPr>
          <w:rFonts w:ascii="Arial" w:cs="Arial" w:eastAsia="Arial" w:hAnsi="Arial"/>
          <w:sz w:val="18"/>
          <w:szCs w:val="18"/>
          <w:color w:val="auto"/>
        </w:rPr>
      </w:pPr>
    </w:p>
    <w:p>
      <w:pPr>
        <w:ind w:left="460" w:hanging="454"/>
        <w:spacing w:after="0" w:line="24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Quota share expires December 31, 2020; reinsurance coverage from January 1, 2021 through June 30, 2021 is only for excess of loss and catastrophe reinsurance.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20" w:type="dxa"/>
            <w:vAlign w:val="bottom"/>
            <w:gridSpan w:val="5"/>
          </w:tcPr>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9"/>
              </w:rPr>
              <w:t>Treaty Year</w:t>
            </w: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40"/>
              <w:spacing w:after="0" w:line="187" w:lineRule="exact"/>
              <w:rPr>
                <w:sz w:val="20"/>
                <w:szCs w:val="20"/>
                <w:color w:val="auto"/>
              </w:rPr>
            </w:pPr>
            <w:r>
              <w:rPr>
                <w:rFonts w:ascii="Arial" w:cs="Arial" w:eastAsia="Arial" w:hAnsi="Arial"/>
                <w:sz w:val="18"/>
                <w:szCs w:val="18"/>
                <w:b w:val="1"/>
                <w:bCs w:val="1"/>
                <w:color w:val="auto"/>
                <w:w w:val="88"/>
              </w:rPr>
              <w:t>July 1, 2020</w:t>
            </w:r>
          </w:p>
        </w:tc>
        <w:tc>
          <w:tcPr>
            <w:tcW w:w="200" w:type="dxa"/>
            <w:vAlign w:val="bottom"/>
          </w:tcPr>
          <w:p>
            <w:pPr>
              <w:spacing w:after="0"/>
              <w:rPr>
                <w:sz w:val="16"/>
                <w:szCs w:val="16"/>
                <w:color w:val="auto"/>
              </w:rPr>
            </w:pPr>
          </w:p>
        </w:tc>
        <w:tc>
          <w:tcPr>
            <w:tcW w:w="1160" w:type="dxa"/>
            <w:vAlign w:val="bottom"/>
            <w:gridSpan w:val="2"/>
          </w:tcPr>
          <w:p>
            <w:pPr>
              <w:jc w:val="center"/>
              <w:ind w:right="260"/>
              <w:spacing w:after="0" w:line="187" w:lineRule="exact"/>
              <w:rPr>
                <w:sz w:val="20"/>
                <w:szCs w:val="20"/>
                <w:color w:val="auto"/>
              </w:rPr>
            </w:pPr>
            <w:r>
              <w:rPr>
                <w:rFonts w:ascii="Arial" w:cs="Arial" w:eastAsia="Arial" w:hAnsi="Arial"/>
                <w:sz w:val="18"/>
                <w:szCs w:val="18"/>
                <w:b w:val="1"/>
                <w:bCs w:val="1"/>
                <w:color w:val="auto"/>
                <w:w w:val="88"/>
              </w:rPr>
              <w:t>July 1, 2019</w:t>
            </w:r>
          </w:p>
        </w:tc>
        <w:tc>
          <w:tcPr>
            <w:tcW w:w="220" w:type="dxa"/>
            <w:vAlign w:val="bottom"/>
          </w:tcPr>
          <w:p>
            <w:pPr>
              <w:spacing w:after="0"/>
              <w:rPr>
                <w:sz w:val="16"/>
                <w:szCs w:val="16"/>
                <w:color w:val="auto"/>
              </w:rPr>
            </w:pPr>
          </w:p>
        </w:tc>
        <w:tc>
          <w:tcPr>
            <w:tcW w:w="1000" w:type="dxa"/>
            <w:vAlign w:val="bottom"/>
          </w:tcPr>
          <w:p>
            <w:pPr>
              <w:jc w:val="center"/>
              <w:ind w:right="12"/>
              <w:spacing w:after="0" w:line="187" w:lineRule="exact"/>
              <w:rPr>
                <w:sz w:val="20"/>
                <w:szCs w:val="20"/>
                <w:color w:val="auto"/>
              </w:rPr>
            </w:pPr>
            <w:r>
              <w:rPr>
                <w:rFonts w:ascii="Arial" w:cs="Arial" w:eastAsia="Arial" w:hAnsi="Arial"/>
                <w:sz w:val="18"/>
                <w:szCs w:val="18"/>
                <w:b w:val="1"/>
                <w:bCs w:val="1"/>
                <w:color w:val="auto"/>
                <w:w w:val="88"/>
              </w:rPr>
              <w:t>July 1, 2018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to</w:t>
            </w:r>
          </w:p>
        </w:tc>
        <w:tc>
          <w:tcPr>
            <w:tcW w:w="2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to</w:t>
            </w:r>
          </w:p>
        </w:tc>
        <w:tc>
          <w:tcPr>
            <w:tcW w:w="2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to</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Line of Business</w:t>
            </w:r>
          </w:p>
        </w:tc>
        <w:tc>
          <w:tcPr>
            <w:tcW w:w="100" w:type="dxa"/>
            <w:vAlign w:val="bottom"/>
          </w:tcPr>
          <w:p>
            <w:pPr>
              <w:spacing w:after="0"/>
              <w:rPr>
                <w:sz w:val="19"/>
                <w:szCs w:val="19"/>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June 30, 2021</w:t>
            </w:r>
          </w:p>
        </w:tc>
        <w:tc>
          <w:tcPr>
            <w:tcW w:w="160" w:type="dxa"/>
            <w:vAlign w:val="bottom"/>
          </w:tcPr>
          <w:p>
            <w:pPr>
              <w:spacing w:after="0"/>
              <w:rPr>
                <w:sz w:val="19"/>
                <w:szCs w:val="19"/>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June 30, 2020</w:t>
            </w:r>
          </w:p>
        </w:tc>
        <w:tc>
          <w:tcPr>
            <w:tcW w:w="140" w:type="dxa"/>
            <w:vAlign w:val="bottom"/>
          </w:tcPr>
          <w:p>
            <w:pPr>
              <w:spacing w:after="0"/>
              <w:rPr>
                <w:sz w:val="19"/>
                <w:szCs w:val="19"/>
                <w:color w:val="auto"/>
              </w:rPr>
            </w:pPr>
          </w:p>
        </w:tc>
        <w:tc>
          <w:tcPr>
            <w:tcW w:w="1220" w:type="dxa"/>
            <w:vAlign w:val="bottom"/>
            <w:tcBorders>
              <w:bottom w:val="single" w:sz="8" w:color="auto"/>
            </w:tcBorders>
            <w:gridSpan w:val="2"/>
          </w:tcPr>
          <w:p>
            <w:pPr>
              <w:jc w:val="center"/>
              <w:ind w:left="32"/>
              <w:spacing w:after="0"/>
              <w:rPr>
                <w:sz w:val="20"/>
                <w:szCs w:val="20"/>
                <w:color w:val="auto"/>
              </w:rPr>
            </w:pPr>
            <w:r>
              <w:rPr>
                <w:rFonts w:ascii="Arial" w:cs="Arial" w:eastAsia="Arial" w:hAnsi="Arial"/>
                <w:sz w:val="18"/>
                <w:szCs w:val="18"/>
                <w:b w:val="1"/>
                <w:bCs w:val="1"/>
                <w:color w:val="auto"/>
                <w:w w:val="87"/>
              </w:rPr>
              <w:t>June 30, 2019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Personal Lines:</w:t>
            </w:r>
          </w:p>
        </w:tc>
        <w:tc>
          <w:tcPr>
            <w:tcW w:w="61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7220" w:type="dxa"/>
            <w:vAlign w:val="bottom"/>
            <w:gridSpan w:val="5"/>
          </w:tcPr>
          <w:p>
            <w:pPr>
              <w:spacing w:after="0"/>
              <w:rPr>
                <w:sz w:val="20"/>
                <w:szCs w:val="20"/>
                <w:color w:val="auto"/>
              </w:rPr>
            </w:pPr>
            <w:r>
              <w:rPr>
                <w:rFonts w:ascii="Arial" w:cs="Arial" w:eastAsia="Arial" w:hAnsi="Arial"/>
                <w:sz w:val="18"/>
                <w:szCs w:val="18"/>
                <w:color w:val="auto"/>
              </w:rPr>
              <w:t>Personal Umbrella</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gridSpan w:val="4"/>
          </w:tcPr>
          <w:p>
            <w:pPr>
              <w:ind w:left="18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Percent ceded - first $1,000,000 of coverage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tcPr>
          <w:p>
            <w:pPr>
              <w:ind w:left="380"/>
              <w:spacing w:after="0"/>
              <w:rPr>
                <w:sz w:val="20"/>
                <w:szCs w:val="20"/>
                <w:color w:val="auto"/>
              </w:rPr>
            </w:pPr>
            <w:r>
              <w:rPr>
                <w:rFonts w:ascii="Arial" w:cs="Arial" w:eastAsia="Arial" w:hAnsi="Arial"/>
                <w:sz w:val="18"/>
                <w:szCs w:val="18"/>
                <w:color w:val="auto"/>
              </w:rPr>
              <w:t>Percent ceded - excess of $1,000,000 of coverage</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Risk retained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tcPr>
          <w:p>
            <w:pPr>
              <w:ind w:left="380"/>
              <w:spacing w:after="0"/>
              <w:rPr>
                <w:sz w:val="20"/>
                <w:szCs w:val="20"/>
                <w:color w:val="auto"/>
              </w:rPr>
            </w:pPr>
            <w:r>
              <w:rPr>
                <w:rFonts w:ascii="Arial" w:cs="Arial" w:eastAsia="Arial" w:hAnsi="Arial"/>
                <w:sz w:val="18"/>
                <w:szCs w:val="18"/>
                <w:color w:val="auto"/>
              </w:rPr>
              <w:t>Total reinsurance coverage per occurrence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4,700,000</w:t>
            </w: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4,900,000</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4,900,000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tcPr>
          <w:p>
            <w:pPr>
              <w:ind w:left="180"/>
              <w:spacing w:after="0"/>
              <w:rPr>
                <w:sz w:val="20"/>
                <w:szCs w:val="20"/>
                <w:color w:val="auto"/>
              </w:rPr>
            </w:pPr>
            <w:r>
              <w:rPr>
                <w:rFonts w:ascii="Arial" w:cs="Arial" w:eastAsia="Arial" w:hAnsi="Arial"/>
                <w:sz w:val="18"/>
                <w:szCs w:val="18"/>
                <w:color w:val="auto"/>
              </w:rPr>
              <w:t>Expiration date</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June 30, 2021</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June 30, 2020</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June 30, 2019</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340" w:type="dxa"/>
            <w:vAlign w:val="bottom"/>
            <w:tcBorders>
              <w:bottom w:val="single" w:sz="8" w:color="auto"/>
            </w:tcBorders>
            <w:gridSpan w:val="2"/>
          </w:tcPr>
          <w:p>
            <w:pPr>
              <w:spacing w:after="0" w:line="172" w:lineRule="exact"/>
              <w:rPr>
                <w:sz w:val="20"/>
                <w:szCs w:val="20"/>
                <w:color w:val="auto"/>
              </w:rPr>
            </w:pPr>
            <w:r>
              <w:rPr>
                <w:rFonts w:ascii="Arial" w:cs="Arial" w:eastAsia="Arial" w:hAnsi="Arial"/>
                <w:sz w:val="18"/>
                <w:szCs w:val="18"/>
                <w:color w:val="auto"/>
                <w:w w:val="88"/>
              </w:rPr>
              <w:t>Commercial Lines:</w:t>
            </w:r>
          </w:p>
        </w:tc>
        <w:tc>
          <w:tcPr>
            <w:tcW w:w="58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General liability commercial policies</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tcPr>
          <w:p>
            <w:pPr>
              <w:ind w:left="180"/>
              <w:spacing w:after="0"/>
              <w:rPr>
                <w:sz w:val="20"/>
                <w:szCs w:val="20"/>
                <w:color w:val="auto"/>
              </w:rPr>
            </w:pPr>
            <w:r>
              <w:rPr>
                <w:rFonts w:ascii="Arial" w:cs="Arial" w:eastAsia="Arial" w:hAnsi="Arial"/>
                <w:sz w:val="18"/>
                <w:szCs w:val="18"/>
                <w:color w:val="auto"/>
              </w:rPr>
              <w:t>Quota share treaty</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Risk retained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tcPr>
          <w:p>
            <w:pPr>
              <w:ind w:left="180"/>
              <w:spacing w:after="0"/>
              <w:rPr>
                <w:sz w:val="20"/>
                <w:szCs w:val="20"/>
                <w:color w:val="auto"/>
              </w:rPr>
            </w:pPr>
            <w:r>
              <w:rPr>
                <w:rFonts w:ascii="Arial" w:cs="Arial" w:eastAsia="Arial" w:hAnsi="Arial"/>
                <w:sz w:val="18"/>
                <w:szCs w:val="18"/>
                <w:color w:val="auto"/>
              </w:rPr>
              <w:t>Excess of loss coverage above risk retained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3,750,000</w:t>
            </w: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3,750,000</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in excess of</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in excess of</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in excess of</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750,000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750,000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Total reinsurance coverage per occurrence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tcPr>
          <w:p>
            <w:pPr>
              <w:ind w:left="180"/>
              <w:spacing w:after="0"/>
              <w:rPr>
                <w:sz w:val="20"/>
                <w:szCs w:val="20"/>
                <w:color w:val="auto"/>
              </w:rPr>
            </w:pPr>
            <w:r>
              <w:rPr>
                <w:rFonts w:ascii="Arial" w:cs="Arial" w:eastAsia="Arial" w:hAnsi="Arial"/>
                <w:sz w:val="18"/>
                <w:szCs w:val="18"/>
                <w:color w:val="auto"/>
              </w:rPr>
              <w:t>Losses per occurrence subject to reinsurance coverage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4,500,000</w:t>
            </w: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4,500,000</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200" w:type="dxa"/>
            <w:vAlign w:val="bottom"/>
            <w:gridSpan w:val="4"/>
          </w:tcPr>
          <w:p>
            <w:pPr>
              <w:spacing w:after="0"/>
              <w:rPr>
                <w:sz w:val="20"/>
                <w:szCs w:val="20"/>
                <w:color w:val="auto"/>
              </w:rPr>
            </w:pPr>
            <w:r>
              <w:rPr>
                <w:rFonts w:ascii="Arial" w:cs="Arial" w:eastAsia="Arial" w:hAnsi="Arial"/>
                <w:sz w:val="18"/>
                <w:szCs w:val="18"/>
                <w:color w:val="auto"/>
              </w:rPr>
              <w:t>Commercial Umbrella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Quota share treaty:</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tcPr>
          <w:p>
            <w:pPr>
              <w:ind w:left="380"/>
              <w:spacing w:after="0"/>
              <w:rPr>
                <w:sz w:val="20"/>
                <w:szCs w:val="20"/>
                <w:color w:val="auto"/>
              </w:rPr>
            </w:pPr>
            <w:r>
              <w:rPr>
                <w:rFonts w:ascii="Arial" w:cs="Arial" w:eastAsia="Arial" w:hAnsi="Arial"/>
                <w:sz w:val="18"/>
                <w:szCs w:val="18"/>
                <w:color w:val="auto"/>
              </w:rPr>
              <w:t>Percent ceded - first $1,000,000 of coverage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Percent ceded - excess of $1,000,000 of coverage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tcPr>
          <w:p>
            <w:pPr>
              <w:ind w:left="380"/>
              <w:spacing w:after="0"/>
              <w:rPr>
                <w:sz w:val="20"/>
                <w:szCs w:val="20"/>
                <w:color w:val="auto"/>
              </w:rPr>
            </w:pPr>
            <w:r>
              <w:rPr>
                <w:rFonts w:ascii="Arial" w:cs="Arial" w:eastAsia="Arial" w:hAnsi="Arial"/>
                <w:sz w:val="18"/>
                <w:szCs w:val="18"/>
                <w:color w:val="auto"/>
              </w:rPr>
              <w:t>Risk retained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Total reinsurance coverage per occurrence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4,900,000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tcPr>
          <w:p>
            <w:pPr>
              <w:ind w:left="380"/>
              <w:spacing w:after="0"/>
              <w:rPr>
                <w:sz w:val="20"/>
                <w:szCs w:val="20"/>
                <w:color w:val="auto"/>
              </w:rPr>
            </w:pPr>
            <w:r>
              <w:rPr>
                <w:rFonts w:ascii="Arial" w:cs="Arial" w:eastAsia="Arial" w:hAnsi="Arial"/>
                <w:sz w:val="18"/>
                <w:szCs w:val="18"/>
                <w:color w:val="auto"/>
              </w:rPr>
              <w:t>Losses per occurrence subject to quota share reinsurance coverage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Expiration date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June 30, 2019</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360" w:firstLine="594"/>
        <w:spacing w:after="0" w:line="254" w:lineRule="auto"/>
        <w:rPr>
          <w:sz w:val="20"/>
          <w:szCs w:val="20"/>
          <w:color w:val="auto"/>
        </w:rPr>
      </w:pPr>
      <w:r>
        <w:rPr>
          <w:rFonts w:ascii="Arial" w:cs="Arial" w:eastAsia="Arial" w:hAnsi="Arial"/>
          <w:sz w:val="18"/>
          <w:szCs w:val="18"/>
          <w:color w:val="auto"/>
        </w:rPr>
        <w:t>Our growth in personal lines premiums and the increasing coastal exposure in Expansion states has increased our risks for catastrophes. Our catastrophe rates increased effective July 1, 2020 to reflect our increased risk and size of our personal lines business as well as increases in the reinsurance market related to COVID-19 exposure.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2" w:lineRule="exact"/>
        <w:rPr>
          <w:sz w:val="20"/>
          <w:szCs w:val="20"/>
          <w:color w:val="auto"/>
        </w:rPr>
      </w:pPr>
    </w:p>
    <w:p>
      <w:pPr>
        <w:jc w:val="both"/>
        <w:ind w:firstLine="594"/>
        <w:spacing w:after="0" w:line="364" w:lineRule="auto"/>
        <w:rPr>
          <w:sz w:val="20"/>
          <w:szCs w:val="20"/>
          <w:color w:val="auto"/>
        </w:rPr>
      </w:pPr>
      <w:r>
        <w:rPr>
          <w:rFonts w:ascii="Arial" w:cs="Arial" w:eastAsia="Arial" w:hAnsi="Arial"/>
          <w:sz w:val="15"/>
          <w:szCs w:val="15"/>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2" w:lineRule="exact"/>
        <w:rPr>
          <w:sz w:val="20"/>
          <w:szCs w:val="20"/>
          <w:color w:val="auto"/>
        </w:rPr>
      </w:pPr>
    </w:p>
    <w:p>
      <w:pPr>
        <w:jc w:val="both"/>
        <w:ind w:firstLine="594"/>
        <w:spacing w:after="0" w:line="248" w:lineRule="auto"/>
        <w:rPr>
          <w:sz w:val="20"/>
          <w:szCs w:val="20"/>
          <w:color w:val="auto"/>
        </w:rPr>
      </w:pPr>
      <w:r>
        <w:rPr>
          <w:rFonts w:ascii="Arial" w:cs="Arial" w:eastAsia="Arial" w:hAnsi="Arial"/>
          <w:sz w:val="18"/>
          <w:szCs w:val="18"/>
          <w:color w:val="auto"/>
        </w:rPr>
        <w:t>The impacts of COVID-19 and related economic conditions on our results are highly uncertain and outside our control. The scope, duration and magnitude of the direct and indirect effects of COVID-19 are evolving rapidly and in ways that are difficult or impossible to anticipate. In addition, because COVID-19 did not begin to affect our financial results until late in the first quarter of 2020, its impact on our results through September 30, 2020 is not indicative of its impact on our results for the remainder of 2020. For additional information on the risks posed by COVID-19, see “The impact of COVID-19 and related risks could materially affect our results of operations, financial position and/or liquidity” included in Part II, Item 1A— “Risk Factors” in this Quarterly Report.</w:t>
      </w:r>
    </w:p>
    <w:p>
      <w:pPr>
        <w:spacing w:after="0" w:line="196" w:lineRule="exact"/>
        <w:rPr>
          <w:sz w:val="20"/>
          <w:szCs w:val="20"/>
          <w:color w:val="auto"/>
        </w:rPr>
      </w:pPr>
    </w:p>
    <w:p>
      <w:pPr>
        <w:ind w:right="20" w:firstLine="594"/>
        <w:spacing w:after="0" w:line="328" w:lineRule="auto"/>
        <w:rPr>
          <w:sz w:val="20"/>
          <w:szCs w:val="20"/>
          <w:color w:val="auto"/>
        </w:rPr>
      </w:pPr>
      <w:r>
        <w:rPr>
          <w:rFonts w:ascii="Arial" w:cs="Arial" w:eastAsia="Arial" w:hAnsi="Arial"/>
          <w:sz w:val="15"/>
          <w:szCs w:val="15"/>
          <w:color w:val="auto"/>
        </w:rPr>
        <w:t>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As a result of COVID-</w:t>
      </w:r>
    </w:p>
    <w:p>
      <w:pPr>
        <w:sectPr>
          <w:pgSz w:w="11900" w:h="16906" w:orient="portrait"/>
          <w:cols w:equalWidth="0" w:num="1">
            <w:col w:w="11240"/>
          </w:cols>
          <w:pgMar w:left="320" w:top="127" w:right="339" w:bottom="0" w:gutter="0" w:footer="0" w:header="0"/>
        </w:sectPr>
      </w:pPr>
    </w:p>
    <w:bookmarkStart w:id="47" w:name="page48"/>
    <w:bookmarkEnd w:id="47"/>
    <w:p>
      <w:pPr>
        <w:spacing w:after="0" w:line="20"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19, economic conditions in the United States rapidly deteriorated. The decreased levels of economic activity have negatively impacted, and will continue to negatively impact, premium volumes generated by new business. We began to experience this impact in March 2020 and it became more significant in the second and third quarters of 2020. We also expect this impact will further persist but to a lesser extent for the remainder of 2020, but the degree of the impact will depend on the extent and duration of the economic contraction and could be material. We have also made underwriting changes to emphasize profitability over growth and have culled out the type of risks that do not generate an acceptable level of return. This action has led, and will continue to lead, to a slowdown in premium growth, particularly in new business.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r>
        <w:rPr>
          <w:rFonts w:ascii="Arial" w:cs="Arial" w:eastAsia="Arial" w:hAnsi="Arial"/>
          <w:sz w:val="18"/>
          <w:szCs w:val="18"/>
          <w:color w:val="auto"/>
        </w:rPr>
        <w:t>.</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item is not applicable to smaller reporting companies.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r>
        <w:rPr>
          <w:rFonts w:ascii="Arial" w:cs="Arial" w:eastAsia="Arial" w:hAnsi="Arial"/>
          <w:sz w:val="18"/>
          <w:szCs w:val="18"/>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16"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7"/>
          <w:szCs w:val="17"/>
          <w:color w:val="auto"/>
        </w:rPr>
        <w:t>We maintain a system of disclosure controls and procedures as defined in Rule 13a-15(e) under the Exchange Act that are designed to assure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Principal Financial Officer, as appropriate, to allow timely decisions regarding required disclosures. Based on this evaluation, our Chief Executive Officer and Principal Financial Officer have concluded that, as of the end of such period, our disclosure controls and procedures are: (i) effective in recording, processing, summarizing, and reporting information on a timely basis that we are required to disclose in the reports that we file or submit under the Exchange Act, and (ii) effective in ensuring that information that we are required to disclose in the reports that we file or submit under the Exchange Act is accumulated and communicated to our management, including our Chief Executive Officer and Principal Financial Officer, as appropriate, to allow timely decisions regarding required disclosure.</w:t>
      </w:r>
    </w:p>
    <w:p>
      <w:pPr>
        <w:spacing w:after="0" w:line="185"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color w:val="auto"/>
        </w:rPr>
        <w:t>As required by Exchange Act Rule 13a-15(b), as of the end of the period covered by this Quarterly Report, under the supervision and with the participation of our Chief Executive Officer and Principal Financial Officer, we evaluated the effectiveness of our disclosure controls and procedures. Based on this evaluation, our Chief Executive Officer and Principal Financial Officer concluded that our disclosure controls and procedures were effective as of September 30, 2020.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16"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our most recently completed fiscal quarter that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 on Effectiveness of Controls</w:t>
      </w:r>
    </w:p>
    <w:p>
      <w:pPr>
        <w:spacing w:after="0" w:line="216" w:lineRule="exact"/>
        <w:rPr>
          <w:sz w:val="20"/>
          <w:szCs w:val="20"/>
          <w:color w:val="auto"/>
        </w:rPr>
      </w:pPr>
    </w:p>
    <w:p>
      <w:pPr>
        <w:jc w:val="both"/>
        <w:ind w:firstLine="634"/>
        <w:spacing w:after="0" w:line="305" w:lineRule="auto"/>
        <w:rPr>
          <w:sz w:val="20"/>
          <w:szCs w:val="20"/>
          <w:color w:val="auto"/>
        </w:rPr>
      </w:pPr>
      <w:r>
        <w:rPr>
          <w:rFonts w:ascii="Arial" w:cs="Arial" w:eastAsia="Arial" w:hAnsi="Arial"/>
          <w:sz w:val="15"/>
          <w:szCs w:val="15"/>
          <w:color w:val="auto"/>
        </w:rPr>
        <w:t>Internal control over financial reporting is a process designed by, or under the supervision of, our Chief Executive Officer and Principal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56" w:lineRule="exact"/>
        <w:rPr>
          <w:sz w:val="20"/>
          <w:szCs w:val="20"/>
          <w:color w:val="auto"/>
        </w:rPr>
      </w:pPr>
    </w:p>
    <w:p>
      <w:pPr>
        <w:jc w:val="both"/>
        <w:ind w:firstLine="594"/>
        <w:spacing w:after="0" w:line="25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18"/>
          <w:szCs w:val="18"/>
          <w:b w:val="1"/>
          <w:bCs w:val="1"/>
          <w:u w:val="single" w:color="auto"/>
          <w:color w:val="auto"/>
        </w:rPr>
        <w:t>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r>
        <w:rPr>
          <w:rFonts w:ascii="Arial" w:cs="Arial" w:eastAsia="Arial" w:hAnsi="Arial"/>
          <w:sz w:val="18"/>
          <w:szCs w:val="18"/>
          <w:color w:val="auto"/>
        </w:rPr>
        <w:t>.</w:t>
      </w:r>
    </w:p>
    <w:p>
      <w:pPr>
        <w:spacing w:after="0" w:line="222" w:lineRule="exact"/>
        <w:rPr>
          <w:sz w:val="20"/>
          <w:szCs w:val="20"/>
          <w:color w:val="auto"/>
        </w:rPr>
      </w:pPr>
    </w:p>
    <w:p>
      <w:pPr>
        <w:ind w:firstLine="594"/>
        <w:spacing w:after="0" w:line="302" w:lineRule="auto"/>
        <w:rPr>
          <w:sz w:val="20"/>
          <w:szCs w:val="20"/>
          <w:color w:val="auto"/>
        </w:rPr>
      </w:pPr>
      <w:r>
        <w:rPr>
          <w:rFonts w:ascii="Arial" w:cs="Arial" w:eastAsia="Arial" w:hAnsi="Arial"/>
          <w:sz w:val="15"/>
          <w:szCs w:val="15"/>
          <w:color w:val="auto"/>
        </w:rPr>
        <w:t xml:space="preserve">On June 12, 2019, Phillip Woolgar filed a suit naming the Company and certain present or former officers and directors as defendants in a putative class action captioned </w:t>
      </w:r>
      <w:r>
        <w:rPr>
          <w:rFonts w:ascii="Arial" w:cs="Arial" w:eastAsia="Arial" w:hAnsi="Arial"/>
          <w:sz w:val="15"/>
          <w:szCs w:val="15"/>
          <w:i w:val="1"/>
          <w:iCs w:val="1"/>
          <w:color w:val="auto"/>
        </w:rPr>
        <w:t>Woolgar v. Kingstone Companies et al.</w:t>
      </w:r>
      <w:r>
        <w:rPr>
          <w:rFonts w:ascii="Arial" w:cs="Arial" w:eastAsia="Arial" w:hAnsi="Arial"/>
          <w:sz w:val="15"/>
          <w:szCs w:val="15"/>
          <w:color w:val="auto"/>
        </w:rPr>
        <w:t>, 19 cv 05500 (S.D.N.Y.), asserting claims under Section 10(b) of the Exchange Act and SEC Rule 10b-5 promulgated thereunder and Section 20(a) of the Exchange Act. Plaintiff sought to represent a class of persons or entities that purchased Kingstone securities between March 14, 2018, and April 29, 2019, and alleged violations of the federal securities law in connection with the Company’s April 29, 2019 announcement regarding losses related to winter catastrophe events. The lawsuit alleged that the Company failed to disclose that it did not adequately follow industry best practices related to claims handling and thus did not record sufficient claim reserves, and that as a result, Defendants’ positive statements about the Company’s business, operations and prospects misled investors. Plaintiff sought, among other things, an undetermined amount of money damages. On August 10, 2020, the court granted the Company’s motion to dismiss the amended complaint in the suit. The court permitted plaintiff to amend the complaint to attempt to cure the deficiencies identified by the court in its opinion (to the extent plaintiff had a good faith basis to do so). The outside date to file the</w:t>
      </w:r>
    </w:p>
    <w:p>
      <w:pPr>
        <w:sectPr>
          <w:pgSz w:w="11900" w:h="16858" w:orient="portrait"/>
          <w:cols w:equalWidth="0" w:num="1">
            <w:col w:w="11240"/>
          </w:cols>
          <w:pgMar w:left="320" w:top="127" w:right="339" w:bottom="0" w:gutter="0" w:footer="0" w:header="0"/>
        </w:sectPr>
      </w:pPr>
    </w:p>
    <w:bookmarkStart w:id="48" w:name="page49"/>
    <w:bookmarkEnd w:id="48"/>
    <w:p>
      <w:pPr>
        <w:ind w:right="140"/>
        <w:spacing w:after="0" w:line="263" w:lineRule="auto"/>
        <w:rPr>
          <w:sz w:val="20"/>
          <w:szCs w:val="20"/>
          <w:color w:val="auto"/>
        </w:rPr>
      </w:pPr>
      <w:r>
        <w:rPr>
          <w:rFonts w:ascii="Arial" w:cs="Arial" w:eastAsia="Arial" w:hAnsi="Arial"/>
          <w:sz w:val="18"/>
          <w:szCs w:val="18"/>
          <w:color w:val="auto"/>
        </w:rPr>
        <w:t>amended complaint, was September 11, 2020 Since the plaintiff did not file and amended complaint by such date (or thereafter), the Company consideres this matter to be closed.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r>
        <w:rPr>
          <w:rFonts w:ascii="Arial" w:cs="Arial" w:eastAsia="Arial" w:hAnsi="Arial"/>
          <w:sz w:val="18"/>
          <w:szCs w:val="18"/>
          <w:color w:val="auto"/>
        </w:rPr>
        <w:t>.</w:t>
      </w:r>
    </w:p>
    <w:p>
      <w:pPr>
        <w:spacing w:after="0" w:line="222" w:lineRule="exact"/>
        <w:rPr>
          <w:sz w:val="20"/>
          <w:szCs w:val="20"/>
          <w:color w:val="auto"/>
        </w:rPr>
      </w:pPr>
    </w:p>
    <w:p>
      <w:pPr>
        <w:jc w:val="both"/>
        <w:ind w:firstLine="634"/>
        <w:spacing w:after="0" w:line="249" w:lineRule="auto"/>
        <w:rPr>
          <w:sz w:val="20"/>
          <w:szCs w:val="20"/>
          <w:color w:val="auto"/>
        </w:rPr>
      </w:pPr>
      <w:r>
        <w:rPr>
          <w:rFonts w:ascii="Arial" w:cs="Arial" w:eastAsia="Arial" w:hAnsi="Arial"/>
          <w:sz w:val="18"/>
          <w:szCs w:val="18"/>
          <w:color w:val="auto"/>
        </w:rPr>
        <w:t>For a discussion of the Company’s potential risks and uncertainties, see Part I, Item 1A— “Risk Factors” and Part II, Item 7— “Management’s Discussion and Analysis of Financial Condition and Results of Operations” in the Company’s 2019 Annual Report filed with the SEC, and Part I, Item 2 —”Management’s Discussion and Analysis of Financial Condition and Results of Operations” herein, in each case as updated by the Company’s periodic filings with the SEC. Other than as described below, there have been no material changes to the risk factors disclosed in Part I, Item 1A of the Company’s 2019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impact of COVID-19 and related risks could materially affect our results of operations, financial position and/or liquidity.</w:t>
      </w:r>
    </w:p>
    <w:p>
      <w:pPr>
        <w:spacing w:after="0" w:line="222"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Beginning in March 2020, the global pandemic related to the novel coronavirus COVID-19 began to impact the global economy and our results of operations. Because of the size and breadth of this pandemic, all of the direct and indirect consequences of COVID-19 are not yet known and may not emerge for some time. Risks presented by the ongoing effects of COVID-19 include, among others, the following:</w:t>
      </w:r>
    </w:p>
    <w:p>
      <w:pPr>
        <w:spacing w:after="0" w:line="188" w:lineRule="exact"/>
        <w:rPr>
          <w:sz w:val="20"/>
          <w:szCs w:val="20"/>
          <w:color w:val="auto"/>
        </w:rPr>
      </w:pPr>
    </w:p>
    <w:p>
      <w:pPr>
        <w:jc w:val="both"/>
        <w:ind w:firstLine="634"/>
        <w:spacing w:after="0" w:line="251" w:lineRule="auto"/>
        <w:rPr>
          <w:sz w:val="20"/>
          <w:szCs w:val="20"/>
          <w:color w:val="auto"/>
        </w:rPr>
      </w:pPr>
      <w:r>
        <w:rPr>
          <w:rFonts w:ascii="Arial" w:cs="Arial" w:eastAsia="Arial" w:hAnsi="Arial"/>
          <w:sz w:val="18"/>
          <w:szCs w:val="18"/>
          <w:i w:val="1"/>
          <w:iCs w:val="1"/>
          <w:u w:val="single" w:color="auto"/>
          <w:color w:val="auto"/>
        </w:rPr>
        <w:t>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that the impact of COVID-19 on general economic activity will negatively impact our premium volumes. We began to</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this impact in March 2020 and it became more significant in the second and third quarters of 2020. We also expect this impact will further persist but to a lesser extent for the remainder of 2020, but the degree of the impact will depend on the extent and duration of the economic contraction and could be material.</w:t>
      </w:r>
    </w:p>
    <w:p>
      <w:pPr>
        <w:spacing w:after="0" w:line="190"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8"/>
          <w:szCs w:val="18"/>
          <w:i w:val="1"/>
          <w:iCs w:val="1"/>
          <w:u w:val="single" w:color="auto"/>
          <w:color w:val="auto"/>
        </w:rPr>
        <w:t>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disruption in the financial markets related to COVID-19 has contributed to net investment losses, primarily due to the impact of</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fair value on our equity investments and in our fixed-income investment portfolio. Our corporate fixed income portfolio may be adversely impacted by ratings downgrades, increased bankruptcies and credit spread widening in distressed industries. In addition, in recent years, many state and local governments have been operating under deficits or projected deficits. These deficits may be exacerbated by the costs of responding to COVID-19 and reduced tax revenues due to adverse economic conditions. The severity and duration of these deficits could have an adverse impact on the collectability and valuation of our municipal bond portfolio. Our investment portfolio also includes mortgage-backed securities which could be adversely impacted by declines in real estate valuations and/or financial market disruption. Further disruptions in global financial markets could adversely impact our net investment income in future periods.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6" w:lineRule="exact"/>
        <w:rPr>
          <w:sz w:val="20"/>
          <w:szCs w:val="20"/>
          <w:color w:val="auto"/>
        </w:rPr>
      </w:pPr>
    </w:p>
    <w:p>
      <w:pPr>
        <w:jc w:val="both"/>
        <w:ind w:firstLine="634"/>
        <w:spacing w:after="0" w:line="266" w:lineRule="auto"/>
        <w:rPr>
          <w:sz w:val="20"/>
          <w:szCs w:val="20"/>
          <w:color w:val="auto"/>
        </w:rPr>
      </w:pPr>
      <w:r>
        <w:rPr>
          <w:rFonts w:ascii="Arial" w:cs="Arial" w:eastAsia="Arial" w:hAnsi="Arial"/>
          <w:sz w:val="17"/>
          <w:szCs w:val="17"/>
          <w:i w:val="1"/>
          <w:iCs w:val="1"/>
          <w:u w:val="single" w:color="auto"/>
          <w:color w:val="auto"/>
        </w:rPr>
        <w:t>Adverse Legislative and/or Regulatory Action.</w:t>
      </w:r>
      <w:r>
        <w:rPr>
          <w:rFonts w:ascii="Arial" w:cs="Arial" w:eastAsia="Arial" w:hAnsi="Arial"/>
          <w:sz w:val="17"/>
          <w:szCs w:val="17"/>
          <w:i w:val="1"/>
          <w:iCs w:val="1"/>
          <w:color w:val="auto"/>
        </w:rPr>
        <w:t xml:space="preserve"> </w:t>
      </w:r>
      <w:r>
        <w:rPr>
          <w:rFonts w:ascii="Arial" w:cs="Arial" w:eastAsia="Arial" w:hAnsi="Arial"/>
          <w:sz w:val="17"/>
          <w:szCs w:val="17"/>
          <w:color w:val="auto"/>
        </w:rPr>
        <w:t>Federal, state and local government actions to address and contain the impact of COVID-19 may</w:t>
      </w:r>
      <w:r>
        <w:rPr>
          <w:rFonts w:ascii="Arial" w:cs="Arial" w:eastAsia="Arial" w:hAnsi="Arial"/>
          <w:sz w:val="17"/>
          <w:szCs w:val="17"/>
          <w:i w:val="1"/>
          <w:iCs w:val="1"/>
          <w:color w:val="auto"/>
        </w:rPr>
        <w:t xml:space="preserve"> </w:t>
      </w:r>
      <w:r>
        <w:rPr>
          <w:rFonts w:ascii="Arial" w:cs="Arial" w:eastAsia="Arial" w:hAnsi="Arial"/>
          <w:sz w:val="17"/>
          <w:szCs w:val="17"/>
          <w:color w:val="auto"/>
        </w:rPr>
        <w:t>adversely affect us. For example, we may be subject to legislative and/or regulatory action that seeks to retroactively mandate coverage for losses which our insurance policies were not designed or priced to cover. Currently, in some states there is proposed legislation to require insurers to cover business interruption claims irrespective of terms, exclusions or other conditions included in the policies that would otherwise preclude coverage. Regulatory restrictions or requirements could also impact pricing, risk selection and our rights and obligations with respect to our policies and insureds, including our ability to cancel or non-renew policies and our right to collect premiums.</w:t>
      </w:r>
    </w:p>
    <w:p>
      <w:pPr>
        <w:spacing w:after="0" w:line="179" w:lineRule="exact"/>
        <w:rPr>
          <w:sz w:val="20"/>
          <w:szCs w:val="20"/>
          <w:color w:val="auto"/>
        </w:rPr>
      </w:pPr>
    </w:p>
    <w:p>
      <w:pPr>
        <w:jc w:val="both"/>
        <w:ind w:firstLine="634"/>
        <w:spacing w:after="0" w:line="248" w:lineRule="auto"/>
        <w:rPr>
          <w:sz w:val="20"/>
          <w:szCs w:val="20"/>
          <w:color w:val="auto"/>
        </w:rPr>
      </w:pPr>
      <w:r>
        <w:rPr>
          <w:rFonts w:ascii="Arial" w:cs="Arial" w:eastAsia="Arial" w:hAnsi="Arial"/>
          <w:sz w:val="18"/>
          <w:szCs w:val="18"/>
          <w:i w:val="1"/>
          <w:iCs w:val="1"/>
          <w:u w:val="single" w:color="auto"/>
          <w:color w:val="auto"/>
        </w:rPr>
        <w:t>Operational Disruptions and Heightened Cybersecurity Risks.</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operations could be disrupted if key members of our senior management or a</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percentage of our workforce or the workforce of our producers are unable to continue to work because of illness, government directives or otherwise. In addition, the interruption of our or their system capabilities could result in a deterioration of our ability to write and process new and renewal business, provide customer service, pay claims in a timely manner or perform other necessary business functions. Having shifted to remote working arrangements, we also face a heightened risk of cybersecurity attacks or data security incidents and are more dependent on internet and telecommunications access and capabilities.</w:t>
      </w:r>
    </w:p>
    <w:p>
      <w:pPr>
        <w:spacing w:after="0" w:line="196"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17"/>
          <w:szCs w:val="17"/>
          <w:i w:val="1"/>
          <w:iCs w:val="1"/>
          <w:u w:val="single" w:color="auto"/>
          <w:color w:val="auto"/>
        </w:rPr>
        <w:t>Reinsurance Risks.</w:t>
      </w:r>
      <w:r>
        <w:rPr>
          <w:rFonts w:ascii="Arial" w:cs="Arial" w:eastAsia="Arial" w:hAnsi="Arial"/>
          <w:sz w:val="17"/>
          <w:szCs w:val="17"/>
          <w:i w:val="1"/>
          <w:iCs w:val="1"/>
          <w:color w:val="auto"/>
        </w:rPr>
        <w:t xml:space="preserve"> </w:t>
      </w:r>
      <w:r>
        <w:rPr>
          <w:rFonts w:ascii="Arial" w:cs="Arial" w:eastAsia="Arial" w:hAnsi="Arial"/>
          <w:sz w:val="17"/>
          <w:szCs w:val="17"/>
          <w:color w:val="auto"/>
        </w:rPr>
        <w:t>We purchase reinsurance to reduce our net liability on individual risks, to protect against possible catastrophes, to remain within a</w:t>
      </w:r>
      <w:r>
        <w:rPr>
          <w:rFonts w:ascii="Arial" w:cs="Arial" w:eastAsia="Arial" w:hAnsi="Arial"/>
          <w:sz w:val="17"/>
          <w:szCs w:val="17"/>
          <w:i w:val="1"/>
          <w:iCs w:val="1"/>
          <w:color w:val="auto"/>
        </w:rPr>
        <w:t xml:space="preserve"> </w:t>
      </w:r>
      <w:r>
        <w:rPr>
          <w:rFonts w:ascii="Arial" w:cs="Arial" w:eastAsia="Arial" w:hAnsi="Arial"/>
          <w:sz w:val="17"/>
          <w:szCs w:val="17"/>
          <w:color w:val="auto"/>
        </w:rPr>
        <w:t>target ratio of net premiums written to policyholders’ surplus and to expand our underwriting capacity. Participation in reinsurance arrangements does not relieve us from our obligations to policyholders. Our personal lines catastrophe reinsurance program was designed, utilizing our risk management methodology, to address our exposure to catastrophes. Market conditions beyond our control, including the effect of COVID-19 on the reinsurance market, have impacted and may continue to impact the availability and cost of the reinsurance we purchase. No assurances can be given that reinsurance will remain continuously available to us to the same extent and on the same terms and rates as currently available. For example, our ability to afford reinsurance to reduce our catastrophe risk may be dependent upon our ability to adjust premium rates for its cost, and there are no assurances that the terms and rates for our current reinsurance program will continue to be available in the future. If we are unable to maintain our current level of reinsurance or purchase new reinsurance protection in amounts that we consider sufficient and at prices that we consider acceptable, we will have to either accept an increase in our exposure risk, reduce our insurance writings or seek other alternatives.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decline in the financial strength rating assigned to our insurance subsidiary by A.M. Best will impact our revenues and earnings.</w:t>
      </w:r>
    </w:p>
    <w:p>
      <w:pPr>
        <w:spacing w:after="0" w:line="2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Financial strength ratings are an important factor influencing the competitive position of insurance companies. The objective of the rating agencies’ rating systems is to provide an opinion as to an insurer’s financial strength and ability to meet ongoing obligations to its policyholders. The ratings of Kingstone Insurance Company (“KICO”), our insurance subsidiary, reflect the rating agencies’ opinion as to its financial strength and are not evaluations directed to investors in our securities, nor are they recommendations to buy, sell or hold our securities.</w:t>
      </w:r>
    </w:p>
    <w:p>
      <w:pPr>
        <w:spacing w:after="0" w:line="177"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Our ratings are subject to periodic review by, and may be revised downward or revoked at the sole discretion of, the rating agencies. Our ability to write business, particularly commercial liability lines, is influenced by our financial strength rating from A.M. Best. On July 10, 2020, A.M. Best lowered the financial strength rating of KICO from “A-” (Excellent) to “B++” (Good). The outlook of A.M. Best’s credit rating is negative. A.M. Best indicated that the ratings downgrade of KICO reflects its balance sheet strength, which A.M. Best categorizes as adequate, as well as its strong operating performance, limited business profile and appropriate enterprise risk management. It stated that the ratings action was driven by a revision in KICO’s catastrophe reinsurance program effective July 1, 2020 which significantly reduces the amount of reinsurance protection previously contemplated and purchased.</w:t>
      </w:r>
    </w:p>
    <w:p>
      <w:pPr>
        <w:spacing w:after="0" w:line="155" w:lineRule="exact"/>
        <w:rPr>
          <w:sz w:val="20"/>
          <w:szCs w:val="20"/>
          <w:color w:val="auto"/>
        </w:rPr>
      </w:pPr>
    </w:p>
    <w:p>
      <w:pPr>
        <w:jc w:val="both"/>
        <w:spacing w:after="0" w:line="364" w:lineRule="auto"/>
        <w:rPr>
          <w:sz w:val="20"/>
          <w:szCs w:val="20"/>
          <w:color w:val="auto"/>
        </w:rPr>
      </w:pPr>
      <w:r>
        <w:rPr>
          <w:rFonts w:ascii="Arial" w:cs="Arial" w:eastAsia="Arial" w:hAnsi="Arial"/>
          <w:sz w:val="15"/>
          <w:szCs w:val="15"/>
          <w:color w:val="auto"/>
        </w:rPr>
        <w:t>Management believes that A.M. Best’s financial strength rating is more significant with regard to commercial liability insurance, as opposed to personal lines business. Since we have discontinued our commercial lines business, we believe that A.M. Best’s rating action will not result in a material decrease in the</w:t>
      </w:r>
    </w:p>
    <w:p>
      <w:pPr>
        <w:sectPr>
          <w:pgSz w:w="11900" w:h="16838" w:orient="portrait"/>
          <w:cols w:equalWidth="0" w:num="1">
            <w:col w:w="11240"/>
          </w:cols>
          <w:pgMar w:left="320" w:top="127" w:right="339" w:bottom="0" w:gutter="0" w:footer="0" w:header="0"/>
        </w:sectPr>
      </w:pPr>
    </w:p>
    <w:bookmarkStart w:id="49" w:name="page50"/>
    <w:bookmarkEnd w:id="49"/>
    <w:p>
      <w:pPr>
        <w:spacing w:after="0" w:line="57" w:lineRule="exact"/>
        <w:rPr>
          <w:sz w:val="20"/>
          <w:szCs w:val="20"/>
          <w:color w:val="auto"/>
        </w:rPr>
      </w:pPr>
    </w:p>
    <w:p>
      <w:pPr>
        <w:spacing w:after="0" w:line="364" w:lineRule="auto"/>
        <w:rPr>
          <w:sz w:val="20"/>
          <w:szCs w:val="20"/>
          <w:color w:val="auto"/>
        </w:rPr>
      </w:pPr>
      <w:r>
        <w:rPr>
          <w:rFonts w:ascii="Arial" w:cs="Arial" w:eastAsia="Arial" w:hAnsi="Arial"/>
          <w:sz w:val="15"/>
          <w:szCs w:val="15"/>
          <w:color w:val="auto"/>
        </w:rPr>
        <w:t>amount of business that KICO will be able to write. However, the A.M Best ratings downgrade has resulted in a material decrease in the business of our subsidiary, Cosi, a multi-state licensed general agency that had partnered with name-brand carriers which require an A.M. Best “A-” rating from its partners.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r>
        <w:rPr>
          <w:rFonts w:ascii="Arial" w:cs="Arial" w:eastAsia="Arial" w:hAnsi="Arial"/>
          <w:sz w:val="18"/>
          <w:szCs w:val="18"/>
          <w:color w:val="auto"/>
        </w:rPr>
        <w:t>.</w:t>
      </w:r>
    </w:p>
    <w:p>
      <w:pPr>
        <w:spacing w:after="0" w:line="222" w:lineRule="exact"/>
        <w:rPr>
          <w:sz w:val="20"/>
          <w:szCs w:val="20"/>
          <w:color w:val="auto"/>
        </w:rPr>
      </w:pPr>
    </w:p>
    <w:p>
      <w:pPr>
        <w:ind w:left="840" w:hanging="240"/>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None.</w:t>
      </w:r>
    </w:p>
    <w:p>
      <w:pPr>
        <w:spacing w:after="0" w:line="215" w:lineRule="exact"/>
        <w:rPr>
          <w:rFonts w:ascii="Arial" w:cs="Arial" w:eastAsia="Arial" w:hAnsi="Arial"/>
          <w:sz w:val="18"/>
          <w:szCs w:val="18"/>
          <w:color w:val="auto"/>
        </w:rPr>
      </w:pPr>
    </w:p>
    <w:p>
      <w:pPr>
        <w:ind w:left="840" w:hanging="240"/>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15" w:lineRule="exact"/>
        <w:rPr>
          <w:rFonts w:ascii="Arial" w:cs="Arial" w:eastAsia="Arial" w:hAnsi="Arial"/>
          <w:sz w:val="18"/>
          <w:szCs w:val="18"/>
          <w:color w:val="auto"/>
        </w:rPr>
      </w:pPr>
    </w:p>
    <w:p>
      <w:pPr>
        <w:ind w:left="600"/>
        <w:spacing w:after="0" w:line="263" w:lineRule="auto"/>
        <w:tabs>
          <w:tab w:leader="none" w:pos="8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table sets forth certain information with respect to purchases of common stock made by us during the quarter ended September 30, 2020: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Total Number</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Maximum</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of Shares</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Purchased as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Shares that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Part of</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May Be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Publicly</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Number of</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Average</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Announced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Under the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Price Paid</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Plans or</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Plans or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80" w:type="dxa"/>
            <w:vAlign w:val="bottom"/>
            <w:gridSpan w:val="4"/>
          </w:tcPr>
          <w:p>
            <w:pPr>
              <w:ind w:left="360"/>
              <w:spacing w:after="0"/>
              <w:rPr>
                <w:sz w:val="20"/>
                <w:szCs w:val="20"/>
                <w:color w:val="auto"/>
              </w:rPr>
            </w:pPr>
            <w:r>
              <w:rPr>
                <w:rFonts w:ascii="Arial" w:cs="Arial" w:eastAsia="Arial" w:hAnsi="Arial"/>
                <w:sz w:val="18"/>
                <w:szCs w:val="18"/>
                <w:b w:val="1"/>
                <w:bCs w:val="1"/>
                <w:color w:val="auto"/>
              </w:rPr>
              <w:t>Period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Purchased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per Share</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Programs</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Programs</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1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7/1/20 – 7/31/20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rPr>
              <w:t>8/1/20 – 8/31/20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9/1/20 – 9/30/20</w:t>
            </w:r>
          </w:p>
        </w:tc>
        <w:tc>
          <w:tcPr>
            <w:tcW w:w="3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40" w:type="dxa"/>
            <w:vAlign w:val="bottom"/>
            <w:gridSpan w:val="3"/>
          </w:tcPr>
          <w:p>
            <w:pPr>
              <w:spacing w:after="0" w:line="205" w:lineRule="exact"/>
              <w:rPr>
                <w:sz w:val="20"/>
                <w:szCs w:val="20"/>
                <w:color w:val="auto"/>
              </w:rPr>
            </w:pPr>
            <w:r>
              <w:rPr>
                <w:rFonts w:ascii="Arial" w:cs="Arial" w:eastAsia="Arial" w:hAnsi="Arial"/>
                <w:sz w:val="18"/>
                <w:szCs w:val="18"/>
                <w:color w:val="auto"/>
              </w:rPr>
              <w:t>Total</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Item 3. Defaults Upon Senior Securities</w:t>
            </w: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060" w:type="dxa"/>
            <w:vAlign w:val="bottom"/>
            <w:gridSpan w:val="11"/>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None.</w:t>
            </w:r>
          </w:p>
        </w:tc>
        <w:tc>
          <w:tcPr>
            <w:tcW w:w="3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6060" w:type="dxa"/>
            <w:vAlign w:val="bottom"/>
            <w:gridSpan w:val="11"/>
          </w:tcPr>
          <w:p>
            <w:pPr>
              <w:spacing w:after="0"/>
              <w:rPr>
                <w:sz w:val="20"/>
                <w:szCs w:val="20"/>
                <w:color w:val="auto"/>
              </w:rPr>
            </w:pPr>
            <w:r>
              <w:rPr>
                <w:rFonts w:ascii="Arial" w:cs="Arial" w:eastAsia="Arial" w:hAnsi="Arial"/>
                <w:sz w:val="18"/>
                <w:szCs w:val="18"/>
                <w:b w:val="1"/>
                <w:bCs w:val="1"/>
                <w:color w:val="auto"/>
              </w:rPr>
              <w:t>Item 4. Mine Safety Disclosures</w:t>
            </w: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Borders>
              <w:top w:val="single" w:sz="8" w:color="auto"/>
            </w:tcBorders>
            <w:gridSpan w:val="5"/>
          </w:tcPr>
          <w:p>
            <w:pPr>
              <w:ind w:left="60"/>
              <w:spacing w:after="0"/>
              <w:rPr>
                <w:sz w:val="20"/>
                <w:szCs w:val="20"/>
                <w:color w:val="auto"/>
              </w:rPr>
            </w:pPr>
            <w:r>
              <w:rPr>
                <w:rFonts w:ascii="Arial" w:cs="Arial" w:eastAsia="Arial" w:hAnsi="Arial"/>
                <w:sz w:val="18"/>
                <w:szCs w:val="18"/>
                <w:color w:val="auto"/>
              </w:rPr>
              <w:t>Not applicable.</w:t>
            </w:r>
          </w:p>
        </w:tc>
        <w:tc>
          <w:tcPr>
            <w:tcW w:w="3680" w:type="dxa"/>
            <w:vAlign w:val="bottom"/>
            <w:gridSpan w:val="4"/>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6060" w:type="dxa"/>
            <w:vAlign w:val="bottom"/>
            <w:gridSpan w:val="11"/>
          </w:tcPr>
          <w:p>
            <w:pPr>
              <w:spacing w:after="0"/>
              <w:rPr>
                <w:sz w:val="20"/>
                <w:szCs w:val="20"/>
                <w:color w:val="auto"/>
              </w:rPr>
            </w:pPr>
            <w:r>
              <w:rPr>
                <w:rFonts w:ascii="Arial" w:cs="Arial" w:eastAsia="Arial" w:hAnsi="Arial"/>
                <w:sz w:val="18"/>
                <w:szCs w:val="18"/>
                <w:b w:val="1"/>
                <w:bCs w:val="1"/>
                <w:color w:val="auto"/>
              </w:rPr>
              <w:t>Item 5. Other Information</w:t>
            </w: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None.</w:t>
            </w:r>
          </w:p>
        </w:tc>
        <w:tc>
          <w:tcPr>
            <w:tcW w:w="3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6"/>
          </w:tcPr>
          <w:p>
            <w:pPr>
              <w:ind w:left="418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1360" w:type="dxa"/>
            <w:vAlign w:val="bottom"/>
            <w:gridSpan w:val="4"/>
          </w:tcPr>
          <w:p>
            <w:pPr>
              <w:spacing w:after="0"/>
              <w:rPr>
                <w:rFonts w:ascii="Arial" w:cs="Arial" w:eastAsia="Arial" w:hAnsi="Arial"/>
                <w:sz w:val="18"/>
                <w:szCs w:val="18"/>
                <w:i w:val="1"/>
                <w:iCs w:val="1"/>
                <w:u w:val="single" w:color="auto"/>
                <w:color w:val="0000EE"/>
                <w:w w:val="94"/>
              </w:rPr>
            </w:pPr>
            <w:hyperlink w:anchor="page1">
              <w:r>
                <w:rPr>
                  <w:rFonts w:ascii="Arial" w:cs="Arial" w:eastAsia="Arial" w:hAnsi="Arial"/>
                  <w:sz w:val="18"/>
                  <w:szCs w:val="18"/>
                  <w:i w:val="1"/>
                  <w:iCs w:val="1"/>
                  <w:u w:val="single" w:color="auto"/>
                  <w:color w:val="0000EE"/>
                  <w:w w:val="94"/>
                </w:rPr>
                <w:t>Table of Contents</w:t>
              </w:r>
            </w:hyperlink>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1360" w:type="dxa"/>
            <w:vAlign w:val="bottom"/>
            <w:gridSpan w:val="4"/>
          </w:tcPr>
          <w:p>
            <w:pPr>
              <w:spacing w:after="0"/>
              <w:rPr>
                <w:sz w:val="20"/>
                <w:szCs w:val="20"/>
                <w:color w:val="auto"/>
              </w:rPr>
            </w:pPr>
            <w:r>
              <w:rPr>
                <w:rFonts w:ascii="Arial" w:cs="Arial" w:eastAsia="Arial" w:hAnsi="Arial"/>
                <w:sz w:val="18"/>
                <w:szCs w:val="18"/>
                <w:b w:val="1"/>
                <w:bCs w:val="1"/>
                <w:color w:val="auto"/>
                <w:w w:val="97"/>
              </w:rPr>
              <w:t>Item 6. Exhibits</w:t>
            </w:r>
            <w:r>
              <w:rPr>
                <w:rFonts w:ascii="Arial" w:cs="Arial" w:eastAsia="Arial" w:hAnsi="Arial"/>
                <w:sz w:val="18"/>
                <w:szCs w:val="18"/>
                <w:color w:val="auto"/>
                <w:w w:val="97"/>
              </w:rPr>
              <w:t>.</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240"/>
              <w:spacing w:after="0" w:line="172" w:lineRule="exact"/>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3(a)</w:t>
              </w:r>
            </w:hyperlink>
          </w:p>
        </w:tc>
        <w:tc>
          <w:tcPr>
            <w:tcW w:w="9880" w:type="dxa"/>
            <w:vAlign w:val="bottom"/>
            <w:tcBorders>
              <w:bottom w:val="single" w:sz="8" w:color="0000EE"/>
            </w:tcBorders>
            <w:gridSpan w:val="15"/>
            <w:shd w:val="clear" w:color="auto" w:fill="CCEEFF"/>
          </w:tcPr>
          <w:p>
            <w:pPr>
              <w:spacing w:after="0" w:line="172"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Restated Certificate of Incorporation, as amended (incorporated by reference to Exhibit 3(a) to the Company’s Quarterly Report on Form</w:t>
              </w:r>
            </w:hyperlink>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700" w:type="dxa"/>
            <w:vAlign w:val="bottom"/>
            <w:tcBorders>
              <w:bottom w:val="single" w:sz="8" w:color="0000EE"/>
            </w:tcBorders>
            <w:gridSpan w:val="7"/>
            <w:shd w:val="clear" w:color="auto" w:fill="CCEEFF"/>
          </w:tcPr>
          <w:p>
            <w:pPr>
              <w:spacing w:after="0" w:line="191" w:lineRule="exact"/>
              <w:rPr>
                <w:rFonts w:ascii="Arial" w:cs="Arial" w:eastAsia="Arial" w:hAnsi="Arial"/>
                <w:sz w:val="18"/>
                <w:szCs w:val="18"/>
                <w:color w:val="0000EE"/>
                <w:w w:val="89"/>
              </w:rPr>
            </w:pPr>
            <w:hyperlink r:id="rId114">
              <w:r>
                <w:rPr>
                  <w:rFonts w:ascii="Arial" w:cs="Arial" w:eastAsia="Arial" w:hAnsi="Arial"/>
                  <w:sz w:val="18"/>
                  <w:szCs w:val="18"/>
                  <w:color w:val="0000EE"/>
                  <w:w w:val="89"/>
                </w:rPr>
                <w:t>10-Q for the period ended March 31, 2014 filed on May 15, 2014).</w:t>
              </w:r>
            </w:hyperlink>
          </w:p>
        </w:tc>
        <w:tc>
          <w:tcPr>
            <w:tcW w:w="1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518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3(b)</w:t>
              </w:r>
            </w:hyperlink>
          </w:p>
        </w:tc>
        <w:tc>
          <w:tcPr>
            <w:tcW w:w="9880" w:type="dxa"/>
            <w:vAlign w:val="bottom"/>
            <w:gridSpan w:val="15"/>
            <w:shd w:val="clear" w:color="auto" w:fill="CCEEFF"/>
          </w:tcPr>
          <w:p>
            <w:pPr>
              <w:spacing w:after="0"/>
              <w:rPr>
                <w:rFonts w:ascii="Arial" w:cs="Arial" w:eastAsia="Arial" w:hAnsi="Arial"/>
                <w:sz w:val="18"/>
                <w:szCs w:val="18"/>
                <w:u w:val="single" w:color="auto"/>
                <w:color w:val="0000EE"/>
                <w:w w:val="89"/>
              </w:rPr>
            </w:pPr>
            <w:hyperlink r:id="rId115">
              <w:r>
                <w:rPr>
                  <w:rFonts w:ascii="Arial" w:cs="Arial" w:eastAsia="Arial" w:hAnsi="Arial"/>
                  <w:sz w:val="18"/>
                  <w:szCs w:val="18"/>
                  <w:u w:val="single" w:color="auto"/>
                  <w:color w:val="0000EE"/>
                  <w:w w:val="89"/>
                </w:rPr>
                <w:t>By-laws, as amended (incorporated by reference to Exhibit 3.1 to the Company’s Current Report on Form 8-K filed on November 9, 2009).</w:t>
              </w:r>
            </w:hyperlink>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518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240"/>
              <w:spacing w:after="0" w:line="172" w:lineRule="exact"/>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31(a)</w:t>
              </w:r>
            </w:hyperlink>
          </w:p>
        </w:tc>
        <w:tc>
          <w:tcPr>
            <w:tcW w:w="9880" w:type="dxa"/>
            <w:vAlign w:val="bottom"/>
            <w:tcBorders>
              <w:bottom w:val="single" w:sz="8" w:color="0000EE"/>
            </w:tcBorders>
            <w:gridSpan w:val="15"/>
            <w:shd w:val="clear" w:color="auto" w:fill="CCEEFF"/>
          </w:tcPr>
          <w:p>
            <w:pPr>
              <w:spacing w:after="0" w:line="172"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Rule 13a-14(a)/15d-14(a) Certification of Principal Executive Officer as adopted pursuant to Section 302 of the Sarbanes-Oxley Act of</w:t>
              </w:r>
            </w:hyperlink>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0000EE"/>
            </w:tcBorders>
            <w:shd w:val="clear" w:color="auto" w:fill="CCEEFF"/>
          </w:tcPr>
          <w:p>
            <w:pPr>
              <w:spacing w:after="0" w:line="191"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2002</w:t>
              </w:r>
            </w:hyperlink>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518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31(b)</w:t>
              </w:r>
            </w:hyperlink>
          </w:p>
        </w:tc>
        <w:tc>
          <w:tcPr>
            <w:tcW w:w="9880" w:type="dxa"/>
            <w:vAlign w:val="bottom"/>
            <w:gridSpan w:val="15"/>
            <w:shd w:val="clear" w:color="auto" w:fill="CCEEFF"/>
          </w:tcPr>
          <w:p>
            <w:pPr>
              <w:spacing w:after="0"/>
              <w:rPr>
                <w:rFonts w:ascii="Arial" w:cs="Arial" w:eastAsia="Arial" w:hAnsi="Arial"/>
                <w:sz w:val="18"/>
                <w:szCs w:val="18"/>
                <w:u w:val="single" w:color="auto"/>
                <w:color w:val="0000EE"/>
                <w:w w:val="89"/>
              </w:rPr>
            </w:pPr>
            <w:hyperlink w:anchor="page53">
              <w:r>
                <w:rPr>
                  <w:rFonts w:ascii="Arial" w:cs="Arial" w:eastAsia="Arial" w:hAnsi="Arial"/>
                  <w:sz w:val="18"/>
                  <w:szCs w:val="18"/>
                  <w:u w:val="single" w:color="auto"/>
                  <w:color w:val="0000EE"/>
                  <w:w w:val="89"/>
                </w:rPr>
                <w:t>Rule 13a-14(a)/15d-14(a) Certification of Principal Financial Officer as adopted pursuant to Section 302 of the Sarbanes-Oxley Act of 2002</w:t>
              </w:r>
            </w:hyperlink>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518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spacing w:after="0" w:line="172" w:lineRule="exact"/>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32+</w:t>
              </w:r>
            </w:hyperlink>
          </w:p>
        </w:tc>
        <w:tc>
          <w:tcPr>
            <w:tcW w:w="160" w:type="dxa"/>
            <w:vAlign w:val="bottom"/>
            <w:tcBorders>
              <w:bottom w:val="single" w:sz="8" w:color="CCEEFF"/>
            </w:tcBorders>
            <w:shd w:val="clear" w:color="auto" w:fill="CCEEFF"/>
          </w:tcPr>
          <w:p>
            <w:pPr>
              <w:spacing w:after="0"/>
              <w:rPr>
                <w:sz w:val="14"/>
                <w:szCs w:val="14"/>
                <w:color w:val="auto"/>
              </w:rPr>
            </w:pPr>
          </w:p>
        </w:tc>
        <w:tc>
          <w:tcPr>
            <w:tcW w:w="9880" w:type="dxa"/>
            <w:vAlign w:val="bottom"/>
            <w:tcBorders>
              <w:bottom w:val="single" w:sz="8" w:color="0000EE"/>
            </w:tcBorders>
            <w:gridSpan w:val="15"/>
            <w:shd w:val="clear" w:color="auto" w:fill="CCEEFF"/>
          </w:tcPr>
          <w:p>
            <w:pPr>
              <w:spacing w:after="0" w:line="17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Certification of Chief Executive Officer and Principal Financial Officer Pursuant to 18 U.S.C. Section 1350, as Adopted Pursuant to Section</w:t>
              </w:r>
            </w:hyperlink>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700" w:type="dxa"/>
            <w:vAlign w:val="bottom"/>
            <w:gridSpan w:val="7"/>
            <w:shd w:val="clear" w:color="auto" w:fill="CCEEFF"/>
          </w:tcPr>
          <w:p>
            <w:pPr>
              <w:spacing w:after="0" w:line="191" w:lineRule="exact"/>
              <w:rPr>
                <w:rFonts w:ascii="Arial" w:cs="Arial" w:eastAsia="Arial" w:hAnsi="Arial"/>
                <w:sz w:val="18"/>
                <w:szCs w:val="18"/>
                <w:color w:val="0000EE"/>
              </w:rPr>
            </w:pPr>
            <w:hyperlink w:anchor="page54">
              <w:r>
                <w:rPr>
                  <w:rFonts w:ascii="Arial" w:cs="Arial" w:eastAsia="Arial" w:hAnsi="Arial"/>
                  <w:sz w:val="18"/>
                  <w:szCs w:val="18"/>
                  <w:color w:val="0000EE"/>
                </w:rPr>
                <w:t>906 of the Sarbanes-Oxley Act of 2002</w:t>
              </w:r>
            </w:hyperlink>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940" w:type="dxa"/>
            <w:vAlign w:val="bottom"/>
            <w:tcBorders>
              <w:top w:val="single" w:sz="8" w:color="CCEEFF"/>
            </w:tcBorders>
            <w:gridSpan w:val="2"/>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101.INS</w:t>
            </w:r>
          </w:p>
        </w:tc>
        <w:tc>
          <w:tcPr>
            <w:tcW w:w="47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101.SCH</w:t>
            </w:r>
          </w:p>
        </w:tc>
        <w:tc>
          <w:tcPr>
            <w:tcW w:w="47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101.SCH XBRL Taxonomy Extension Schema.</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101.CAL</w:t>
            </w:r>
          </w:p>
        </w:tc>
        <w:tc>
          <w:tcPr>
            <w:tcW w:w="470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9"/>
              </w:rPr>
              <w:t>101.CAL XBRL Taxonomy Extension Calculation Linkbase.</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101.DEF</w:t>
            </w:r>
          </w:p>
        </w:tc>
        <w:tc>
          <w:tcPr>
            <w:tcW w:w="47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101.DEF XBRL Taxonomy Extension Definition Linkbase.</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101.LAB</w:t>
            </w:r>
          </w:p>
        </w:tc>
        <w:tc>
          <w:tcPr>
            <w:tcW w:w="47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101.LAB XBRL Taxonomy Extension Label Linkbase.</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101.PRE</w:t>
            </w:r>
          </w:p>
        </w:tc>
        <w:tc>
          <w:tcPr>
            <w:tcW w:w="470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6"/>
              </w:rPr>
              <w:t>101.PRE XBRL Taxonomy Extension Presentation Linkbase.</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left="1360" w:hanging="331"/>
        <w:spacing w:after="0" w:line="254" w:lineRule="auto"/>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-408940</wp:posOffset>
            </wp:positionV>
            <wp:extent cx="7135495" cy="402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35495" cy="402590"/>
                    </a:xfrm>
                    <a:prstGeom prst="rect">
                      <a:avLst/>
                    </a:prstGeom>
                    <a:noFill/>
                  </pic:spPr>
                </pic:pic>
              </a:graphicData>
            </a:graphic>
          </wp:anchor>
        </w:drawing>
      </w:r>
    </w:p>
    <w:p>
      <w:pPr>
        <w:sectPr>
          <w:pgSz w:w="11900" w:h="16896" w:orient="portrait"/>
          <w:cols w:equalWidth="0" w:num="1">
            <w:col w:w="11240"/>
          </w:cols>
          <w:pgMar w:left="320" w:top="127" w:right="339" w:bottom="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54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96"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2" w:lineRule="exact"/>
        <w:rPr>
          <w:sz w:val="20"/>
          <w:szCs w:val="20"/>
          <w:color w:val="auto"/>
        </w:rPr>
      </w:pPr>
    </w:p>
    <w:p>
      <w:pPr>
        <w:ind w:firstLine="634"/>
        <w:spacing w:after="0" w:line="26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80" w:type="dxa"/>
            <w:vAlign w:val="bottom"/>
          </w:tcPr>
          <w:p>
            <w:pPr>
              <w:spacing w:after="0"/>
              <w:rPr>
                <w:sz w:val="19"/>
                <w:szCs w:val="19"/>
                <w:color w:val="auto"/>
              </w:rPr>
            </w:pPr>
          </w:p>
        </w:tc>
        <w:tc>
          <w:tcPr>
            <w:tcW w:w="6220" w:type="dxa"/>
            <w:vAlign w:val="bottom"/>
            <w:gridSpan w:val="2"/>
          </w:tcPr>
          <w:p>
            <w:pPr>
              <w:ind w:left="1960"/>
              <w:spacing w:after="0"/>
              <w:rPr>
                <w:sz w:val="20"/>
                <w:szCs w:val="20"/>
                <w:color w:val="auto"/>
              </w:rPr>
            </w:pPr>
            <w:r>
              <w:rPr>
                <w:rFonts w:ascii="Arial" w:cs="Arial" w:eastAsia="Arial" w:hAnsi="Arial"/>
                <w:sz w:val="18"/>
                <w:szCs w:val="18"/>
                <w:b w:val="1"/>
                <w:bCs w:val="1"/>
                <w:color w:val="auto"/>
              </w:rPr>
              <w:t>KINGSTONE COMPANIES, INC.</w:t>
            </w:r>
          </w:p>
        </w:tc>
        <w:tc>
          <w:tcPr>
            <w:tcW w:w="1340" w:type="dxa"/>
            <w:vAlign w:val="bottom"/>
          </w:tcPr>
          <w:p>
            <w:pPr>
              <w:spacing w:after="0"/>
              <w:rPr>
                <w:sz w:val="19"/>
                <w:szCs w:val="19"/>
                <w:color w:val="auto"/>
              </w:rPr>
            </w:pPr>
          </w:p>
        </w:tc>
      </w:tr>
      <w:tr>
        <w:trPr>
          <w:trHeight w:val="423"/>
        </w:trPr>
        <w:tc>
          <w:tcPr>
            <w:tcW w:w="3680" w:type="dxa"/>
            <w:vAlign w:val="bottom"/>
          </w:tcPr>
          <w:p>
            <w:pPr>
              <w:spacing w:after="0"/>
              <w:rPr>
                <w:sz w:val="20"/>
                <w:szCs w:val="20"/>
                <w:color w:val="auto"/>
              </w:rPr>
            </w:pPr>
            <w:r>
              <w:rPr>
                <w:rFonts w:ascii="Arial" w:cs="Arial" w:eastAsia="Arial" w:hAnsi="Arial"/>
                <w:sz w:val="18"/>
                <w:szCs w:val="18"/>
                <w:color w:val="auto"/>
              </w:rPr>
              <w:t>Dated: November 9, 2020</w:t>
            </w:r>
          </w:p>
        </w:tc>
        <w:tc>
          <w:tcPr>
            <w:tcW w:w="6220" w:type="dxa"/>
            <w:vAlign w:val="bottom"/>
            <w:gridSpan w:val="2"/>
          </w:tcPr>
          <w:p>
            <w:pPr>
              <w:ind w:left="1960"/>
              <w:spacing w:after="0"/>
              <w:rPr>
                <w:sz w:val="20"/>
                <w:szCs w:val="20"/>
                <w:color w:val="auto"/>
              </w:rPr>
            </w:pPr>
            <w:r>
              <w:rPr>
                <w:rFonts w:ascii="Arial" w:cs="Arial" w:eastAsia="Arial" w:hAnsi="Arial"/>
                <w:sz w:val="18"/>
                <w:szCs w:val="18"/>
                <w:color w:val="auto"/>
              </w:rPr>
              <w:t>By: /s/ Barry B. Goldstein</w:t>
            </w:r>
          </w:p>
        </w:tc>
        <w:tc>
          <w:tcPr>
            <w:tcW w:w="1340" w:type="dxa"/>
            <w:vAlign w:val="bottom"/>
          </w:tcPr>
          <w:p>
            <w:pPr>
              <w:spacing w:after="0"/>
              <w:rPr>
                <w:sz w:val="24"/>
                <w:szCs w:val="24"/>
                <w:color w:val="auto"/>
              </w:rPr>
            </w:pPr>
          </w:p>
        </w:tc>
      </w:tr>
      <w:tr>
        <w:trPr>
          <w:trHeight w:val="193"/>
        </w:trPr>
        <w:tc>
          <w:tcPr>
            <w:tcW w:w="36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92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Barry B. Goldstein</w:t>
            </w:r>
          </w:p>
        </w:tc>
        <w:tc>
          <w:tcPr>
            <w:tcW w:w="1340" w:type="dxa"/>
            <w:vAlign w:val="bottom"/>
          </w:tcPr>
          <w:p>
            <w:pPr>
              <w:spacing w:after="0"/>
              <w:rPr>
                <w:sz w:val="16"/>
                <w:szCs w:val="16"/>
                <w:color w:val="auto"/>
              </w:rPr>
            </w:pPr>
          </w:p>
        </w:tc>
      </w:tr>
      <w:tr>
        <w:trPr>
          <w:trHeight w:val="223"/>
        </w:trPr>
        <w:tc>
          <w:tcPr>
            <w:tcW w:w="36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340" w:type="dxa"/>
            <w:vAlign w:val="bottom"/>
          </w:tcPr>
          <w:p>
            <w:pPr>
              <w:spacing w:after="0"/>
              <w:rPr>
                <w:sz w:val="19"/>
                <w:szCs w:val="19"/>
                <w:color w:val="auto"/>
              </w:rPr>
            </w:pPr>
          </w:p>
        </w:tc>
      </w:tr>
      <w:tr>
        <w:trPr>
          <w:trHeight w:val="423"/>
        </w:trPr>
        <w:tc>
          <w:tcPr>
            <w:tcW w:w="3680" w:type="dxa"/>
            <w:vAlign w:val="bottom"/>
          </w:tcPr>
          <w:p>
            <w:pPr>
              <w:spacing w:after="0"/>
              <w:rPr>
                <w:sz w:val="20"/>
                <w:szCs w:val="20"/>
                <w:color w:val="auto"/>
              </w:rPr>
            </w:pPr>
            <w:r>
              <w:rPr>
                <w:rFonts w:ascii="Arial" w:cs="Arial" w:eastAsia="Arial" w:hAnsi="Arial"/>
                <w:sz w:val="18"/>
                <w:szCs w:val="18"/>
                <w:color w:val="auto"/>
              </w:rPr>
              <w:t>Dated: November 9, 2020</w:t>
            </w:r>
          </w:p>
        </w:tc>
        <w:tc>
          <w:tcPr>
            <w:tcW w:w="6220" w:type="dxa"/>
            <w:vAlign w:val="bottom"/>
            <w:gridSpan w:val="2"/>
          </w:tcPr>
          <w:p>
            <w:pPr>
              <w:ind w:left="1960"/>
              <w:spacing w:after="0"/>
              <w:rPr>
                <w:sz w:val="20"/>
                <w:szCs w:val="20"/>
                <w:color w:val="auto"/>
              </w:rPr>
            </w:pPr>
            <w:r>
              <w:rPr>
                <w:rFonts w:ascii="Arial" w:cs="Arial" w:eastAsia="Arial" w:hAnsi="Arial"/>
                <w:sz w:val="18"/>
                <w:szCs w:val="18"/>
                <w:color w:val="auto"/>
              </w:rPr>
              <w:t>By: /s/ Richard Swartz</w:t>
            </w:r>
          </w:p>
        </w:tc>
        <w:tc>
          <w:tcPr>
            <w:tcW w:w="1340" w:type="dxa"/>
            <w:vAlign w:val="bottom"/>
          </w:tcPr>
          <w:p>
            <w:pPr>
              <w:spacing w:after="0"/>
              <w:rPr>
                <w:sz w:val="24"/>
                <w:szCs w:val="24"/>
                <w:color w:val="auto"/>
              </w:rPr>
            </w:pPr>
          </w:p>
        </w:tc>
      </w:tr>
      <w:tr>
        <w:trPr>
          <w:trHeight w:val="193"/>
        </w:trPr>
        <w:tc>
          <w:tcPr>
            <w:tcW w:w="36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92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Richard Swartz</w:t>
            </w:r>
          </w:p>
        </w:tc>
        <w:tc>
          <w:tcPr>
            <w:tcW w:w="1340" w:type="dxa"/>
            <w:vAlign w:val="bottom"/>
          </w:tcPr>
          <w:p>
            <w:pPr>
              <w:spacing w:after="0"/>
              <w:rPr>
                <w:sz w:val="16"/>
                <w:szCs w:val="16"/>
                <w:color w:val="auto"/>
              </w:rPr>
            </w:pPr>
          </w:p>
        </w:tc>
      </w:tr>
      <w:tr>
        <w:trPr>
          <w:trHeight w:val="223"/>
        </w:trPr>
        <w:tc>
          <w:tcPr>
            <w:tcW w:w="36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340" w:type="dxa"/>
            <w:vAlign w:val="bottom"/>
          </w:tcPr>
          <w:p>
            <w:pPr>
              <w:spacing w:after="0"/>
              <w:rPr>
                <w:sz w:val="19"/>
                <w:szCs w:val="19"/>
                <w:color w:val="auto"/>
              </w:rPr>
            </w:pPr>
          </w:p>
        </w:tc>
      </w:tr>
      <w:tr>
        <w:trPr>
          <w:trHeight w:val="634"/>
        </w:trPr>
        <w:tc>
          <w:tcPr>
            <w:tcW w:w="36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81</w:t>
            </w:r>
          </w:p>
        </w:tc>
        <w:tc>
          <w:tcPr>
            <w:tcW w:w="3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0"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 Barry B. Goldstein, certify that:</w:t>
      </w:r>
    </w:p>
    <w:p>
      <w:pPr>
        <w:spacing w:after="0" w:line="216" w:lineRule="exact"/>
        <w:rPr>
          <w:sz w:val="20"/>
          <w:szCs w:val="20"/>
          <w:color w:val="auto"/>
        </w:rPr>
      </w:pPr>
    </w:p>
    <w:p>
      <w:pPr>
        <w:ind w:left="460" w:hanging="454"/>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Kingstone Companies, Inc.;</w:t>
      </w:r>
    </w:p>
    <w:p>
      <w:pPr>
        <w:spacing w:after="0" w:line="215" w:lineRule="exact"/>
        <w:rPr>
          <w:rFonts w:ascii="Arial" w:cs="Arial" w:eastAsia="Arial" w:hAnsi="Arial"/>
          <w:sz w:val="18"/>
          <w:szCs w:val="18"/>
          <w:color w:val="auto"/>
        </w:rPr>
      </w:pPr>
    </w:p>
    <w:p>
      <w:pPr>
        <w:jc w:val="both"/>
        <w:ind w:left="460" w:hanging="454"/>
        <w:spacing w:after="0" w:line="364"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5"/>
          <w:szCs w:val="15"/>
          <w:color w:val="auto"/>
        </w:rPr>
      </w:pPr>
    </w:p>
    <w:p>
      <w:pPr>
        <w:ind w:left="460" w:hanging="454"/>
        <w:spacing w:after="0" w:line="263"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jc w:val="both"/>
        <w:ind w:left="460" w:hanging="454"/>
        <w:spacing w:after="0" w:line="25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8"/>
          <w:szCs w:val="18"/>
          <w:color w:val="auto"/>
        </w:rPr>
      </w:pPr>
    </w:p>
    <w:p>
      <w:pPr>
        <w:jc w:val="both"/>
        <w:ind w:left="900" w:hanging="445"/>
        <w:spacing w:after="0" w:line="25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jc w:val="both"/>
        <w:ind w:left="900" w:hanging="445"/>
        <w:spacing w:after="0" w:line="25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900" w:hanging="445"/>
        <w:spacing w:after="0" w:line="292" w:lineRule="auto"/>
        <w:tabs>
          <w:tab w:leader="none" w:pos="9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jc w:val="both"/>
        <w:ind w:left="900" w:hanging="445"/>
        <w:spacing w:after="0" w:line="25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left="460" w:hanging="454"/>
        <w:spacing w:after="0" w:line="292"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7"/>
          <w:szCs w:val="17"/>
          <w:color w:val="auto"/>
        </w:rPr>
      </w:pPr>
    </w:p>
    <w:p>
      <w:pPr>
        <w:ind w:left="900" w:hanging="445"/>
        <w:spacing w:after="0" w:line="263"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900" w:hanging="445"/>
        <w:spacing w:after="0" w:line="263"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3175</wp:posOffset>
            </wp:positionV>
            <wp:extent cx="2490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8"/>
          <w:szCs w:val="18"/>
          <w:color w:val="auto"/>
        </w:rPr>
        <w:t>Barry B. Goldstein</w:t>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 Richard Swartz, certify that:</w:t>
      </w:r>
    </w:p>
    <w:p>
      <w:pPr>
        <w:spacing w:after="0" w:line="216" w:lineRule="exact"/>
        <w:rPr>
          <w:sz w:val="20"/>
          <w:szCs w:val="20"/>
          <w:color w:val="auto"/>
        </w:rPr>
      </w:pPr>
    </w:p>
    <w:p>
      <w:pPr>
        <w:ind w:left="460" w:hanging="454"/>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Kingstone Companies, Inc.;</w:t>
      </w:r>
    </w:p>
    <w:p>
      <w:pPr>
        <w:spacing w:after="0" w:line="215" w:lineRule="exact"/>
        <w:rPr>
          <w:rFonts w:ascii="Arial" w:cs="Arial" w:eastAsia="Arial" w:hAnsi="Arial"/>
          <w:sz w:val="18"/>
          <w:szCs w:val="18"/>
          <w:color w:val="auto"/>
        </w:rPr>
      </w:pPr>
    </w:p>
    <w:p>
      <w:pPr>
        <w:jc w:val="both"/>
        <w:ind w:left="460" w:hanging="454"/>
        <w:spacing w:after="0" w:line="364"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5"/>
          <w:szCs w:val="15"/>
          <w:color w:val="auto"/>
        </w:rPr>
      </w:pPr>
    </w:p>
    <w:p>
      <w:pPr>
        <w:ind w:left="460" w:hanging="454"/>
        <w:spacing w:after="0" w:line="263"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jc w:val="both"/>
        <w:ind w:left="460" w:hanging="454"/>
        <w:spacing w:after="0" w:line="25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8"/>
          <w:szCs w:val="18"/>
          <w:color w:val="auto"/>
        </w:rPr>
      </w:pPr>
    </w:p>
    <w:p>
      <w:pPr>
        <w:jc w:val="both"/>
        <w:ind w:left="900" w:hanging="445"/>
        <w:spacing w:after="0" w:line="25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jc w:val="both"/>
        <w:ind w:left="900" w:hanging="445"/>
        <w:spacing w:after="0" w:line="25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900" w:hanging="445"/>
        <w:spacing w:after="0" w:line="292" w:lineRule="auto"/>
        <w:tabs>
          <w:tab w:leader="none" w:pos="9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jc w:val="both"/>
        <w:ind w:left="900" w:hanging="445"/>
        <w:spacing w:after="0" w:line="25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left="460" w:hanging="454"/>
        <w:spacing w:after="0" w:line="292"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7"/>
          <w:szCs w:val="17"/>
          <w:color w:val="auto"/>
        </w:rPr>
      </w:pPr>
    </w:p>
    <w:p>
      <w:pPr>
        <w:ind w:left="900" w:hanging="445"/>
        <w:spacing w:after="0" w:line="263"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900" w:hanging="445"/>
        <w:spacing w:after="0" w:line="263"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Richard Swartz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3175</wp:posOffset>
            </wp:positionV>
            <wp:extent cx="2490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8"/>
          <w:szCs w:val="18"/>
          <w:color w:val="auto"/>
        </w:rPr>
        <w:t>Richard Swartz</w:t>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FINANCIAL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4" w:lineRule="exact"/>
        <w:rPr>
          <w:sz w:val="20"/>
          <w:szCs w:val="20"/>
          <w:color w:val="auto"/>
        </w:rPr>
      </w:pPr>
    </w:p>
    <w:p>
      <w:pPr>
        <w:jc w:val="both"/>
        <w:ind w:firstLine="594"/>
        <w:spacing w:after="0" w:line="317" w:lineRule="auto"/>
        <w:rPr>
          <w:sz w:val="20"/>
          <w:szCs w:val="20"/>
          <w:color w:val="auto"/>
        </w:rPr>
      </w:pPr>
      <w:r>
        <w:rPr>
          <w:rFonts w:ascii="Arial" w:cs="Arial" w:eastAsia="Arial" w:hAnsi="Arial"/>
          <w:sz w:val="15"/>
          <w:szCs w:val="15"/>
          <w:color w:val="auto"/>
        </w:rPr>
        <w:t>The undersigned hereby certify, pursuant to, and as required by, 18 U.S.C. Section 1350, as adopted pursuant to Section 906 of the Sarbanes-Oxley Act of 2002, that the Quarterly Report of Kingstone Companies, Inc. (the “Company”) on Form 10-Q for the period ended September 30, 2020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Dated: November 9, 2020</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B. Goldstein</w:t>
            </w:r>
          </w:p>
        </w:tc>
      </w:tr>
      <w:tr>
        <w:trPr>
          <w:trHeight w:val="193"/>
        </w:trPr>
        <w:tc>
          <w:tcPr>
            <w:tcW w:w="5980" w:type="dxa"/>
            <w:vAlign w:val="bottom"/>
          </w:tcPr>
          <w:p>
            <w:pPr>
              <w:spacing w:after="0"/>
              <w:rPr>
                <w:sz w:val="16"/>
                <w:szCs w:val="16"/>
                <w:color w:val="auto"/>
              </w:rPr>
            </w:pPr>
          </w:p>
        </w:tc>
        <w:tc>
          <w:tcPr>
            <w:tcW w:w="3920" w:type="dxa"/>
            <w:vAlign w:val="bottom"/>
          </w:tcPr>
          <w:p>
            <w:pPr>
              <w:spacing w:after="0" w:line="193" w:lineRule="exact"/>
              <w:rPr>
                <w:sz w:val="20"/>
                <w:szCs w:val="20"/>
                <w:color w:val="auto"/>
              </w:rPr>
            </w:pPr>
            <w:r>
              <w:rPr>
                <w:rFonts w:ascii="Arial" w:cs="Arial" w:eastAsia="Arial" w:hAnsi="Arial"/>
                <w:sz w:val="18"/>
                <w:szCs w:val="18"/>
                <w:color w:val="auto"/>
              </w:rPr>
              <w:t>Barry B. Goldstein</w:t>
            </w:r>
          </w:p>
        </w:tc>
      </w:tr>
      <w:tr>
        <w:trPr>
          <w:trHeight w:val="223"/>
        </w:trPr>
        <w:tc>
          <w:tcPr>
            <w:tcW w:w="59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11"/>
        </w:trPr>
        <w:tc>
          <w:tcPr>
            <w:tcW w:w="598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 Richard Swartz</w:t>
            </w:r>
          </w:p>
        </w:tc>
      </w:tr>
      <w:tr>
        <w:trPr>
          <w:trHeight w:val="211"/>
        </w:trPr>
        <w:tc>
          <w:tcPr>
            <w:tcW w:w="59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Richard Swartz</w:t>
            </w:r>
          </w:p>
        </w:tc>
      </w:tr>
      <w:tr>
        <w:trPr>
          <w:trHeight w:val="223"/>
        </w:trPr>
        <w:tc>
          <w:tcPr>
            <w:tcW w:w="59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upperLetter"/>
      <w:start w:val="1"/>
    </w:lvl>
  </w:abstractNum>
  <w:abstractNum w:abstractNumId="7">
    <w:nsid w:val="1BEFD79F"/>
    <w:multiLevelType w:val="hybridMultilevel"/>
    <w:lvl w:ilvl="0">
      <w:lvlJc w:val="left"/>
      <w:lvlText w:val="(%1)"/>
      <w:numFmt w:val="decimal"/>
      <w:start w:val="2"/>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14" Type="http://schemas.openxmlformats.org/officeDocument/2006/relationships/hyperlink" Target="http://www.sec.gov/Archives/edgar/data/33992/000135448814002619/kins_ex3a.htm" TargetMode="External"/><Relationship Id="rId115" Type="http://schemas.openxmlformats.org/officeDocument/2006/relationships/hyperlink" Target="http://www.sec.gov/Archives/edgar/data/33992/000102177109000069/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2020-11-09T16:25:14Z</dcterms:created>
  <dcterms:modified xsi:type="dcterms:W3CDTF">2020-11-09T16:25:14Z</dcterms:modified>
</cp:coreProperties>
</file>