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1023.htm"/>
      <w:bookmarkStart w:id="1" w:name="kskins20261023"/>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October 23,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8425" w:type="dxa"/>
        <w:jc w:val="left"/>
        <w:tblInd w:w="0" w:type="dxa"/>
        <w:tblLayout w:type="fixed"/>
        <w:tblCellMar>
          <w:top w:w="0" w:type="dxa"/>
          <w:left w:w="0" w:type="dxa"/>
          <w:bottom w:w="28" w:type="dxa"/>
          <w:right w:w="0" w:type="dxa"/>
        </w:tblCellMar>
      </w:tblPr>
      <w:tblGrid>
        <w:gridCol w:w="2716"/>
        <w:gridCol w:w="206"/>
        <w:gridCol w:w="2341"/>
        <w:gridCol w:w="206"/>
        <w:gridCol w:w="2956"/>
      </w:tblGrid>
      <w:tr>
        <w:trPr/>
        <w:tc>
          <w:tcPr>
            <w:tcW w:w="271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206" w:type="dxa"/>
            <w:tcBorders>
              <w:bottom w:val="single" w:sz="8" w:space="0" w:color="000000"/>
            </w:tcBorders>
            <w:vAlign w:val="center"/>
          </w:tcPr>
          <w:p>
            <w:pPr>
              <w:pStyle w:val="TableContents"/>
              <w:bidi w:val="0"/>
              <w:spacing w:before="0" w:after="0"/>
              <w:jc w:val="left"/>
              <w:rPr/>
            </w:pPr>
            <w:r>
              <w:rPr/>
              <w:t xml:space="preserve">  </w:t>
            </w:r>
          </w:p>
        </w:tc>
        <w:tc>
          <w:tcPr>
            <w:tcW w:w="2341"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206" w:type="dxa"/>
            <w:tcBorders>
              <w:bottom w:val="single" w:sz="8" w:space="0" w:color="000000"/>
            </w:tcBorders>
            <w:vAlign w:val="center"/>
          </w:tcPr>
          <w:p>
            <w:pPr>
              <w:pStyle w:val="TableContents"/>
              <w:bidi w:val="0"/>
              <w:spacing w:before="0" w:after="0"/>
              <w:jc w:val="left"/>
              <w:rPr/>
            </w:pPr>
            <w:r>
              <w:rPr/>
              <w:t xml:space="preserve">  </w:t>
            </w:r>
          </w:p>
        </w:tc>
        <w:tc>
          <w:tcPr>
            <w:tcW w:w="2956"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2716" w:type="dxa"/>
            <w:tcBorders>
              <w:top w:val="single" w:sz="8" w:space="0" w:color="000000"/>
            </w:tcBorders>
            <w:tcMar>
              <w:top w:w="28" w:type="dxa"/>
              <w:bottom w:w="0" w:type="dxa"/>
            </w:tcMar>
            <w:vAlign w:val="center"/>
          </w:tcPr>
          <w:p>
            <w:pPr>
              <w:pStyle w:val="TableContents"/>
              <w:bidi w:val="0"/>
              <w:spacing w:before="0" w:after="0"/>
              <w:jc w:val="both"/>
              <w:rPr>
                <w:rFonts w:ascii="Calibri" w:hAnsi="Calibri"/>
              </w:rPr>
            </w:pPr>
            <w:r>
              <w:rPr>
                <w:rFonts w:ascii="Times New Roman" w:hAnsi="Times New Roman"/>
              </w:rPr>
              <w:t>(State or Other Jurisdiction</w:t>
            </w:r>
            <w:r>
              <w:rPr>
                <w:rFonts w:ascii="Calibri" w:hAnsi="Calibri"/>
              </w:rPr>
              <w:t xml:space="preserve"> </w:t>
            </w:r>
          </w:p>
          <w:p>
            <w:pPr>
              <w:pStyle w:val="TableContents"/>
              <w:bidi w:val="0"/>
              <w:spacing w:before="0" w:after="0"/>
              <w:jc w:val="both"/>
              <w:rPr>
                <w:rFonts w:ascii="Calibri" w:hAnsi="Calibri"/>
              </w:rPr>
            </w:pPr>
            <w:r>
              <w:rPr>
                <w:rFonts w:ascii="Times New Roman" w:hAnsi="Times New Roman"/>
              </w:rPr>
              <w:t>of Incorporation)</w:t>
            </w:r>
            <w:r>
              <w:rPr>
                <w:rFonts w:ascii="Calibri" w:hAnsi="Calibri"/>
              </w:rPr>
              <w:t xml:space="preserve"> </w:t>
            </w:r>
          </w:p>
        </w:tc>
        <w:tc>
          <w:tcPr>
            <w:tcW w:w="206"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341"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206"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956" w:type="dxa"/>
            <w:tcBorders>
              <w:top w:val="single" w:sz="8" w:space="0" w:color="000000"/>
            </w:tcBorders>
            <w:tcMar>
              <w:top w:w="28" w:type="dxa"/>
              <w:bottom w:w="0" w:type="dxa"/>
            </w:tcMar>
            <w:vAlign w:val="center"/>
          </w:tcPr>
          <w:p>
            <w:pPr>
              <w:pStyle w:val="TableContents"/>
              <w:bidi w:val="0"/>
              <w:spacing w:before="0" w:after="0"/>
              <w:jc w:val="both"/>
              <w:rPr>
                <w:rFonts w:ascii="Calibri" w:hAnsi="Calibri"/>
              </w:rPr>
            </w:pPr>
            <w:r>
              <w:rPr>
                <w:rFonts w:ascii="Times New Roman" w:hAnsi="Times New Roman"/>
              </w:rPr>
              <w:t>(IRS Employer Identification</w:t>
            </w:r>
            <w:r>
              <w:rPr>
                <w:rFonts w:ascii="Calibri" w:hAnsi="Calibri"/>
              </w:rPr>
              <w:t xml:space="preserve"> </w:t>
            </w:r>
          </w:p>
          <w:p>
            <w:pPr>
              <w:pStyle w:val="TableContents"/>
              <w:bidi w:val="0"/>
              <w:spacing w:before="0" w:after="0"/>
              <w:jc w:val="both"/>
              <w:rPr>
                <w:rFonts w:ascii="Calibri" w:hAnsi="Calibri"/>
              </w:rPr>
            </w:pPr>
            <w:r>
              <w:rPr>
                <w:rFonts w:ascii="Times New Roman" w:hAnsi="Times New Roman"/>
              </w:rPr>
              <w:t>Number)</w:t>
            </w:r>
            <w:r>
              <w:rPr>
                <w:rFonts w:ascii="Calibri" w:hAnsi="Calibri"/>
              </w:rPr>
              <w:t xml:space="preserve"> </w:t>
            </w:r>
          </w:p>
        </w:tc>
      </w:tr>
    </w:tbl>
    <w:p>
      <w:pPr>
        <w:pStyle w:val="TextBody"/>
        <w:bidi w:val="0"/>
        <w:spacing w:before="0" w:after="0"/>
        <w:jc w:val="center"/>
        <w:rPr/>
      </w:pPr>
      <w:r>
        <w:rPr/>
        <w:t xml:space="preserve">  </w:t>
      </w:r>
    </w:p>
    <w:tbl>
      <w:tblPr>
        <w:tblW w:w="5282" w:type="dxa"/>
        <w:jc w:val="left"/>
        <w:tblInd w:w="0" w:type="dxa"/>
        <w:tblLayout w:type="fixed"/>
        <w:tblCellMar>
          <w:top w:w="28" w:type="dxa"/>
          <w:left w:w="28" w:type="dxa"/>
          <w:bottom w:w="28" w:type="dxa"/>
          <w:right w:w="28" w:type="dxa"/>
        </w:tblCellMar>
      </w:tblPr>
      <w:tblGrid>
        <w:gridCol w:w="4021"/>
        <w:gridCol w:w="1261"/>
      </w:tblGrid>
      <w:tr>
        <w:trPr/>
        <w:tc>
          <w:tcPr>
            <w:tcW w:w="4021" w:type="dxa"/>
            <w:tcBorders/>
            <w:vAlign w:val="center"/>
          </w:tcPr>
          <w:p>
            <w:pPr>
              <w:pStyle w:val="TableContents"/>
              <w:bidi w:val="0"/>
              <w:spacing w:before="0" w:after="0"/>
              <w:jc w:val="left"/>
              <w:rPr>
                <w:rFonts w:ascii="Calibri" w:hAnsi="Calibri"/>
              </w:rPr>
            </w:pPr>
            <w:r>
              <w:rPr>
                <w:rFonts w:ascii="Times New Roman" w:hAnsi="Times New Roman"/>
                <w:u w:val="single"/>
              </w:rPr>
              <w:t>120 Wood Road, Kingston, NY</w:t>
            </w:r>
            <w:r>
              <w:rPr>
                <w:rFonts w:ascii="Calibri" w:hAnsi="Calibri"/>
              </w:rPr>
              <w:t xml:space="preserve"> </w:t>
            </w:r>
          </w:p>
        </w:tc>
        <w:tc>
          <w:tcPr>
            <w:tcW w:w="1261" w:type="dxa"/>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left w:w="0" w:type="dxa"/>
              <w:bottom w:w="0" w:type="dxa"/>
              <w:right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pPr>
      <w:r>
        <w:rPr/>
        <w:t xml:space="preserve">  </w:t>
      </w:r>
    </w:p>
    <w:p>
      <w:pPr>
        <w:pStyle w:val="HorizontalLine"/>
        <w:pBdr>
          <w:bottom w:val="double" w:sz="2" w:space="0" w:color="808080"/>
        </w:pBdr>
        <w:bidi w:val="0"/>
        <w:spacing w:before="0" w:after="283"/>
        <w:jc w:val="left"/>
        <w:rPr/>
      </w:pPr>
      <w:r>
        <w:rPr/>
      </w:r>
    </w:p>
    <w:tbl>
      <w:tblPr>
        <w:tblW w:w="4007" w:type="dxa"/>
        <w:jc w:val="left"/>
        <w:tblInd w:w="0" w:type="dxa"/>
        <w:tblLayout w:type="fixed"/>
        <w:tblCellMar>
          <w:top w:w="28" w:type="dxa"/>
          <w:left w:w="28" w:type="dxa"/>
          <w:bottom w:w="28" w:type="dxa"/>
          <w:right w:w="28" w:type="dxa"/>
        </w:tblCellMar>
      </w:tblPr>
      <w:tblGrid>
        <w:gridCol w:w="1126"/>
        <w:gridCol w:w="28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7.01</w:t>
            </w:r>
            <w:r>
              <w:rPr>
                <w:rFonts w:ascii="Calibri" w:hAnsi="Calibri"/>
              </w:rPr>
              <w:t xml:space="preserve"> </w:t>
            </w:r>
          </w:p>
        </w:tc>
        <w:tc>
          <w:tcPr>
            <w:tcW w:w="2881" w:type="dxa"/>
            <w:tcBorders/>
            <w:vAlign w:val="center"/>
          </w:tcPr>
          <w:p>
            <w:pPr>
              <w:pStyle w:val="TableContents"/>
              <w:bidi w:val="0"/>
              <w:spacing w:before="0" w:after="0"/>
              <w:jc w:val="left"/>
              <w:rPr>
                <w:rFonts w:ascii="Calibri" w:hAnsi="Calibri"/>
              </w:rPr>
            </w:pPr>
            <w:r>
              <w:rPr>
                <w:rFonts w:ascii="Times New Roman" w:hAnsi="Times New Roman"/>
                <w:b/>
                <w:sz w:val="24"/>
              </w:rPr>
              <w:t>Regulation FD Disclosure</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October 23, 2026, Kingstone Companies, Inc. (the “Company”) issued a press release (the “Press Release”) announcing that the Company’s Board of Directors has declared a quarterly cash dividend of $0.06 per share payable on November 25, 2026 to stockholders of record at the close of business on November 11, 2026. A copy of the Press Release is furnished as Exhibit 99.1 hereto.</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in the Press Release is being furnished, not filed, pursuant to this Item 7.01. Accordingly, the information in the Press Release will not be subject to the liabilities of Section 18 of the Securities Exchange Act of 1934, as amended (the “Exchange Act”), nor will it be deemed incorporated by reference into any registration statement filed by the Company under the Securities Act of 1933, as amended, or any filing under the Exchange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r>
        <w:rPr>
          <w:rFonts w:ascii="Calibri" w:hAnsi="Calibri"/>
          <w:sz w:val="22"/>
        </w:rPr>
        <w:t xml:space="preserve"> </w:t>
      </w:r>
    </w:p>
    <w:p>
      <w:pPr>
        <w:pStyle w:val="TextBody"/>
        <w:bidi w:val="0"/>
        <w:spacing w:before="0" w:after="0"/>
        <w:jc w:val="both"/>
        <w:rPr/>
      </w:pPr>
      <w:r>
        <w:rPr/>
        <w:t xml:space="preserve">  </w:t>
      </w:r>
    </w:p>
    <w:tbl>
      <w:tblPr>
        <w:tblW w:w="4862" w:type="dxa"/>
        <w:jc w:val="left"/>
        <w:tblInd w:w="0" w:type="dxa"/>
        <w:tblLayout w:type="fixed"/>
        <w:tblCellMar>
          <w:top w:w="28" w:type="dxa"/>
          <w:left w:w="28" w:type="dxa"/>
          <w:bottom w:w="28" w:type="dxa"/>
          <w:right w:w="28" w:type="dxa"/>
        </w:tblCellMar>
      </w:tblPr>
      <w:tblGrid>
        <w:gridCol w:w="1126"/>
        <w:gridCol w:w="3736"/>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9.01</w:t>
            </w:r>
            <w:r>
              <w:rPr>
                <w:rFonts w:ascii="Calibri" w:hAnsi="Calibri"/>
              </w:rPr>
              <w:t xml:space="preserve"> </w:t>
            </w:r>
          </w:p>
        </w:tc>
        <w:tc>
          <w:tcPr>
            <w:tcW w:w="3736" w:type="dxa"/>
            <w:tcBorders/>
            <w:vAlign w:val="center"/>
          </w:tcPr>
          <w:p>
            <w:pPr>
              <w:pStyle w:val="TableContents"/>
              <w:bidi w:val="0"/>
              <w:spacing w:before="0" w:after="0"/>
              <w:jc w:val="left"/>
              <w:rPr>
                <w:rFonts w:ascii="Calibri" w:hAnsi="Calibri"/>
              </w:rPr>
            </w:pPr>
            <w:r>
              <w:rPr>
                <w:rFonts w:ascii="Times New Roman" w:hAnsi="Times New Roman"/>
                <w:b/>
                <w:sz w:val="24"/>
              </w:rPr>
              <w:t>Financial Statements and Exhibits.</w:t>
            </w:r>
            <w:r>
              <w:rPr>
                <w:rFonts w:ascii="Calibri" w:hAnsi="Calibri"/>
              </w:rPr>
              <w:t xml:space="preserve"> </w:t>
            </w:r>
          </w:p>
        </w:tc>
      </w:tr>
    </w:tbl>
    <w:p>
      <w:pPr>
        <w:pStyle w:val="TextBody"/>
        <w:bidi w:val="0"/>
        <w:spacing w:lineRule="atLeast" w:line="240" w:before="0" w:after="0"/>
        <w:jc w:val="both"/>
        <w:rPr/>
      </w:pPr>
      <w:r>
        <w:rPr/>
        <w:t xml:space="preserve">  </w:t>
      </w:r>
    </w:p>
    <w:tbl>
      <w:tblPr>
        <w:tblW w:w="8883" w:type="dxa"/>
        <w:jc w:val="left"/>
        <w:tblInd w:w="0" w:type="dxa"/>
        <w:tblLayout w:type="fixed"/>
        <w:tblCellMar>
          <w:top w:w="28" w:type="dxa"/>
          <w:left w:w="28" w:type="dxa"/>
          <w:bottom w:w="28" w:type="dxa"/>
          <w:right w:w="28" w:type="dxa"/>
        </w:tblCellMar>
      </w:tblPr>
      <w:tblGrid>
        <w:gridCol w:w="451"/>
        <w:gridCol w:w="586"/>
        <w:gridCol w:w="7846"/>
      </w:tblGrid>
      <w:tr>
        <w:trPr/>
        <w:tc>
          <w:tcPr>
            <w:tcW w:w="45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46" w:type="dxa"/>
            <w:tcBorders/>
            <w:vAlign w:val="center"/>
          </w:tcPr>
          <w:p>
            <w:pPr>
              <w:pStyle w:val="TableContents"/>
              <w:bidi w:val="0"/>
              <w:spacing w:before="0" w:after="283"/>
              <w:jc w:val="left"/>
              <w:rPr/>
            </w:pPr>
            <w:r>
              <w:rPr/>
              <w:t> </w:t>
            </w:r>
          </w:p>
        </w:tc>
      </w:tr>
      <w:tr>
        <w:trPr/>
        <w:tc>
          <w:tcPr>
            <w:tcW w:w="45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both"/>
              <w:rPr>
                <w:rFonts w:ascii="Calibri" w:hAnsi="Calibri"/>
              </w:rPr>
            </w:pPr>
            <w:r>
              <w:rPr>
                <w:rFonts w:ascii="Times New Roman" w:hAnsi="Times New Roman"/>
                <w:sz w:val="24"/>
              </w:rPr>
              <w:t>(d)</w:t>
            </w:r>
            <w:r>
              <w:rPr>
                <w:rFonts w:ascii="Calibri" w:hAnsi="Calibri"/>
              </w:rPr>
              <w:t xml:space="preserve"> </w:t>
            </w:r>
          </w:p>
        </w:tc>
        <w:tc>
          <w:tcPr>
            <w:tcW w:w="843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Exhibits:</w:t>
            </w:r>
            <w:r>
              <w:rPr>
                <w:rFonts w:ascii="Calibri" w:hAnsi="Calibri"/>
              </w:rPr>
              <w:t xml:space="preserve"> </w:t>
            </w:r>
          </w:p>
        </w:tc>
      </w:tr>
      <w:tr>
        <w:trPr/>
        <w:tc>
          <w:tcPr>
            <w:tcW w:w="451"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58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784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99.1</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sz w:val="24"/>
              </w:rPr>
              <w:t xml:space="preserve">Press release, dated October 23, 2026, issued by Kingstone Companies, Inc.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104</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Cover Page Interactive Data File (embedded within the inline XBRL document).</w:t>
            </w:r>
            <w:r>
              <w:rPr>
                <w:rFonts w:ascii="Calibri" w:hAnsi="Calibri"/>
              </w:rPr>
              <w:t xml:space="preserve"> </w:t>
            </w:r>
          </w:p>
        </w:tc>
      </w:tr>
    </w:tbl>
    <w:p>
      <w:pPr>
        <w:pStyle w:val="TextBody"/>
        <w:bidi w:val="0"/>
        <w:spacing w:before="0" w:after="20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Calibri" w:hAnsi="Calibri"/>
          <w:sz w:val="22"/>
        </w:rPr>
      </w:pPr>
      <w:r>
        <w:rPr>
          <w:rFonts w:ascii="Times New Roman" w:hAnsi="Times New Roman"/>
          <w:b/>
          <w:sz w:val="24"/>
        </w:rPr>
        <w:t>SIGNATURES</w:t>
      </w:r>
      <w:r>
        <w:rPr>
          <w:rFonts w:ascii="Calibri" w:hAnsi="Calibri"/>
          <w:sz w:val="22"/>
        </w:rPr>
        <w:t xml:space="preserve"> </w:t>
      </w:r>
    </w:p>
    <w:p>
      <w:pPr>
        <w:pStyle w:val="TextBody"/>
        <w:bidi w:val="0"/>
        <w:spacing w:lineRule="atLeast" w:line="276" w:before="0" w:after="0"/>
        <w:jc w:val="both"/>
        <w:rPr/>
      </w:pPr>
      <w:r>
        <w:rPr/>
        <w:t xml:space="preserve">  </w:t>
      </w:r>
    </w:p>
    <w:p>
      <w:pPr>
        <w:pStyle w:val="TextBody"/>
        <w:bidi w:val="0"/>
        <w:spacing w:lineRule="atLeast" w:line="276" w:before="0" w:after="0"/>
        <w:ind w:left="0" w:right="0" w:firstLine="4680"/>
        <w:jc w:val="both"/>
        <w:rPr>
          <w:rFonts w:ascii="Calibri" w:hAnsi="Calibri"/>
          <w:sz w:val="22"/>
        </w:rPr>
      </w:pP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lineRule="atLeast" w:line="276" w:before="0" w:after="0"/>
        <w:jc w:val="both"/>
        <w:rPr/>
      </w:pPr>
      <w:r>
        <w:rPr/>
        <w:t xml:space="preserve">  </w:t>
      </w:r>
    </w:p>
    <w:tbl>
      <w:tblPr>
        <w:tblW w:w="6436" w:type="dxa"/>
        <w:jc w:val="left"/>
        <w:tblInd w:w="0" w:type="dxa"/>
        <w:tblLayout w:type="fixed"/>
        <w:tblCellMar>
          <w:top w:w="28" w:type="dxa"/>
          <w:left w:w="28" w:type="dxa"/>
          <w:bottom w:w="28" w:type="dxa"/>
          <w:right w:w="28" w:type="dxa"/>
        </w:tblCellMar>
      </w:tblPr>
      <w:tblGrid>
        <w:gridCol w:w="2596"/>
        <w:gridCol w:w="674"/>
        <w:gridCol w:w="3166"/>
      </w:tblGrid>
      <w:tr>
        <w:trPr/>
        <w:tc>
          <w:tcPr>
            <w:tcW w:w="2596"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sz w:val="24"/>
              </w:rPr>
              <w:t>Dated:  October 23, 2026</w:t>
            </w: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sz w:val="24"/>
              </w:rPr>
              <w:t>/s/ Randy Patten</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Randy Patten</w:t>
            </w:r>
            <w:r>
              <w:rPr/>
              <w:t xml:space="preserve"> </w:t>
            </w:r>
          </w:p>
        </w:tc>
      </w:tr>
      <w:tr>
        <w:trPr/>
        <w:tc>
          <w:tcPr>
            <w:tcW w:w="259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Financial Officer</w:t>
            </w:r>
            <w:r>
              <w:rPr/>
              <w:t xml:space="preserve"> </w:t>
            </w:r>
          </w:p>
        </w:tc>
      </w:tr>
    </w:tbl>
    <w:p>
      <w:pPr>
        <w:pStyle w:val="TextBody"/>
        <w:bidi w:val="0"/>
        <w:spacing w:before="0" w:after="200"/>
        <w:jc w:val="left"/>
        <w:rPr/>
      </w:pPr>
      <w:r>
        <w:rPr/>
        <w:t xml:space="preserve">  </w:t>
      </w:r>
    </w:p>
    <w:p>
      <w:pPr>
        <w:pStyle w:val="TextBody"/>
        <w:bidi w:val="0"/>
        <w:spacing w:before="0" w:after="200"/>
        <w:jc w:val="both"/>
        <w:rPr/>
      </w:pPr>
      <w:r>
        <w:rPr/>
        <w:t xml:space="preserve">  </w:t>
      </w:r>
    </w:p>
    <w:p>
      <w:pPr>
        <w:pStyle w:val="TextBody"/>
        <w:bidi w:val="0"/>
        <w:spacing w:before="0" w:after="0"/>
        <w:jc w:val="left"/>
        <w:rPr/>
      </w:pPr>
      <w:bookmarkStart w:id="2" w:name="ex99.htm"/>
      <w:bookmarkStart w:id="3" w:name="ksex99"/>
      <w:bookmarkEnd w:id="2"/>
      <w:bookmarkEnd w:id="3"/>
      <w:r>
        <w:rPr/>
        <w:drawing>
          <wp:inline distT="0" distB="0" distL="0" distR="0">
            <wp:extent cx="1725295"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5295" cy="347345"/>
                    </a:xfrm>
                    <a:prstGeom prst="rect">
                      <a:avLst/>
                    </a:prstGeom>
                  </pic:spPr>
                </pic:pic>
              </a:graphicData>
            </a:graphic>
          </wp:inline>
        </w:drawing>
      </w:r>
      <w:r>
        <w:rPr/>
        <w:t xml:space="preserve">  </w:t>
      </w:r>
      <w:r>
        <w:br w:type="page"/>
      </w:r>
    </w:p>
    <w:p>
      <w:pPr>
        <w:pStyle w:val="TextBody"/>
        <w:bidi w:val="0"/>
        <w:spacing w:before="0" w:after="0"/>
        <w:jc w:val="left"/>
        <w:rPr/>
      </w:pPr>
      <w:r>
        <w:rPr/>
        <w:t xml:space="preserve">  </w:t>
      </w:r>
    </w:p>
    <w:p>
      <w:pPr>
        <w:pStyle w:val="TextBody"/>
        <w:bidi w:val="0"/>
        <w:spacing w:lineRule="auto" w:line="324" w:before="0" w:after="0"/>
        <w:jc w:val="center"/>
        <w:rPr/>
      </w:pPr>
      <w:r>
        <w:rPr>
          <w:b/>
          <w:color w:val="000000"/>
          <w:sz w:val="32"/>
        </w:rPr>
        <w:t>Kingstone Declares Quarterly Cash Dividend of $0.06 Per Share</w:t>
      </w:r>
      <w:r>
        <w:rPr/>
        <w:t xml:space="preserve"> </w:t>
      </w:r>
    </w:p>
    <w:p>
      <w:pPr>
        <w:pStyle w:val="TextBody"/>
        <w:bidi w:val="0"/>
        <w:spacing w:lineRule="auto" w:line="324" w:before="0" w:after="0"/>
        <w:jc w:val="center"/>
        <w:rPr/>
      </w:pPr>
      <w:r>
        <w:rPr/>
        <w:t xml:space="preserve">  </w:t>
      </w:r>
    </w:p>
    <w:p>
      <w:pPr>
        <w:pStyle w:val="TextBody"/>
        <w:bidi w:val="0"/>
        <w:spacing w:lineRule="auto" w:line="324" w:before="0" w:after="0"/>
        <w:jc w:val="left"/>
        <w:rPr/>
      </w:pPr>
      <w:r>
        <w:rPr>
          <w:b/>
        </w:rPr>
        <w:t xml:space="preserve">KINGSTON, N.Y., October 23, 2026 (GLOBE NEWSWIRE) </w:t>
      </w:r>
      <w:r>
        <w:rPr/>
        <w:t xml:space="preserve">-- Kingstone Companies, Inc. (Nasdaq: KINS) ("Kingstone" or the "Company"), a regional property and casualty insurance holding company, today announced that its Board of Directors has declared a quarterly cash dividend of $0.06 per share of common stock. The dividend is payable on November 25, 2026, to stockholders of record at the close of business on November 11, 2026. </w:t>
      </w:r>
    </w:p>
    <w:p>
      <w:pPr>
        <w:pStyle w:val="TextBody"/>
        <w:bidi w:val="0"/>
        <w:spacing w:lineRule="auto" w:line="324" w:before="0" w:after="0"/>
        <w:jc w:val="left"/>
        <w:rPr/>
      </w:pPr>
      <w:r>
        <w:rPr/>
        <w:t xml:space="preserve">  </w:t>
      </w:r>
    </w:p>
    <w:p>
      <w:pPr>
        <w:pStyle w:val="TextBody"/>
        <w:bidi w:val="0"/>
        <w:spacing w:lineRule="auto" w:line="324" w:before="0" w:after="0"/>
        <w:jc w:val="left"/>
        <w:rPr/>
      </w:pPr>
      <w:r>
        <w:rPr/>
        <w:t xml:space="preserve">This is the Company’s sixth consecutive quarterly dividend since the dividend was reinstated in July 2025, and the second at the $0.06 per share rate following the 20% increase approved by the Board in July 2026. </w:t>
      </w:r>
    </w:p>
    <w:p>
      <w:pPr>
        <w:pStyle w:val="TextBody"/>
        <w:bidi w:val="0"/>
        <w:spacing w:lineRule="auto" w:line="324" w:before="0" w:after="0"/>
        <w:jc w:val="left"/>
        <w:rPr/>
      </w:pPr>
      <w:r>
        <w:rPr/>
        <w:t xml:space="preserve">  </w:t>
      </w:r>
    </w:p>
    <w:p>
      <w:pPr>
        <w:pStyle w:val="TextBody"/>
        <w:bidi w:val="0"/>
        <w:spacing w:lineRule="auto" w:line="324" w:before="0" w:after="0"/>
        <w:jc w:val="left"/>
        <w:rPr/>
      </w:pPr>
      <w:r>
        <w:rPr>
          <w:b/>
        </w:rPr>
        <w:t>About Kingstone Companies, Inc.</w:t>
      </w:r>
      <w:r>
        <w:rPr/>
        <w:t xml:space="preserve"> </w:t>
      </w:r>
    </w:p>
    <w:p>
      <w:pPr>
        <w:pStyle w:val="TextBody"/>
        <w:bidi w:val="0"/>
        <w:spacing w:lineRule="auto" w:line="324" w:before="0" w:after="0"/>
        <w:jc w:val="left"/>
        <w:rPr/>
      </w:pPr>
      <w:r>
        <w:rPr/>
        <w:t xml:space="preserve">Kingstone is a regional property and casualty insurance holding company whose principal operating subsidiaries write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Kingstone was the 11th largest writer of homeowners insurance in New York in 2025 and is diversifying its geographic footprint by writing in Connecticut on an admitted basis and California on a non-admitted basis.  </w:t>
      </w:r>
    </w:p>
    <w:p>
      <w:pPr>
        <w:pStyle w:val="TextBody"/>
        <w:bidi w:val="0"/>
        <w:spacing w:lineRule="auto" w:line="324" w:before="240" w:after="40"/>
        <w:jc w:val="left"/>
        <w:rPr/>
      </w:pPr>
      <w:r>
        <w:rPr>
          <w:b/>
        </w:rPr>
        <w:t>Investor Relations Contact</w:t>
      </w:r>
      <w:r>
        <w:rPr/>
        <w:t xml:space="preserve"> </w:t>
      </w:r>
    </w:p>
    <w:p>
      <w:pPr>
        <w:pStyle w:val="TextBody"/>
        <w:bidi w:val="0"/>
        <w:spacing w:lineRule="auto" w:line="324" w:before="0" w:after="0"/>
        <w:jc w:val="left"/>
        <w:rPr/>
      </w:pPr>
      <w:r>
        <w:rPr/>
        <w:t xml:space="preserve">Elevate IR </w:t>
      </w:r>
    </w:p>
    <w:p>
      <w:pPr>
        <w:pStyle w:val="TextBody"/>
        <w:bidi w:val="0"/>
        <w:spacing w:lineRule="auto" w:line="324" w:before="0" w:after="0"/>
        <w:jc w:val="left"/>
        <w:rPr/>
      </w:pPr>
      <w:r>
        <w:rPr>
          <w:color w:val="0563C1"/>
        </w:rPr>
        <w:t>KINS@elevate-ir.com</w:t>
      </w:r>
      <w:r>
        <w:rPr/>
        <w:t xml:space="preserve">  </w:t>
      </w:r>
    </w:p>
    <w:p>
      <w:pPr>
        <w:pStyle w:val="TextBody"/>
        <w:bidi w:val="0"/>
        <w:spacing w:lineRule="auto" w:line="324" w:before="0" w:after="283"/>
        <w:jc w:val="left"/>
        <w:rPr/>
      </w:pPr>
      <w:r>
        <w:rPr/>
        <w:t xml:space="preserve">720-330-2829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801</Words>
  <Characters>4447</Characters>
  <CharactersWithSpaces>5350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